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E882F44">
      <w:pPr>
        <w:pStyle w:val="style0"/>
        <w:spacing w:after="60"/>
        <w:jc w:val="center"/>
        <w:rPr/>
      </w:pPr>
      <w:r>
        <w:rPr>
          <w:b/>
          <w:bCs/>
          <w:color w:val="1f3a5f"/>
          <w:sz w:val="34"/>
          <w:szCs w:val="34"/>
        </w:rPr>
        <w:t>CONTRAT DE PRESTATION DE SERVICES</w:t>
      </w:r>
    </w:p>
    <w:p w14:paraId="0F93D222">
      <w:pPr>
        <w:pStyle w:val="style0"/>
        <w:spacing w:after="240"/>
        <w:jc w:val="center"/>
        <w:rPr/>
      </w:pPr>
      <w:r>
        <w:rPr>
          <w:color w:val="e07b00"/>
          <w:sz w:val="22"/>
          <w:szCs w:val="22"/>
        </w:rPr>
        <w:t>Consultant – développement, maintenance et intermédiation de paiement</w:t>
      </w:r>
    </w:p>
    <w:p w14:paraId="CDA1D886">
      <w:pPr>
        <w:pStyle w:val="style4106"/>
        <w:rPr/>
      </w:pPr>
      <w:r>
        <w:t>Entre les soussignés</w:t>
      </w:r>
    </w:p>
    <w:p w14:paraId="052E4D47">
      <w:pPr>
        <w:pStyle w:val="style0"/>
        <w:spacing w:after="120"/>
        <w:jc w:val="both"/>
        <w:rPr/>
      </w:pPr>
      <w:r>
        <w:t>D’une part,</w:t>
      </w:r>
    </w:p>
    <w:p w14:paraId="A7DCE366">
      <w:pPr>
        <w:pStyle w:val="style0"/>
        <w:spacing w:after="120"/>
        <w:jc w:val="both"/>
        <w:rPr/>
      </w:pPr>
      <w:r>
        <w:t>[Prénom NOM], consultant indépendant en [spécialité – ex. développement logiciel &amp; infrastructure], demeurant à [adresse complète], joignable à [téléphone / email], ci-après dénommé « le Consultant » ;</w:t>
      </w:r>
    </w:p>
    <w:p w14:paraId="F0E890A9">
      <w:pPr>
        <w:pStyle w:val="style0"/>
        <w:spacing w:after="120"/>
        <w:jc w:val="both"/>
        <w:rPr/>
      </w:pPr>
      <w:r>
        <w:t>Et d’autre part,</w:t>
      </w:r>
    </w:p>
    <w:p w14:paraId="8E058B94">
      <w:pPr>
        <w:pStyle w:val="style0"/>
        <w:spacing w:after="120"/>
        <w:jc w:val="both"/>
        <w:rPr/>
      </w:pPr>
      <w:r>
        <w:t>NADOM, exerçant une activité d’import-export et de personal shopping, dont le siège est situé à [adresse], immatriculé(e) sous le n° [RCCM / IDU], représenté(e) par [Nom du représentant], ci-après dénommé(e) « le Marchand » ;</w:t>
      </w:r>
    </w:p>
    <w:p w14:paraId="72BA07ED">
      <w:pPr>
        <w:pStyle w:val="style0"/>
        <w:spacing w:after="120"/>
        <w:jc w:val="both"/>
        <w:rPr/>
      </w:pPr>
      <w:r>
        <w:rPr>
          <w:i/>
          <w:iCs/>
        </w:rPr>
        <w:t>Le Consultant et le Marchand étant ci-après désignés ensemble « les Parties ».</w:t>
      </w:r>
    </w:p>
    <w:p w14:paraId="004FE362">
      <w:pPr>
        <w:pStyle w:val="style4106"/>
        <w:rPr/>
      </w:pPr>
      <w:r>
        <w:t>Article 1 – Objet du contrat</w:t>
      </w:r>
    </w:p>
    <w:p w14:paraId="8F1A2953">
      <w:pPr>
        <w:pStyle w:val="style0"/>
        <w:spacing w:after="120"/>
        <w:jc w:val="both"/>
        <w:rPr/>
      </w:pPr>
      <w:r>
        <w:t>Le présent contrat définit les conditions dans lesquelles le Consultant développe, maintient et exploite techniquement une plateforme de vente en ligne pour le compte du Marchand, et assure, en qualité de mandataire, l’encaissement technique des paiements des clients du Marchand via un prestataire de paiement (le « Wallet »).</w:t>
      </w:r>
    </w:p>
    <w:p w14:paraId="B6D049F3">
      <w:pPr>
        <w:pStyle w:val="style4106"/>
        <w:rPr/>
      </w:pPr>
      <w:r>
        <w:t>Article 2 – Définitions</w:t>
      </w:r>
    </w:p>
    <w:p w14:paraId="B14B7275">
      <w:pPr>
        <w:pStyle w:val="style179"/>
        <w:numPr>
          <w:ilvl w:val="0"/>
          <w:numId w:val="1"/>
        </w:numPr>
        <w:spacing w:after="60"/>
        <w:rPr/>
      </w:pPr>
      <w:r>
        <w:t>Plateforme : le site et l’application développés et maintenus par le Consultant.</w:t>
      </w:r>
    </w:p>
    <w:p w14:paraId="1D59B86E">
      <w:pPr>
        <w:pStyle w:val="style179"/>
        <w:numPr>
          <w:ilvl w:val="0"/>
          <w:numId w:val="1"/>
        </w:numPr>
        <w:spacing w:after="60"/>
        <w:rPr/>
      </w:pPr>
      <w:r>
        <w:t>Wallet : le service d’encaissement (ex. GeniusPay et ses passerelles : Wave, Mobile Money, cartes) par lequel transitent les paiements.</w:t>
      </w:r>
    </w:p>
    <w:p w14:paraId="CC3C0BD3">
      <w:pPr>
        <w:pStyle w:val="style179"/>
        <w:numPr>
          <w:ilvl w:val="0"/>
          <w:numId w:val="1"/>
        </w:numPr>
        <w:spacing w:after="60"/>
        <w:rPr/>
      </w:pPr>
      <w:r>
        <w:t>Client : toute personne effectuant un achat sur la Plateforme.</w:t>
      </w:r>
    </w:p>
    <w:p w14:paraId="89E430F1">
      <w:pPr>
        <w:pStyle w:val="style179"/>
        <w:numPr>
          <w:ilvl w:val="0"/>
          <w:numId w:val="1"/>
        </w:numPr>
        <w:spacing w:after="60"/>
        <w:rPr/>
      </w:pPr>
      <w:r>
        <w:t>Prix de vente : montant NET que le Marchand souhaite réellement percevoir, qu’il saisit lui-même sur la Plateforme. Ce montant lui est reversé intégralement, sans aucune déduction.</w:t>
      </w:r>
    </w:p>
    <w:p w14:paraId="C9AD7F26">
      <w:pPr>
        <w:pStyle w:val="style179"/>
        <w:numPr>
          <w:ilvl w:val="0"/>
          <w:numId w:val="1"/>
        </w:numPr>
        <w:spacing w:after="60"/>
        <w:rPr/>
      </w:pPr>
      <w:r>
        <w:t>Prix public : montant total affiché et payé par le Client, calculé automatiquement par la Plateforme. Il est égal au Prix de vente augmenté de la Commission du Consultant, des frais d’encaissement du Wallet et des frais de reversement, puis arrondi au multiple de 100 XOF supérieur.</w:t>
      </w:r>
    </w:p>
    <w:p w14:paraId="9C058B70">
      <w:pPr>
        <w:pStyle w:val="style179"/>
        <w:numPr>
          <w:ilvl w:val="0"/>
          <w:numId w:val="1"/>
        </w:numPr>
        <w:spacing w:after="60"/>
        <w:rPr/>
      </w:pPr>
      <w:r>
        <w:t>Commission : rémunération du Consultant, égale à DIX POUR CENT (10 %) du Prix de vente, ajoutée au Prix public et intégralement supportée par le Client.</w:t>
      </w:r>
    </w:p>
    <w:p w14:paraId="9C058B70">
      <w:pPr>
        <w:pStyle w:val="style179"/>
        <w:numPr>
          <w:ilvl w:val="0"/>
          <w:numId w:val="1"/>
        </w:numPr>
        <w:spacing w:after="60"/>
        <w:rPr/>
      </w:pPr>
      <w:r>
        <w:t>Frais de reversement : frais prélevés par le Wallet lors du versement (payout) des fonds au Marchand. Ces frais sont refacturés au Client via le Prix public et ne sont supportés ni par le Marchand ni par le Consultant.</w:t>
      </w:r>
    </w:p>
    <w:p w14:paraId="64703E1B">
      <w:pPr>
        <w:pStyle w:val="style4106"/>
        <w:rPr/>
      </w:pPr>
      <w:r>
        <w:t>Article 3 – Rôles des Parties</w:t>
      </w:r>
    </w:p>
    <w:p w14:paraId="CED9BD15">
      <w:pPr>
        <w:pStyle w:val="style4107"/>
        <w:rPr/>
      </w:pPr>
      <w:r>
        <w:t>3.1 Le Marchand</w:t>
      </w:r>
    </w:p>
    <w:p w14:paraId="8AD40C4C">
      <w:pPr>
        <w:pStyle w:val="style179"/>
        <w:numPr>
          <w:ilvl w:val="0"/>
          <w:numId w:val="1"/>
        </w:numPr>
        <w:spacing w:after="60"/>
        <w:rPr/>
      </w:pPr>
      <w:r>
        <w:t>Publie ses articles et fixe librement son Prix de vente.</w:t>
      </w:r>
    </w:p>
    <w:p w14:paraId="11476D0A">
      <w:pPr>
        <w:pStyle w:val="style179"/>
        <w:numPr>
          <w:ilvl w:val="0"/>
          <w:numId w:val="1"/>
        </w:numPr>
        <w:spacing w:after="60"/>
        <w:rPr/>
      </w:pPr>
      <w:r>
        <w:t>Assure la disponibilité, la conformité et la livraison des produits/services.</w:t>
      </w:r>
    </w:p>
    <w:p w14:paraId="1518FC8E">
      <w:pPr>
        <w:pStyle w:val="style179"/>
        <w:numPr>
          <w:ilvl w:val="0"/>
          <w:numId w:val="1"/>
        </w:numPr>
        <w:spacing w:after="60"/>
        <w:rPr/>
      </w:pPr>
      <w:r>
        <w:t>Demeure seul responsable de ses obligations fiscales, douanières et commerciales.</w:t>
      </w:r>
    </w:p>
    <w:p w14:paraId="8E8EBC78">
      <w:pPr>
        <w:pStyle w:val="style4107"/>
        <w:rPr/>
      </w:pPr>
      <w:r>
        <w:t>3.2 Le Consultant</w:t>
      </w:r>
    </w:p>
    <w:p w14:paraId="10CBF766">
      <w:pPr>
        <w:pStyle w:val="style179"/>
        <w:numPr>
          <w:ilvl w:val="0"/>
          <w:numId w:val="1"/>
        </w:numPr>
        <w:spacing w:after="60"/>
        <w:rPr/>
      </w:pPr>
      <w:r>
        <w:t>Développe, héberge et maintient la Plateforme.</w:t>
      </w:r>
    </w:p>
    <w:p w14:paraId="7A95BAE4">
      <w:pPr>
        <w:pStyle w:val="style179"/>
        <w:numPr>
          <w:ilvl w:val="0"/>
          <w:numId w:val="1"/>
        </w:numPr>
        <w:spacing w:after="60"/>
        <w:rPr/>
      </w:pPr>
      <w:r>
        <w:t>Intègre et configure le Wallet.</w:t>
      </w:r>
    </w:p>
    <w:p w14:paraId="183CA9EA">
      <w:pPr>
        <w:pStyle w:val="style179"/>
        <w:numPr>
          <w:ilvl w:val="0"/>
          <w:numId w:val="1"/>
        </w:numPr>
        <w:spacing w:after="60"/>
        <w:rPr/>
      </w:pPr>
      <w:r>
        <w:t>Encaisse les paiements pour le compte du Marchand et lui reverse l’intégralité de son Prix de vente (aucune retenue sur le Prix de vente).</w:t>
      </w:r>
    </w:p>
    <w:p w14:paraId="DBB11D7B">
      <w:pPr>
        <w:pStyle w:val="style179"/>
        <w:numPr>
          <w:ilvl w:val="0"/>
          <w:numId w:val="1"/>
        </w:numPr>
        <w:spacing w:after="60"/>
        <w:rPr/>
      </w:pPr>
      <w:r>
        <w:t>Fournit au Marchand un suivi des transactions et des reversements.</w:t>
      </w:r>
    </w:p>
    <w:p w14:paraId="D9F7674D">
      <w:pPr>
        <w:pStyle w:val="style4106"/>
        <w:rPr/>
      </w:pPr>
      <w:r>
        <w:t>Article 4 – Fonctionnement des paiements</w:t>
      </w:r>
    </w:p>
    <w:p w14:paraId="7EDF9ECA">
      <w:pPr>
        <w:pStyle w:val="style179"/>
        <w:numPr>
          <w:ilvl w:val="0"/>
          <w:numId w:val="3"/>
        </w:numPr>
        <w:spacing w:after="60"/>
        <w:rPr/>
      </w:pPr>
      <w:r>
        <w:t>Le Marchand saisit le Prix de vente d’un article.</w:t>
      </w:r>
    </w:p>
    <w:p w14:paraId="CA61F1D6">
      <w:pPr>
        <w:pStyle w:val="style179"/>
        <w:numPr>
          <w:ilvl w:val="0"/>
          <w:numId w:val="3"/>
        </w:numPr>
        <w:spacing w:after="60"/>
        <w:rPr/>
      </w:pPr>
      <w:r>
        <w:t>La Plateforme calcule et affiche au Client un Prix public unique, frais de traitement inclus.</w:t>
      </w:r>
    </w:p>
    <w:p w14:paraId="F279B1CE">
      <w:pPr>
        <w:pStyle w:val="style179"/>
        <w:numPr>
          <w:ilvl w:val="0"/>
          <w:numId w:val="3"/>
        </w:numPr>
        <w:spacing w:after="60"/>
        <w:rPr/>
      </w:pPr>
      <w:r>
        <w:t>Le Client choisit son moyen de paiement et règle le Prix public.</w:t>
      </w:r>
    </w:p>
    <w:p w14:paraId="3ADC142C">
      <w:pPr>
        <w:pStyle w:val="style179"/>
        <w:numPr>
          <w:ilvl w:val="0"/>
          <w:numId w:val="3"/>
        </w:numPr>
        <w:spacing w:after="60"/>
        <w:rPr/>
      </w:pPr>
      <w:r>
        <w:t>Le Wallet prélève ses frais ; les fonds nets sont reçus sur le compte du Consultant (en qualité de mandataire – Article 6).</w:t>
      </w:r>
    </w:p>
    <w:p w14:paraId="283586EB">
      <w:pPr>
        <w:pStyle w:val="style179"/>
        <w:numPr>
          <w:ilvl w:val="0"/>
          <w:numId w:val="3"/>
        </w:numPr>
        <w:spacing w:after="60"/>
        <w:rPr/>
      </w:pPr>
      <w:r>
        <w:t>Le Consultant prélève sa Commission (10 % du Prix de vente) et récupère les frais d’encaissement ainsi que les frais de reversement (payout) sur le Prix public encaissé, puis reverse au Marchand L’INTÉGRALITÉ de son Prix de vente saisi. Aucune retenue n’est effectuée sur le Prix de vente du Marchand.</w:t>
      </w:r>
    </w:p>
    <w:p w14:paraId="7902E29D">
      <w:pPr>
        <w:pStyle w:val="style4106"/>
        <w:rPr/>
      </w:pPr>
      <w:r>
        <w:t>Article 5 – Rémunération du Consultant (Commission)</w:t>
      </w:r>
    </w:p>
    <w:p w14:paraId="84FCF708">
      <w:pPr>
        <w:pStyle w:val="style0"/>
        <w:spacing w:after="120"/>
        <w:jc w:val="both"/>
        <w:rPr/>
      </w:pPr>
      <w:r>
        <w:t>En contrepartie du développement, de la maintenance et du service d’intermédiation, le Consultant perçoit une commission de :</w:t>
      </w:r>
    </w:p>
    <w:p w14:paraId="AF664681">
      <w:pPr>
        <w:pStyle w:val="style0"/>
        <w:spacing w:before="80" w:after="80"/>
        <w:jc w:val="center"/>
        <w:rPr/>
      </w:pPr>
      <w:r>
        <w:rPr>
          <w:b/>
          <w:bCs/>
          <w:color w:val="1f3a5f"/>
          <w:sz w:val="24"/>
          <w:szCs w:val="24"/>
        </w:rPr>
        <w:t>DIX POUR CENT (10 %) du Prix de vente de chaque transaction réussie, ajoutée au Prix public et payée intégralement par le Client.</w:t>
      </w:r>
    </w:p>
    <w:p w14:paraId="C31B55D0">
      <w:pPr>
        <w:pStyle w:val="style0"/>
        <w:spacing w:after="120"/>
        <w:jc w:val="both"/>
        <w:rPr/>
      </w:pPr>
      <w:r>
        <w:t>La Commission constitue l’unique revenu du Consultant au titre du présent contrat. Elle est ajoutée au Prix public et supportée par le Client ; elle n’est en aucun cas déduite du montant reversé au Marchand. Le Marchand perçoit 100 % de son Prix de vente saisi. Aucune commission n’est due sans transaction réussie. Toute modification du taux fait l’objet d’un avenant écrit.</w:t>
      </w:r>
    </w:p>
    <w:p w14:paraId="E569895C">
      <w:pPr>
        <w:pStyle w:val="style4106"/>
        <w:rPr/>
      </w:pPr>
      <w:r>
        <w:t>Article 6 – Mandat d’encaissement</w:t>
      </w:r>
    </w:p>
    <w:p w14:paraId="76EB2E24">
      <w:pPr>
        <w:pStyle w:val="style0"/>
        <w:spacing w:after="120"/>
        <w:jc w:val="both"/>
        <w:rPr/>
      </w:pPr>
      <w:r>
        <w:t>Le Marchand donne expressément mandat au Consultant d’encaisser, en son nom et pour son compte, le produit des ventes réalisées sur la Plateforme.</w:t>
      </w:r>
    </w:p>
    <w:p w14:paraId="8958CFF5">
      <w:pPr>
        <w:pStyle w:val="style0"/>
        <w:spacing w:after="120"/>
        <w:jc w:val="both"/>
        <w:rPr/>
      </w:pPr>
      <w:r>
        <w:rPr>
          <w:b/>
          <w:bCs/>
        </w:rPr>
        <w:t>Les sommes ainsi encaissées, transitant par le compte ou le wallet du Consultant, demeurent la propriété exclusive du Marchand. Elles ne constituent ni le chiffre d’affaires, ni un revenu, ni la propriété du Consultant. Seule la Commission définie à l’Article 5 constitue le revenu du Consultant.</w:t>
      </w:r>
    </w:p>
    <w:p w14:paraId="1FE60979">
      <w:pPr>
        <w:pStyle w:val="style0"/>
        <w:spacing w:after="120"/>
        <w:jc w:val="both"/>
        <w:rPr/>
      </w:pPr>
      <w:r>
        <w:t>Le Consultant s’engage à : (i) tenir une comptabilité distincte des sommes encaissées pour le compte du Marchand ; (ii) ne pas les confondre avec ses fonds propres ; (iii) les reverser au Marchand dans les délais convenus à l’Article 8 ; (iv) fournir sur demande un relevé détaillé des encaissements et reversements.</w:t>
      </w:r>
    </w:p>
    <w:p w14:paraId="16548530">
      <w:pPr>
        <w:pStyle w:val="style0"/>
        <w:spacing w:after="120"/>
        <w:jc w:val="both"/>
        <w:rPr/>
      </w:pPr>
      <w:r>
        <w:t>Le présent mandat ne confère au Consultant aucun droit de propriété sur les fonds encaissés, hormis la conservation de sa Commission et des frais (encaissement + reversement) intégrés au Prix public et payés par le Client.</w:t>
      </w:r>
    </w:p>
    <w:p w14:paraId="60D37C7F">
      <w:pPr>
        <w:pStyle w:val="style4106"/>
        <w:rPr/>
      </w:pPr>
      <w:r>
        <w:t>Article 7 – Frais de traitement du Wallet</w:t>
      </w:r>
    </w:p>
    <w:p w14:paraId="8745E139">
      <w:pPr>
        <w:pStyle w:val="style0"/>
        <w:spacing w:after="120"/>
        <w:jc w:val="both"/>
        <w:rPr/>
      </w:pPr>
      <w:r>
        <w:t>Les frais prélevés par le Wallet (commission de l’agrégateur + frais opérateur, variables selon le moyen de paiement) sont intégrés au Prix public et supportés par le Client. À titre indicatif : Wave ~1 %, Orange Money / MTN Money ~1–2 %, cartes bancaires ~2–3 % (taux susceptibles d’évoluer). OUTRE ces frais d’encaissement, les frais de reversement (retrait/payout) vers le compte du Marchand sont également intégrés au Prix public et supportés par le Client, de sorte que ni le Marchand ni le Consultant ne supportent ces frais.</w:t>
      </w:r>
    </w:p>
    <w:p w14:paraId="1B9C4687">
      <w:pPr>
        <w:pStyle w:val="style0"/>
        <w:spacing w:after="120"/>
        <w:jc w:val="both"/>
        <w:rPr/>
      </w:pPr>
      <w:r>
        <w:t>Le Prix public est calculé sur la base du moyen de paiement le plus onéreux accepté, afin de couvrir l’ensemble des frais (encaissement + reversement) quelle que soit la méthode choisie par le Client. L’économie réalisée lorsque le Client paie via une méthode moins coûteuse reste acquise au Consultant.</w:t>
      </w:r>
    </w:p>
    <w:p w14:paraId="22E45AD8">
      <w:pPr>
        <w:pStyle w:val="style4106"/>
        <w:rPr/>
      </w:pPr>
      <w:r>
        <w:t>Article 8 – Barème et modalités de règlement</w:t>
      </w:r>
    </w:p>
    <w:p w14:paraId="49CFA556">
      <w:pPr>
        <w:pStyle w:val="style4107"/>
        <w:rPr/>
      </w:pPr>
      <w:r>
        <w:t>8.1 Barème indicatif (en XOF)</w:t>
      </w:r>
    </w:p>
    <w:p w14:paraId="C5E08760">
      <w:pPr>
        <w:pStyle w:val="style0"/>
        <w:spacing w:after="120"/>
        <w:jc w:val="both"/>
        <w:rPr/>
      </w:pPr>
      <w:r>
        <w:t>Pour des Prix de vente courants, le tableau ci-dessous illustre le Prix public, la Commission et le net reversé au Marchand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14:paraId="069C4721">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C67AE3EE">
            <w:pPr>
              <w:pStyle w:val="style0"/>
              <w:jc w:val="center"/>
              <w:rPr/>
            </w:pPr>
            <w:r>
              <w:rPr>
                <w:b/>
                <w:bCs/>
                <w:color w:val="ffffff"/>
                <w:sz w:val="20"/>
                <w:szCs w:val="20"/>
              </w:rPr>
              <w:t>Prix de vente</w:t>
            </w:r>
          </w:p>
          <w:p w14:paraId="19E2F904">
            <w:pPr>
              <w:pStyle w:val="style0"/>
              <w:jc w:val="center"/>
              <w:rPr/>
            </w:pPr>
            <w:r>
              <w:rPr>
                <w:b/>
                <w:bCs/>
                <w:color w:val="ffffff"/>
                <w:sz w:val="20"/>
                <w:szCs w:val="20"/>
              </w:rPr>
              <w:t>(Marchand)</w:t>
            </w:r>
          </w:p>
        </w:tc>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A2B354F3">
            <w:pPr>
              <w:pStyle w:val="style0"/>
              <w:jc w:val="center"/>
              <w:rPr/>
            </w:pPr>
            <w:r>
              <w:rPr>
                <w:b/>
                <w:bCs/>
                <w:color w:val="ffffff"/>
                <w:sz w:val="20"/>
                <w:szCs w:val="20"/>
              </w:rPr>
              <w:t>Prix public</w:t>
            </w:r>
          </w:p>
          <w:p w14:paraId="D5293B75">
            <w:pPr>
              <w:pStyle w:val="style0"/>
              <w:jc w:val="center"/>
              <w:rPr/>
            </w:pPr>
            <w:r>
              <w:rPr>
                <w:b/>
                <w:bCs/>
                <w:color w:val="ffffff"/>
                <w:sz w:val="20"/>
                <w:szCs w:val="20"/>
              </w:rPr>
              <w:t>(client)</w:t>
            </w:r>
          </w:p>
        </w:tc>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2CA4E1FE">
            <w:pPr>
              <w:pStyle w:val="style0"/>
              <w:jc w:val="center"/>
              <w:rPr/>
            </w:pPr>
            <w:r>
              <w:rPr>
                <w:b/>
                <w:bCs/>
                <w:color w:val="ffffff"/>
                <w:sz w:val="20"/>
                <w:szCs w:val="20"/>
              </w:rPr>
              <w:t>Commission</w:t>
            </w:r>
          </w:p>
          <w:p w14:paraId="567243E5">
            <w:pPr>
              <w:pStyle w:val="style0"/>
              <w:jc w:val="center"/>
              <w:rPr/>
            </w:pPr>
            <w:r>
              <w:rPr>
                <w:b/>
                <w:bCs/>
                <w:color w:val="ffffff"/>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2EBEC35A">
            <w:pPr>
              <w:pStyle w:val="style0"/>
              <w:jc w:val="center"/>
              <w:rPr/>
            </w:pPr>
            <w:r>
              <w:rPr>
                <w:b/>
                <w:bCs/>
                <w:color w:val="ffffff"/>
                <w:sz w:val="20"/>
                <w:szCs w:val="20"/>
              </w:rPr>
              <w:t>Net reversé</w:t>
            </w:r>
          </w:p>
          <w:p w14:paraId="1F60FE7A">
            <w:pPr>
              <w:pStyle w:val="style0"/>
              <w:jc w:val="center"/>
              <w:rPr/>
            </w:pPr>
            <w:r>
              <w:rPr>
                <w:b/>
                <w:bCs/>
                <w:color w:val="ffffff"/>
                <w:sz w:val="20"/>
                <w:szCs w:val="20"/>
              </w:rPr>
              <w:t>au Marchand</w:t>
            </w:r>
          </w:p>
        </w:tc>
      </w:tr>
      <w:tr w14:paraId="D750650A">
        <w:tblPrEx/>
        <w:trPr>
          <w:tblHeader w:val="false"/>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85340">
            <w:pPr>
              <w:pStyle w:val="style0"/>
              <w:jc w:val="right"/>
              <w:rPr/>
            </w:pPr>
            <w:r>
              <w:rPr>
                <w:sz w:val="20"/>
                <w:szCs w:val="20"/>
              </w:rPr>
              <w:t>5 000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969F688">
            <w:pPr>
              <w:pStyle w:val="style0"/>
              <w:jc w:val="right"/>
              <w:rPr/>
            </w:pPr>
            <w:r>
              <w:rPr>
                <w:sz w:val="20"/>
                <w:szCs w:val="20"/>
              </w:rPr>
              <w:t>7 100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A18FA">
            <w:pPr>
              <w:pStyle w:val="style0"/>
              <w:jc w:val="right"/>
              <w:rPr/>
            </w:pPr>
            <w:r>
              <w:rPr>
                <w:sz w:val="20"/>
                <w:szCs w:val="20"/>
              </w:rPr>
              <w:t>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84838AC">
            <w:pPr>
              <w:pStyle w:val="style0"/>
              <w:jc w:val="right"/>
              <w:rPr/>
            </w:pPr>
            <w:r>
              <w:rPr>
                <w:sz w:val="20"/>
                <w:szCs w:val="20"/>
              </w:rPr>
              <w:t>5 000</w:t>
            </w:r>
          </w:p>
        </w:tc>
      </w:tr>
      <w:tr w14:paraId="AF8608AC">
        <w:tblPrEx/>
        <w:trPr>
          <w:tblHeader w:val="false"/>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AA775B9">
            <w:pPr>
              <w:pStyle w:val="style0"/>
              <w:jc w:val="right"/>
              <w:rPr/>
            </w:pPr>
            <w:r>
              <w:rPr>
                <w:sz w:val="20"/>
                <w:szCs w:val="20"/>
              </w:rPr>
              <w:t>10 000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9844F">
            <w:pPr>
              <w:pStyle w:val="style0"/>
              <w:jc w:val="right"/>
              <w:rPr/>
            </w:pPr>
            <w:r>
              <w:rPr>
                <w:sz w:val="20"/>
                <w:szCs w:val="20"/>
              </w:rPr>
              <w:t>12 900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6D58B">
            <w:pPr>
              <w:pStyle w:val="style0"/>
              <w:jc w:val="right"/>
              <w:rPr/>
            </w:pPr>
            <w:r>
              <w:rPr>
                <w:sz w:val="20"/>
                <w:szCs w:val="20"/>
              </w:rPr>
              <w:t>1 000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0701638">
            <w:pPr>
              <w:pStyle w:val="style0"/>
              <w:jc w:val="right"/>
              <w:rPr/>
            </w:pPr>
            <w:r>
              <w:rPr>
                <w:sz w:val="20"/>
                <w:szCs w:val="20"/>
              </w:rPr>
              <w:t>10 000</w:t>
            </w:r>
          </w:p>
        </w:tc>
      </w:tr>
      <w:tr w14:paraId="823B45C9">
        <w:tblPrEx/>
        <w:trPr>
          <w:tblHeader w:val="false"/>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4B072E2">
            <w:pPr>
              <w:pStyle w:val="style0"/>
              <w:jc w:val="right"/>
              <w:rPr/>
            </w:pPr>
            <w:r>
              <w:rPr>
                <w:sz w:val="20"/>
                <w:szCs w:val="20"/>
              </w:rPr>
              <w:t>25 000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2469D">
            <w:pPr>
              <w:pStyle w:val="style0"/>
              <w:jc w:val="right"/>
              <w:rPr/>
            </w:pPr>
            <w:r>
              <w:rPr>
                <w:sz w:val="20"/>
                <w:szCs w:val="20"/>
              </w:rPr>
              <w:t>30 500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94332">
            <w:pPr>
              <w:pStyle w:val="style0"/>
              <w:jc w:val="right"/>
              <w:rPr/>
            </w:pPr>
            <w:r>
              <w:rPr>
                <w:sz w:val="20"/>
                <w:szCs w:val="20"/>
              </w:rPr>
              <w:t>2 500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ECE40">
            <w:pPr>
              <w:pStyle w:val="style0"/>
              <w:jc w:val="right"/>
              <w:rPr/>
            </w:pPr>
            <w:r>
              <w:rPr>
                <w:sz w:val="20"/>
                <w:szCs w:val="20"/>
              </w:rPr>
              <w:t>25 000</w:t>
            </w:r>
          </w:p>
        </w:tc>
      </w:tr>
      <w:tr w14:paraId="17F58528">
        <w:tblPrEx/>
        <w:trPr>
          <w:tblHeader w:val="false"/>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13A2">
            <w:pPr>
              <w:pStyle w:val="style0"/>
              <w:jc w:val="right"/>
              <w:rPr/>
            </w:pPr>
            <w:r>
              <w:rPr>
                <w:sz w:val="20"/>
                <w:szCs w:val="20"/>
              </w:rPr>
              <w:t>50 000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E46B9">
            <w:pPr>
              <w:pStyle w:val="style0"/>
              <w:jc w:val="right"/>
              <w:rPr/>
            </w:pPr>
            <w:r>
              <w:rPr>
                <w:sz w:val="20"/>
                <w:szCs w:val="20"/>
              </w:rPr>
              <w:t>59 700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E1B4A">
            <w:pPr>
              <w:pStyle w:val="style0"/>
              <w:jc w:val="right"/>
              <w:rPr/>
            </w:pPr>
            <w:r>
              <w:rPr>
                <w:sz w:val="20"/>
                <w:szCs w:val="20"/>
              </w:rPr>
              <w:t>5 000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ACC44">
            <w:pPr>
              <w:pStyle w:val="style0"/>
              <w:jc w:val="right"/>
              <w:rPr/>
            </w:pPr>
            <w:r>
              <w:rPr>
                <w:sz w:val="20"/>
                <w:szCs w:val="20"/>
              </w:rPr>
              <w:t>50 000</w:t>
            </w:r>
          </w:p>
        </w:tc>
      </w:tr>
      <w:tr w14:paraId="EAEFDFEC">
        <w:tblPrEx/>
        <w:trPr>
          <w:tblHeader w:val="false"/>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85FF50D">
            <w:pPr>
              <w:pStyle w:val="style0"/>
              <w:jc w:val="right"/>
              <w:rPr/>
            </w:pPr>
            <w:r>
              <w:rPr>
                <w:sz w:val="20"/>
                <w:szCs w:val="20"/>
              </w:rPr>
              <w:t>100 000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4751E">
            <w:pPr>
              <w:pStyle w:val="style0"/>
              <w:jc w:val="right"/>
              <w:rPr/>
            </w:pPr>
            <w:r>
              <w:rPr>
                <w:sz w:val="20"/>
                <w:szCs w:val="20"/>
              </w:rPr>
              <w:t>118 300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C9E1">
            <w:pPr>
              <w:pStyle w:val="style0"/>
              <w:jc w:val="right"/>
              <w:rPr/>
            </w:pPr>
            <w:r>
              <w:rPr>
                <w:sz w:val="20"/>
                <w:szCs w:val="20"/>
              </w:rPr>
              <w:t>10 000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15BF7">
            <w:pPr>
              <w:pStyle w:val="style0"/>
              <w:jc w:val="right"/>
              <w:rPr/>
            </w:pPr>
            <w:r>
              <w:rPr>
                <w:sz w:val="20"/>
                <w:szCs w:val="20"/>
              </w:rPr>
              <w:t>100 000</w:t>
            </w:r>
          </w:p>
        </w:tc>
      </w:tr>
      <w:tr w14:paraId="3C0D4142">
        <w:tblPrEx/>
        <w:trPr>
          <w:tblHeader w:val="false"/>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1D30083">
            <w:pPr>
              <w:pStyle w:val="style0"/>
              <w:jc w:val="right"/>
              <w:rPr/>
            </w:pPr>
            <w:r>
              <w:rPr>
                <w:sz w:val="20"/>
                <w:szCs w:val="20"/>
              </w:rPr>
              <w:t>200 000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0F5A550">
            <w:pPr>
              <w:pStyle w:val="style0"/>
              <w:jc w:val="right"/>
              <w:rPr/>
            </w:pPr>
            <w:r>
              <w:rPr>
                <w:sz w:val="20"/>
                <w:szCs w:val="20"/>
              </w:rPr>
              <w:t>235 300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E93ADFE">
            <w:pPr>
              <w:pStyle w:val="style0"/>
              <w:jc w:val="right"/>
              <w:rPr/>
            </w:pPr>
            <w:r>
              <w:rPr>
                <w:sz w:val="20"/>
                <w:szCs w:val="20"/>
              </w:rPr>
              <w:t>20 000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01B59">
            <w:pPr>
              <w:pStyle w:val="style0"/>
              <w:jc w:val="right"/>
              <w:rPr/>
            </w:pPr>
            <w:r>
              <w:rPr>
                <w:sz w:val="20"/>
                <w:szCs w:val="20"/>
              </w:rPr>
              <w:t>200 000</w:t>
            </w:r>
          </w:p>
        </w:tc>
      </w:tr>
    </w:tbl>
    <w:p w14:paraId="C5493894">
      <w:pPr>
        <w:pStyle w:val="style0"/>
        <w:spacing w:before="80"/>
        <w:rPr/>
      </w:pPr>
      <w:r>
        <w:rPr>
          <w:i/>
          <w:iCs/>
          <w:sz w:val="18"/>
          <w:szCs w:val="18"/>
        </w:rPr>
        <w:t>Le Prix public est arrondi au multiple de 100 XOF supérieur. Le Net reversé au Marchand est égal à son Prix de vente saisi (aucune déduction). La Commission est supportée intégralement par le Client via le Prix public.</w:t>
      </w:r>
    </w:p>
    <w:p w14:paraId="36CBB675">
      <w:pPr>
        <w:pStyle w:val="style4107"/>
        <w:rPr/>
      </w:pPr>
      <w:r>
        <w:t>8.2 Délais</w:t>
      </w:r>
    </w:p>
    <w:p w14:paraId="72749936">
      <w:pPr>
        <w:pStyle w:val="style179"/>
        <w:numPr>
          <w:ilvl w:val="0"/>
          <w:numId w:val="1"/>
        </w:numPr>
        <w:spacing w:after="60"/>
        <w:rPr/>
      </w:pPr>
      <w:r>
        <w:t>Validation des paiements par le Wallet : 24 à 72 heures ouvrées.</w:t>
      </w:r>
    </w:p>
    <w:p w14:paraId="444233CB">
      <w:pPr>
        <w:pStyle w:val="style179"/>
        <w:numPr>
          <w:ilvl w:val="0"/>
          <w:numId w:val="1"/>
        </w:numPr>
        <w:spacing w:after="60"/>
        <w:rPr/>
      </w:pPr>
      <w:r>
        <w:t>Reversement au Marchand : sous [48 à 72 heures] après réception des fonds, ou selon une périodicité [hebdomadaire / mensuelle] convenue.</w:t>
      </w:r>
    </w:p>
    <w:p w14:paraId="038C8D05">
      <w:pPr>
        <w:pStyle w:val="style179"/>
        <w:numPr>
          <w:ilvl w:val="0"/>
          <w:numId w:val="1"/>
        </w:numPr>
        <w:spacing w:after="60"/>
        <w:rPr/>
      </w:pPr>
      <w:r>
        <w:t>Transaction min. 100 XOF ; max. 2 000 000 XOF ; retrait min. 1 000 XOF.</w:t>
      </w:r>
    </w:p>
    <w:p w14:paraId="04277B06">
      <w:pPr>
        <w:pStyle w:val="style4107"/>
        <w:rPr/>
      </w:pPr>
      <w:r>
        <w:t>8.3 Reversement</w:t>
      </w:r>
    </w:p>
    <w:p w14:paraId="63245E82">
      <w:pPr>
        <w:pStyle w:val="style0"/>
        <w:spacing w:after="120"/>
        <w:jc w:val="both"/>
        <w:rPr/>
      </w:pPr>
      <w:r>
        <w:t>Les reversements sont effectués par Mobile Money ou virement bancaire sur le compte communiqué par le Marchand, accompagnés d’un relevé des transactions.</w:t>
      </w:r>
    </w:p>
    <w:p w14:paraId="7C3CEBAC">
      <w:pPr>
        <w:pStyle w:val="style4106"/>
        <w:rPr/>
      </w:pPr>
      <w:r>
        <w:t>Article 9 – Obligations du Marchand</w:t>
      </w:r>
    </w:p>
    <w:p w14:paraId="F3DE1B00">
      <w:pPr>
        <w:pStyle w:val="style179"/>
        <w:numPr>
          <w:ilvl w:val="0"/>
          <w:numId w:val="1"/>
        </w:numPr>
        <w:spacing w:after="60"/>
        <w:rPr/>
      </w:pPr>
      <w:r>
        <w:t>Garantir l’exactitude des informations et prix publiés.</w:t>
      </w:r>
    </w:p>
    <w:p w14:paraId="F38BCF7E">
      <w:pPr>
        <w:pStyle w:val="style179"/>
        <w:numPr>
          <w:ilvl w:val="0"/>
          <w:numId w:val="1"/>
        </w:numPr>
        <w:spacing w:after="60"/>
        <w:rPr/>
      </w:pPr>
      <w:r>
        <w:t>Honorer les commandes payées et gérer les réclamations clients.</w:t>
      </w:r>
    </w:p>
    <w:p w14:paraId="46EA7246">
      <w:pPr>
        <w:pStyle w:val="style179"/>
        <w:numPr>
          <w:ilvl w:val="0"/>
          <w:numId w:val="1"/>
        </w:numPr>
        <w:spacing w:after="60"/>
        <w:rPr/>
      </w:pPr>
      <w:r>
        <w:t>S’acquitter de ses propres obligations légales, fiscales et douanières.</w:t>
      </w:r>
    </w:p>
    <w:p w14:paraId="49416388">
      <w:pPr>
        <w:pStyle w:val="style4106"/>
        <w:rPr/>
      </w:pPr>
      <w:r>
        <w:t>Article 10 – Obligations du Consultant</w:t>
      </w:r>
    </w:p>
    <w:p w14:paraId="378DB0F4">
      <w:pPr>
        <w:pStyle w:val="style179"/>
        <w:numPr>
          <w:ilvl w:val="0"/>
          <w:numId w:val="1"/>
        </w:numPr>
        <w:spacing w:after="60"/>
        <w:rPr/>
      </w:pPr>
      <w:r>
        <w:t>Maintenir la Plateforme accessible et fonctionnelle (objectif : [ex. 99 %]).</w:t>
      </w:r>
    </w:p>
    <w:p w14:paraId="B6850E6A">
      <w:pPr>
        <w:pStyle w:val="style179"/>
        <w:numPr>
          <w:ilvl w:val="0"/>
          <w:numId w:val="1"/>
        </w:numPr>
        <w:spacing w:after="60"/>
        <w:rPr/>
      </w:pPr>
      <w:r>
        <w:t>Assurer la sécurité technique des transactions et la confidentialité des données.</w:t>
      </w:r>
    </w:p>
    <w:p w14:paraId="A7AFE2C1">
      <w:pPr>
        <w:pStyle w:val="style179"/>
        <w:numPr>
          <w:ilvl w:val="0"/>
          <w:numId w:val="1"/>
        </w:numPr>
        <w:spacing w:after="60"/>
        <w:rPr/>
      </w:pPr>
      <w:r>
        <w:t>Reverser les sommes dues dans les délais convenus et en rendre compte.</w:t>
      </w:r>
    </w:p>
    <w:p w14:paraId="1ECA297A">
      <w:pPr>
        <w:pStyle w:val="style179"/>
        <w:numPr>
          <w:ilvl w:val="0"/>
          <w:numId w:val="1"/>
        </w:numPr>
        <w:spacing w:after="60"/>
        <w:rPr/>
      </w:pPr>
      <w:r>
        <w:t>Informer le Marchand de toute interruption ou incident majeur.</w:t>
      </w:r>
    </w:p>
    <w:p w14:paraId="1DCEAE08">
      <w:pPr>
        <w:pStyle w:val="style4106"/>
        <w:rPr/>
      </w:pPr>
      <w:r>
        <w:t>Article 11 – Durée et résiliation</w:t>
      </w:r>
    </w:p>
    <w:p w14:paraId="9936C16A">
      <w:pPr>
        <w:pStyle w:val="style0"/>
        <w:spacing w:after="120"/>
        <w:jc w:val="both"/>
        <w:rPr/>
      </w:pPr>
      <w:r>
        <w:t>Le contrat est conclu pour une durée de [12 mois] à compter de la signature, renouvelable par tacite reconduction. Chaque Partie peut y mettre fin moyennant un préavis écrit de [30 jours]. En cas de manquement grave non corrigé sous [15] jours après mise en demeure, la résiliation intervient de plein droit. À la fin du contrat, le Consultant reverse l’intégralité des sommes dues au Marchand.</w:t>
      </w:r>
    </w:p>
    <w:p w14:paraId="07F4652E">
      <w:pPr>
        <w:pStyle w:val="style4106"/>
        <w:rPr/>
      </w:pPr>
      <w:r>
        <w:t>Article 12 – Confidentialité et données personnelles</w:t>
      </w:r>
    </w:p>
    <w:p w14:paraId="0628EDB1">
      <w:pPr>
        <w:pStyle w:val="style0"/>
        <w:spacing w:after="120"/>
        <w:jc w:val="both"/>
        <w:rPr/>
      </w:pPr>
      <w:r>
        <w:t>Chaque Partie préserve la confidentialité des informations échangées. Les données personnelles des Clients sont traitées conformément à la réglementation ivoirienne (notamment la loi n° 2013-450 relative à la protection des données à caractère personnel).</w:t>
      </w:r>
    </w:p>
    <w:p w14:paraId="258B5464">
      <w:pPr>
        <w:pStyle w:val="style4106"/>
        <w:rPr/>
      </w:pPr>
      <w:r>
        <w:t>Article 13 – Responsabilité</w:t>
      </w:r>
    </w:p>
    <w:p w14:paraId="2D7BF31C">
      <w:pPr>
        <w:pStyle w:val="style0"/>
        <w:spacing w:after="120"/>
        <w:jc w:val="both"/>
        <w:rPr/>
      </w:pPr>
      <w:r>
        <w:t>Le Consultant intervient comme intermédiaire technique et mandataire d’encaissement. Il n’est pas partie au contrat de vente entre le Marchand et le Client et n’est pas responsable de la qualité, conformité ou livraison des produits/services. Sa responsabilité est limitée aux dommages directs et plafonnée au montant des Commissions perçues sur les [3] derniers mois. Il n’est pas responsable des défaillances imputables au Wallet ou aux opérateurs.</w:t>
      </w:r>
    </w:p>
    <w:p w14:paraId="FD136AEC">
      <w:pPr>
        <w:pStyle w:val="style4106"/>
        <w:rPr/>
      </w:pPr>
      <w:r>
        <w:t>Article 14 – Force majeure</w:t>
      </w:r>
    </w:p>
    <w:p w14:paraId="74F62CE4">
      <w:pPr>
        <w:pStyle w:val="style0"/>
        <w:spacing w:after="120"/>
        <w:jc w:val="both"/>
        <w:rPr/>
      </w:pPr>
      <w:r>
        <w:t>Aucune Partie n’est responsable d’un manquement résultant d’un cas de force majeure (coupures réseau, défaillances des opérateurs de paiement, événements indépendants de sa volonté).</w:t>
      </w:r>
    </w:p>
    <w:p w14:paraId="65122FE7">
      <w:pPr>
        <w:pStyle w:val="style4106"/>
        <w:rPr/>
      </w:pPr>
      <w:r>
        <w:t>Article 15 – Droit applicable et litiges</w:t>
      </w:r>
    </w:p>
    <w:p w14:paraId="4AD9CCDC">
      <w:pPr>
        <w:pStyle w:val="style0"/>
        <w:spacing w:after="120"/>
        <w:jc w:val="both"/>
        <w:rPr/>
      </w:pPr>
      <w:r>
        <w:t>Le contrat est régi par le droit ivoirien et, le cas échéant, les Actes uniformes de l’OHADA. Les Parties privilégient un règlement amiable ; à défaut d’accord sous [30] jours, le litige est porté devant les juridictions compétentes d’Abidjan.</w:t>
      </w:r>
    </w:p>
    <w:p w14:paraId="4B06F3B6">
      <w:pPr>
        <w:pStyle w:val="style4106"/>
        <w:rPr/>
      </w:pPr>
      <w:r>
        <w:t>Article 16 – Dispositions diverses</w:t>
      </w:r>
    </w:p>
    <w:p w14:paraId="8F20F202">
      <w:pPr>
        <w:pStyle w:val="style0"/>
        <w:spacing w:after="120"/>
        <w:jc w:val="both"/>
        <w:rPr/>
      </w:pPr>
      <w:r>
        <w:t>Toute modification fera l’objet d’un avenant écrit. La nullité d’une clause n’affecte pas les autres. Le contrat est établi en deux (2) exemplaires originaux.</w:t>
      </w:r>
    </w:p>
    <w:p w14:paraId="D44521D0">
      <w:pPr>
        <w:pStyle w:val="style0"/>
        <w:spacing w:before="240" w:after="200"/>
        <w:rPr/>
      </w:pPr>
      <w:r>
        <w:rPr>
          <w:sz w:val="22"/>
          <w:szCs w:val="22"/>
        </w:rPr>
        <w:t>Fait à ____________________, le 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14:paraId="0F2F65A8">
        <w:trPr/>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EBFE00EE">
            <w:pPr>
              <w:pStyle w:val="style0"/>
              <w:spacing w:after="200"/>
              <w:rPr/>
            </w:pPr>
            <w:r>
              <w:rPr>
                <w:sz w:val="22"/>
                <w:szCs w:val="22"/>
              </w:rPr>
              <w:t>LE CONSULTANT</w:t>
            </w:r>
          </w:p>
          <w:p w14:paraId="29D31216">
            <w:pPr>
              <w:pStyle w:val="style0"/>
              <w:spacing w:after="200"/>
              <w:rPr/>
            </w:pPr>
          </w:p>
          <w:p w14:paraId="F5A3541B">
            <w:pPr>
              <w:pStyle w:val="style0"/>
              <w:spacing w:after="200"/>
              <w:rPr/>
            </w:pPr>
            <w:r>
              <w:rPr>
                <w:sz w:val="22"/>
                <w:szCs w:val="22"/>
              </w:rPr>
              <w:t>Nom : __________________________</w:t>
            </w:r>
          </w:p>
          <w:p w14:paraId="3C010104">
            <w:pPr>
              <w:pStyle w:val="style0"/>
              <w:spacing w:after="200"/>
              <w:rPr/>
            </w:pPr>
          </w:p>
          <w:p w14:paraId="6FE3F0B3">
            <w:pPr>
              <w:pStyle w:val="style0"/>
              <w:spacing w:after="200"/>
              <w:rPr/>
            </w:pPr>
            <w:r>
              <w:rPr>
                <w:sz w:val="22"/>
                <w:szCs w:val="22"/>
              </w:rPr>
              <w:t>Signature :</w:t>
            </w:r>
          </w:p>
          <w:p w14:paraId="98079CD6">
            <w:pPr>
              <w:pStyle w:val="style0"/>
              <w:spacing w:after="200"/>
              <w:rPr/>
            </w:pPr>
          </w:p>
          <w:p w14:paraId="4555F429">
            <w:pPr>
              <w:pStyle w:val="style0"/>
              <w:spacing w:after="200"/>
              <w:rPr/>
            </w:pPr>
          </w:p>
          <w:p w14:paraId="4A131B3D">
            <w:pPr>
              <w:pStyle w:val="style0"/>
              <w:spacing w:after="200"/>
              <w:rPr/>
            </w:pPr>
            <w:r>
              <w:rPr>
                <w:sz w:val="22"/>
                <w:szCs w:val="22"/>
              </w:rPr>
              <w:t>Fait le : ______________________</w:t>
            </w:r>
          </w:p>
        </w:tc>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1B04E8F0">
            <w:pPr>
              <w:pStyle w:val="style0"/>
              <w:spacing w:after="200"/>
              <w:rPr/>
            </w:pPr>
            <w:r>
              <w:rPr>
                <w:sz w:val="22"/>
                <w:szCs w:val="22"/>
              </w:rPr>
              <w:t>LE MARCHAND (NADOM)</w:t>
            </w:r>
          </w:p>
          <w:p w14:paraId="7CCB79B1">
            <w:pPr>
              <w:pStyle w:val="style0"/>
              <w:spacing w:after="200"/>
              <w:rPr/>
            </w:pPr>
          </w:p>
          <w:p w14:paraId="77558E53">
            <w:pPr>
              <w:pStyle w:val="style0"/>
              <w:spacing w:after="200"/>
              <w:rPr/>
            </w:pPr>
            <w:r>
              <w:rPr>
                <w:sz w:val="22"/>
                <w:szCs w:val="22"/>
              </w:rPr>
              <w:t>Nom : __________________________</w:t>
            </w:r>
          </w:p>
          <w:p w14:paraId="2E2C20E7">
            <w:pPr>
              <w:pStyle w:val="style0"/>
              <w:spacing w:after="200"/>
              <w:rPr/>
            </w:pPr>
          </w:p>
          <w:p w14:paraId="D4864066">
            <w:pPr>
              <w:pStyle w:val="style0"/>
              <w:spacing w:after="200"/>
              <w:rPr/>
            </w:pPr>
            <w:r>
              <w:rPr>
                <w:sz w:val="22"/>
                <w:szCs w:val="22"/>
              </w:rPr>
              <w:t>Signature et cachet :</w:t>
            </w:r>
          </w:p>
          <w:p w14:paraId="F3CC57B7">
            <w:pPr>
              <w:pStyle w:val="style0"/>
              <w:spacing w:after="200"/>
              <w:rPr/>
            </w:pPr>
          </w:p>
          <w:p w14:paraId="5DDFA5FB">
            <w:pPr>
              <w:pStyle w:val="style0"/>
              <w:spacing w:after="200"/>
              <w:rPr/>
            </w:pPr>
          </w:p>
          <w:p w14:paraId="A9F4684A">
            <w:pPr>
              <w:pStyle w:val="style0"/>
              <w:spacing w:after="200"/>
              <w:rPr/>
            </w:pPr>
            <w:r>
              <w:rPr>
                <w:sz w:val="22"/>
                <w:szCs w:val="22"/>
              </w:rPr>
              <w:t>Fait le : ______________________</w:t>
            </w:r>
          </w:p>
        </w:tc>
      </w:tr>
    </w:tbl>
    <w:p w14:paraId="86C44153">
      <w:pPr>
        <w:pStyle w:val="style0"/>
        <w:spacing w:before="280"/>
        <w:rPr/>
      </w:pPr>
      <w:r>
        <w:rPr>
          <w:i/>
          <w:iCs/>
          <w:color w:val="888888"/>
          <w:sz w:val="16"/>
          <w:szCs w:val="16"/>
        </w:rPr>
        <w:t>Avertissement : ce modèle est fourni à titre informatif. L’encaissement de fonds pour le compte d’un tiers comporte des implications fiscales et réglementaires. Faites impérativement relire ce contrat par un avocat et un expert-comptable en Côte d’Ivoire avant signature.</w:t>
      </w:r>
    </w:p>
    <w:sectPr>
      <w:footerReference w:type="default" r:id="rId2"/>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9054EC9">
    <w:pPr>
      <w:pStyle w:val="style0"/>
      <w:jc w:val="center"/>
      <w:rPr/>
    </w:pPr>
    <w:r>
      <w:rPr>
        <w:color w:val="888888"/>
        <w:sz w:val="16"/>
        <w:szCs w:val="16"/>
      </w:rPr>
      <w:t xml:space="preserve">Contrat de prestation de services de consultant | 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280" w:after="140"/>
      <w:outlineLvl w:val="0"/>
    </w:pPr>
    <w:rPr>
      <w:rFonts w:ascii="Arial" w:cs="Arial" w:eastAsia="Arial" w:hAnsi="Arial"/>
      <w:b/>
      <w:bCs/>
      <w:color w:val="1f3a5f"/>
      <w:sz w:val="26"/>
      <w:szCs w:val="26"/>
    </w:rPr>
  </w:style>
  <w:style w:type="paragraph" w:customStyle="1" w:styleId="style4107">
    <w:name w:val="Heading 2"/>
    <w:next w:val="style4107"/>
    <w:qFormat/>
    <w:pPr>
      <w:spacing w:before="160" w:after="100"/>
      <w:outlineLvl w:val="1"/>
    </w:pPr>
    <w:rPr>
      <w:rFonts w:ascii="Arial" w:cs="Arial" w:eastAsia="Arial" w:hAnsi="Arial"/>
      <w:b/>
      <w:bCs/>
      <w:color w:val="e07b00"/>
      <w:sz w:val="23"/>
      <w:szCs w:val="23"/>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1859b674-e353-4687-be53-cf9f1f3396af"/>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1382</Words>
  <Characters>7364</Characters>
  <Application>WPS Office</Application>
  <Paragraphs>136</Paragraphs>
  <CharactersWithSpaces>8628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2026-06-17T21:28:40Z</dcterms:created>
  <dc:creator>Un-named</dc:creator>
  <lastModifiedBy>TECNO CM6</lastModifiedBy>
  <dcterms:modified xsi:type="dcterms:W3CDTF">2026-06-17T21:28:40Z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19168dd0af3e44e196945af58de4e214_23</vt:lpwstr>
  </property>
</Properties>
</file>