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DC73" w14:textId="77777777" w:rsidR="00292FEB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2026 Strategic Advisory and Financial Engineering Compendium: Master Manual (500/500)</w:t>
      </w:r>
    </w:p>
    <w:p w14:paraId="56D0CF7D" w14:textId="77777777" w:rsidR="00292FEB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I. Executive Summary: The 2026 "Decision-to-Execution" Engine</w:t>
      </w:r>
    </w:p>
    <w:p w14:paraId="23B4D297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As of Q1 2026, the global financial and strategic landscape has moved from "AI experimentation" to </w:t>
      </w:r>
      <w:r>
        <w:rPr>
          <w:rFonts w:ascii="Google Sans" w:eastAsia="Google Sans" w:hAnsi="Google Sans" w:cs="Google Sans"/>
          <w:b/>
          <w:bCs/>
          <w:color w:val="1F1F1F"/>
        </w:rPr>
        <w:t>"Autonomous Orchestration."</w:t>
      </w:r>
      <w:r>
        <w:rPr>
          <w:rFonts w:ascii="Google Sans" w:eastAsia="Google Sans" w:hAnsi="Google Sans" w:cs="Google Sans"/>
          <w:color w:val="1F1F1F"/>
        </w:rPr>
        <w:t xml:space="preserve"> The industry is now defined by three tectonic forces:</w:t>
      </w:r>
    </w:p>
    <w:p w14:paraId="6AFFBF13" w14:textId="77777777" w:rsidR="00292F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Agentic AI Integration:</w:t>
      </w:r>
      <w:r>
        <w:rPr>
          <w:rFonts w:ascii="Google Sans" w:eastAsia="Google Sans" w:hAnsi="Google Sans" w:cs="Google Sans"/>
          <w:color w:val="1F1F1F"/>
        </w:rPr>
        <w:t xml:space="preserve"> High-performing firms are achieving enterprise-level EBIT impact by shifting from "Human-in-the-loop" to "Human-on-the-loop" strategic supervision.</w:t>
      </w:r>
    </w:p>
    <w:p w14:paraId="70521C08" w14:textId="77777777" w:rsidR="00292F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Operational Alpha Mandate:</w:t>
      </w:r>
      <w:r>
        <w:rPr>
          <w:rFonts w:ascii="Google Sans" w:eastAsia="Google Sans" w:hAnsi="Google Sans" w:cs="Google Sans"/>
          <w:color w:val="1F1F1F"/>
        </w:rPr>
        <w:t xml:space="preserve"> With the PE exit backlog reaching 16,000 companies and multiple expansion vanishing, returns are now driven by 12% EBITDA growth targets and 7.8-month pricing discipline cycles.</w:t>
      </w:r>
    </w:p>
    <w:p w14:paraId="190A60E9" w14:textId="77777777" w:rsidR="00292FE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Geoeconomic Fragmentation (GEFI):</w:t>
      </w:r>
      <w:r>
        <w:rPr>
          <w:rFonts w:ascii="Google Sans" w:eastAsia="Google Sans" w:hAnsi="Google Sans" w:cs="Google Sans"/>
          <w:color w:val="1F1F1F"/>
        </w:rPr>
        <w:t xml:space="preserve"> Sovereign risk and supply chain resilience have become the primary filters for cross-border M&amp;A and capital allocation.</w:t>
      </w:r>
    </w:p>
    <w:p w14:paraId="3E3483D1" w14:textId="77777777" w:rsidR="00292FE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4CBD5DC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II. The Methodological Approach</w:t>
      </w:r>
    </w:p>
    <w:p w14:paraId="7FB1B31A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ensure Senior Partner/MD-level quality across 500 unique scenarios, the following "Fresh-Eyes" architecture was applied:</w:t>
      </w:r>
    </w:p>
    <w:p w14:paraId="5F30E5E7" w14:textId="77777777" w:rsidR="00292F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Persona Fidelity:</w:t>
      </w:r>
      <w:r>
        <w:rPr>
          <w:rFonts w:ascii="Google Sans" w:eastAsia="Google Sans" w:hAnsi="Google Sans" w:cs="Google Sans"/>
          <w:color w:val="1F1F1F"/>
        </w:rPr>
        <w:t xml:space="preserve"> Every prompt starts with a specific role at a Tier-1 firm (McKinsey, Goldman Sachs, Blackstone, etc.) to anchor the "voice."</w:t>
      </w:r>
    </w:p>
    <w:p w14:paraId="71F0B9B0" w14:textId="77777777" w:rsidR="00292F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MECE Structuring:</w:t>
      </w:r>
      <w:r>
        <w:rPr>
          <w:rFonts w:ascii="Google Sans" w:eastAsia="Google Sans" w:hAnsi="Google Sans" w:cs="Google Sans"/>
          <w:color w:val="1F1F1F"/>
        </w:rPr>
        <w:t xml:space="preserve"> Prompts are organized into Mutually Exclusive, Collectively Exhaustive domains to ensure total coverage of the financial ecosystem.</w:t>
      </w:r>
    </w:p>
    <w:p w14:paraId="3B108EEC" w14:textId="77777777" w:rsidR="00292F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Momentum Baseline Test:</w:t>
      </w:r>
      <w:r>
        <w:rPr>
          <w:rFonts w:ascii="Google Sans" w:eastAsia="Google Sans" w:hAnsi="Google Sans" w:cs="Google Sans"/>
          <w:color w:val="1F1F1F"/>
        </w:rPr>
        <w:t xml:space="preserve"> Scenarios distinguish between current performance "facts" and future strategy "root causes."</w:t>
      </w:r>
    </w:p>
    <w:p w14:paraId="0547C27D" w14:textId="77777777" w:rsidR="00292FE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Technical Rigor:</w:t>
      </w:r>
      <w:r>
        <w:rPr>
          <w:rFonts w:ascii="Google Sans" w:eastAsia="Google Sans" w:hAnsi="Google Sans" w:cs="Google Sans"/>
          <w:color w:val="1F1F1F"/>
        </w:rPr>
        <w:t xml:space="preserve"> Prompts require specific mathematical outputs (WACC, NPV,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725C9B89" wp14:editId="65C7D492">
            <wp:extent cx="215180" cy="23908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180" cy="239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validation, Fama-French factor loads) and 2026-specific data points (SEC "AI-Washing" audits, $1,000/kg space manufacturing).</w:t>
      </w:r>
    </w:p>
    <w:p w14:paraId="2CFCE537" w14:textId="77777777" w:rsidR="00292FE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3E32E458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III. Master Table of Contents (Full 500 Prompt Index)</w:t>
      </w:r>
    </w:p>
    <w:p w14:paraId="7CF24478" w14:textId="77777777" w:rsidR="00292F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Domain 1: Corporate Strategy &amp; Growth (85 Prompts):</w:t>
      </w:r>
      <w:r>
        <w:rPr>
          <w:rFonts w:ascii="Google Sans" w:eastAsia="Google Sans" w:hAnsi="Google Sans" w:cs="Google Sans"/>
          <w:color w:val="1F1F1F"/>
        </w:rPr>
        <w:t xml:space="preserve"> Market entry, India's $1T digital roadmap, Sovereign AI green mandates, Digital Twin logistics.</w:t>
      </w:r>
    </w:p>
    <w:p w14:paraId="7539B975" w14:textId="77777777" w:rsidR="00292F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Domain 2: Mergers &amp; Acquisitions (95 Prompts):</w:t>
      </w:r>
      <w:r>
        <w:rPr>
          <w:rFonts w:ascii="Google Sans" w:eastAsia="Google Sans" w:hAnsi="Google Sans" w:cs="Google Sans"/>
          <w:color w:val="1F1F1F"/>
        </w:rPr>
        <w:t xml:space="preserve"> Megadeal refinancing logic, OECD Pillar Two ODD, cross-border tax residency, staggered purchase adjustments.</w:t>
      </w:r>
    </w:p>
    <w:p w14:paraId="428CC619" w14:textId="77777777" w:rsidR="00292F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Domain 3: Investment Banking &amp; Equity Research (80 Prompts):</w:t>
      </w:r>
      <w:r>
        <w:rPr>
          <w:rFonts w:ascii="Google Sans" w:eastAsia="Google Sans" w:hAnsi="Google Sans" w:cs="Google Sans"/>
          <w:color w:val="1F1F1F"/>
        </w:rPr>
        <w:t xml:space="preserve"> SEC "AI-Washing" audits, BillionToOne proof points, CET1 capital deployment, Fama-French alpha screens.</w:t>
      </w:r>
    </w:p>
    <w:p w14:paraId="2D988C05" w14:textId="77777777" w:rsidR="00292F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Domain 4: Private Equity &amp; Venture Capital (100 Prompts):</w:t>
      </w:r>
      <w:r>
        <w:rPr>
          <w:rFonts w:ascii="Google Sans" w:eastAsia="Google Sans" w:hAnsi="Google Sans" w:cs="Google Sans"/>
          <w:color w:val="1F1F1F"/>
        </w:rPr>
        <w:t xml:space="preserve"> DPI Restoration, 16,000-company exit backlog, 12-is-the-new-5 growth, 10-week "Fresh-Eyes" VCP audits.</w:t>
      </w:r>
    </w:p>
    <w:p w14:paraId="5040549D" w14:textId="77777777" w:rsidR="00292F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Domain 5: Economics &amp; Macroeconomic Analysis (70 Prompts):</w:t>
      </w:r>
      <w:r>
        <w:rPr>
          <w:rFonts w:ascii="Google Sans" w:eastAsia="Google Sans" w:hAnsi="Google Sans" w:cs="Google Sans"/>
          <w:color w:val="1F1F1F"/>
        </w:rPr>
        <w:t xml:space="preserve"> GEFI risk contagion, IMF sovereign ALM (CCA), "AI Lift and Economic Drift" models.</w:t>
      </w:r>
    </w:p>
    <w:p w14:paraId="4EFAD8BC" w14:textId="77777777" w:rsidR="00292FE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Domain 6: FP&amp;A &amp; Budgeting (70 Prompts):</w:t>
      </w:r>
      <w:r>
        <w:rPr>
          <w:rFonts w:ascii="Google Sans" w:eastAsia="Google Sans" w:hAnsi="Google Sans" w:cs="Google Sans"/>
          <w:color w:val="1F1F1F"/>
        </w:rPr>
        <w:t xml:space="preserve"> Airport authority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16ECEBF" wp14:editId="52FE59DD">
            <wp:extent cx="215180" cy="23908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180" cy="239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validation, decision-grade forecasting, budget slacking tests, </w:t>
      </w:r>
      <w:proofErr w:type="spellStart"/>
      <w:r>
        <w:rPr>
          <w:rFonts w:ascii="Google Sans" w:eastAsia="Google Sans" w:hAnsi="Google Sans" w:cs="Google Sans"/>
          <w:color w:val="1F1F1F"/>
        </w:rPr>
        <w:t>Jedox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digital twins.</w:t>
      </w:r>
    </w:p>
    <w:p w14:paraId="08598C00" w14:textId="77777777" w:rsidR="00292FE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02CA6362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IV. Representative High-Fidelity Prompts (Domain Leaders)</w:t>
      </w:r>
    </w:p>
    <w:p w14:paraId="6E5C9E75" w14:textId="77777777" w:rsidR="00292FEB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[Prompt 500] THE GRAND FINALE: The "Agentic CEO" Strategic Supervision Framework</w:t>
      </w:r>
    </w:p>
    <w:p w14:paraId="7237F320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Persona:</w:t>
      </w:r>
      <w:r>
        <w:rPr>
          <w:rFonts w:ascii="Google Sans" w:eastAsia="Google Sans" w:hAnsi="Google Sans" w:cs="Google Sans"/>
          <w:color w:val="1F1F1F"/>
        </w:rPr>
        <w:t xml:space="preserve"> Global Managing Director (Bulge Bracket/MBB Tier).</w:t>
      </w:r>
    </w:p>
    <w:p w14:paraId="6776FFF1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Scenario:</w:t>
      </w:r>
      <w:r>
        <w:rPr>
          <w:rFonts w:ascii="Google Sans" w:eastAsia="Google Sans" w:hAnsi="Google Sans" w:cs="Google Sans"/>
          <w:color w:val="1F1F1F"/>
        </w:rPr>
        <w:t xml:space="preserve"> The boundary between human operator and AI cocreator has dissolved; 60% of tasks are handled by autonomous agents.</w:t>
      </w:r>
    </w:p>
    <w:p w14:paraId="5B45C15A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  <w:r>
        <w:rPr>
          <w:rFonts w:ascii="Google Sans" w:eastAsia="Google Sans" w:hAnsi="Google Sans" w:cs="Google Sans"/>
          <w:color w:val="1F1F1F"/>
        </w:rPr>
        <w:t xml:space="preserve"> Create the definitive "Strategic Supervision" framework for the modern CEO to orchestrate an AI-first organization.</w:t>
      </w:r>
    </w:p>
    <w:p w14:paraId="1E177CC1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  <w:r>
        <w:rPr>
          <w:rFonts w:ascii="Google Sans" w:eastAsia="Google Sans" w:hAnsi="Google Sans" w:cs="Google Sans"/>
          <w:color w:val="1F1F1F"/>
        </w:rPr>
        <w:t xml:space="preserve"> "Act as a Global Managing Director. Design the 'Strategic Supervision' framework for a CEO in the 2027 Agentic AI era. Detail the shift from task execution to orchestration. Outline how to eliminate 'Shadow AI' risks while capturing the 13% revenue increase seen by AI-mature leaders. Define the 'Decision-to-Execution' engine architecture that allows an organization to respond at the speed of change. Format as the ultimate C-Suite Master Strategy for 2027."</w:t>
      </w:r>
    </w:p>
    <w:p w14:paraId="0619B08A" w14:textId="77777777" w:rsidR="00292FEB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[Prompt 483] IB: SEC "AI-Washing" Forensic Compliance Audit</w:t>
      </w:r>
    </w:p>
    <w:p w14:paraId="229648FE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Persona:</w:t>
      </w:r>
      <w:r>
        <w:rPr>
          <w:rFonts w:ascii="Google Sans" w:eastAsia="Google Sans" w:hAnsi="Google Sans" w:cs="Google Sans"/>
          <w:color w:val="1F1F1F"/>
        </w:rPr>
        <w:t xml:space="preserve"> Chief Compliance Officer at a Tier-1 Investment Bank.</w:t>
      </w:r>
    </w:p>
    <w:p w14:paraId="7A7B0E37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Scenario:</w:t>
      </w:r>
      <w:r>
        <w:rPr>
          <w:rFonts w:ascii="Google Sans" w:eastAsia="Google Sans" w:hAnsi="Google Sans" w:cs="Google Sans"/>
          <w:color w:val="1F1F1F"/>
        </w:rPr>
        <w:t xml:space="preserve"> The SEC's 2026 Priorities target firms suggesting AI is more commercially mature than it actually is.</w:t>
      </w:r>
    </w:p>
    <w:p w14:paraId="5DDD3AEE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  <w:r>
        <w:rPr>
          <w:rFonts w:ascii="Google Sans" w:eastAsia="Google Sans" w:hAnsi="Google Sans" w:cs="Google Sans"/>
          <w:color w:val="1F1F1F"/>
        </w:rPr>
        <w:t xml:space="preserve"> Conduct a forensic audit of 10-K risk factors and roadshow scripts to ensure "reasonable basis."</w:t>
      </w:r>
    </w:p>
    <w:p w14:paraId="0B2AAC7B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  <w:r>
        <w:rPr>
          <w:rFonts w:ascii="Google Sans" w:eastAsia="Google Sans" w:hAnsi="Google Sans" w:cs="Google Sans"/>
          <w:color w:val="1F1F1F"/>
        </w:rPr>
        <w:t xml:space="preserve"> "Act as a Chief Compliance Officer. The SEC is actively targeting 'AI-Washing' where automation claims exceed reality. Conduct a forensic audit of our public disclosures. Separate pilot programs from commercially mature functionality. Evaluate if margin expansion narratives in the MD&amp;A have clear data provenance. Format as a Compliance Audit Report with a Red/Amber/Green risk alignment table."</w:t>
      </w:r>
    </w:p>
    <w:p w14:paraId="7F27B35C" w14:textId="77777777" w:rsidR="00292FEB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[Prompt 494] PE: "12 is the New 5" EBITDA Growth Mandate</w:t>
      </w:r>
    </w:p>
    <w:p w14:paraId="3118D7F8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Persona:</w:t>
      </w:r>
      <w:r>
        <w:rPr>
          <w:rFonts w:ascii="Google Sans" w:eastAsia="Google Sans" w:hAnsi="Google Sans" w:cs="Google Sans"/>
          <w:color w:val="1F1F1F"/>
        </w:rPr>
        <w:t xml:space="preserve"> Senior Partner at Bain &amp; Company.</w:t>
      </w:r>
    </w:p>
    <w:p w14:paraId="21220F33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Scenario:</w:t>
      </w:r>
      <w:r>
        <w:rPr>
          <w:rFonts w:ascii="Google Sans" w:eastAsia="Google Sans" w:hAnsi="Google Sans" w:cs="Google Sans"/>
          <w:color w:val="1F1F1F"/>
        </w:rPr>
        <w:t xml:space="preserve"> Deals now require 12% EBITDA growth to hit IRR targets, double the 5% historical average.</w:t>
      </w:r>
    </w:p>
    <w:p w14:paraId="32ADE3A8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Task:</w:t>
      </w:r>
      <w:r>
        <w:rPr>
          <w:rFonts w:ascii="Google Sans" w:eastAsia="Google Sans" w:hAnsi="Google Sans" w:cs="Google Sans"/>
          <w:color w:val="1F1F1F"/>
        </w:rPr>
        <w:t xml:space="preserve"> Design a proactive sourcing system to identify "A-grade" assets years before they trade.</w:t>
      </w:r>
    </w:p>
    <w:p w14:paraId="54036C7C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Prompt:</w:t>
      </w:r>
      <w:r>
        <w:rPr>
          <w:rFonts w:ascii="Google Sans" w:eastAsia="Google Sans" w:hAnsi="Google Sans" w:cs="Google Sans"/>
          <w:color w:val="1F1F1F"/>
        </w:rPr>
        <w:t xml:space="preserve"> "Act as a Bain Senior Partner. In the '12 is the new 5' era, EBITDA growth must hit 12% to offset vanishing multiple expansion. Design a proactive sourcing system to identify </w:t>
      </w:r>
      <w:proofErr w:type="gramStart"/>
      <w:r>
        <w:rPr>
          <w:rFonts w:ascii="Google Sans" w:eastAsia="Google Sans" w:hAnsi="Google Sans" w:cs="Google Sans"/>
          <w:color w:val="1F1F1F"/>
        </w:rPr>
        <w:t>companies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years before they trade. Use unique strategy filters to determine an asset's 'Full Potential' before any other bidder. Address the use of clinician-centric digital tools for margin expansion. Format as an Investment Thesis Brief."</w:t>
      </w:r>
    </w:p>
    <w:p w14:paraId="2265C3B0" w14:textId="77777777" w:rsidR="00292FEB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9534FE4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V. Final Technical Compilation Script</w:t>
      </w:r>
    </w:p>
    <w:p w14:paraId="35110D55" w14:textId="77777777" w:rsidR="00292FEB" w:rsidRDefault="00292FE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6A3939E9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Python</w:t>
      </w:r>
    </w:p>
    <w:p w14:paraId="306F9D27" w14:textId="77777777" w:rsidR="00292FEB" w:rsidRDefault="00292F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44EC9E29" w14:textId="77777777" w:rsidR="00292FEB" w:rsidRDefault="00292FE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447C5F30" w14:textId="77777777" w:rsidR="00292FE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import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os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DEFINTIVE MASTER COMPILER FOR ALL 500 PROMPTS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class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FinalCompendiumArchitect</w:t>
      </w:r>
      <w:proofErr w:type="spellEnd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def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__</w:t>
      </w:r>
      <w:proofErr w:type="spellStart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init</w:t>
      </w:r>
      <w:proofErr w:type="spellEnd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__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(self, filename=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"The_2026_Strategic_Advisory_Compendium_Complete.md"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):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self.filename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filename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self.prompts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Fully compiled list of 500 prompts from previous history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def</w:t>
      </w:r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996900"/>
          <w:sz w:val="20"/>
          <w:szCs w:val="20"/>
          <w:shd w:val="clear" w:color="auto" w:fill="F0F4F9"/>
        </w:rPr>
        <w:t>generate_professional_manual</w:t>
      </w:r>
      <w:proofErr w:type="spellEnd"/>
      <w:r>
        <w:rPr>
          <w:rFonts w:ascii="Google Sans" w:eastAsia="Google Sans" w:hAnsi="Google Sans" w:cs="Google Sans"/>
          <w:color w:val="444746"/>
          <w:sz w:val="20"/>
          <w:szCs w:val="20"/>
          <w:shd w:val="clear" w:color="auto" w:fill="F0F4F9"/>
        </w:rPr>
        <w:t>(self):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with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open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self.filename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"w"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 encoding=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"utf-8"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)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as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f: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"# THE 2026 STRATEGIC ADVISORY AND FINANCIAL ENGINEERING COMPENDIUM\n"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"## MASTER MANUAL: 500 EXPERT-LEVEL PROMPTS\n"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f.write(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"========================================================\n\n"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"### I. STRATEGIC CONTEXT\n"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"Generated for the 'Decision Velocity' era of 2026.\n\n"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for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p </w:t>
      </w:r>
      <w:r>
        <w:rPr>
          <w:rFonts w:ascii="Google Sans" w:eastAsia="Google Sans" w:hAnsi="Google Sans" w:cs="Google Sans"/>
          <w:color w:val="8430CE"/>
          <w:sz w:val="20"/>
          <w:szCs w:val="20"/>
          <w:shd w:val="clear" w:color="auto" w:fill="F0F4F9"/>
        </w:rPr>
        <w:t>in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self.prompts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: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f"###}]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{p[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'title'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]}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f"**Domain:**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{p[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'domain'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]}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f"**Persona:**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{p[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'persona'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]}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f"**Scenario:**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{p[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'scenario'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]}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f"**Full High-Fidelity Prompt:**\n"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f"&gt;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{p[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'content'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]}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\n\n"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        </w:t>
      </w:r>
      <w:proofErr w:type="spellStart"/>
      <w:r>
        <w:rPr>
          <w:rFonts w:ascii="Google Sans" w:eastAsia="Google Sans" w:hAnsi="Google Sans" w:cs="Google Sans"/>
          <w:color w:val="1F1F1F"/>
          <w:shd w:val="clear" w:color="auto" w:fill="F0F4F9"/>
        </w:rPr>
        <w:t>f.write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"-"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*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50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+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"\n\n"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print(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f"Project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 Complete.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{</w:t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len</w:t>
      </w:r>
      <w:proofErr w:type="spellEnd"/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(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self.prompts</w:t>
      </w:r>
      <w:proofErr w:type="spellEnd"/>
      <w:proofErr w:type="gramEnd"/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)}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/500 prompts compiled into </w:t>
      </w:r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{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self.filename</w:t>
      </w:r>
      <w:proofErr w:type="spellEnd"/>
      <w:proofErr w:type="gramEnd"/>
      <w:r>
        <w:rPr>
          <w:rFonts w:ascii="Google Sans" w:eastAsia="Google Sans" w:hAnsi="Google Sans" w:cs="Google Sans"/>
          <w:color w:val="1F1F1F"/>
          <w:sz w:val="20"/>
          <w:szCs w:val="20"/>
          <w:shd w:val="clear" w:color="auto" w:fill="F0F4F9"/>
        </w:rPr>
        <w:t>}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."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)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# To execute locally, populate the 'prompts' list with the data strings provided in batches 1-25.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sectPr w:rsidR="00292FE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F6F67D9-96F0-47B7-90D5-941CE02A250F}"/>
  </w:font>
  <w:font w:name="Google Sans">
    <w:charset w:val="00"/>
    <w:family w:val="auto"/>
    <w:pitch w:val="default"/>
    <w:embedRegular r:id="rId2" w:fontKey="{54F28DC6-0793-4561-8FD1-612A5D538F5C}"/>
    <w:embedBold r:id="rId3" w:fontKey="{C47E683B-FF7E-4991-8E7B-0E9101C14F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B90A45-0173-4144-BE3B-366472CBDE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8F3E9C6-CA0B-4CFB-A3AE-93B9658D6F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655"/>
    <w:multiLevelType w:val="multilevel"/>
    <w:tmpl w:val="717E87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0B14F4"/>
    <w:multiLevelType w:val="multilevel"/>
    <w:tmpl w:val="2E5E30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F41D57"/>
    <w:multiLevelType w:val="multilevel"/>
    <w:tmpl w:val="ACE671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06734437">
    <w:abstractNumId w:val="1"/>
  </w:num>
  <w:num w:numId="2" w16cid:durableId="304507631">
    <w:abstractNumId w:val="0"/>
  </w:num>
  <w:num w:numId="3" w16cid:durableId="188613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EB"/>
    <w:rsid w:val="00292FEB"/>
    <w:rsid w:val="004E77C3"/>
    <w:rsid w:val="00A947AB"/>
    <w:rsid w:val="00DE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7747"/>
  <w15:docId w15:val="{5645761E-0CB3-49F4-A479-01764DAE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963</Words>
  <Characters>5491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Kalilur Rahman</dc:creator>
  <cp:lastModifiedBy>Naseem Banu</cp:lastModifiedBy>
  <cp:revision>2</cp:revision>
  <dcterms:created xsi:type="dcterms:W3CDTF">2026-03-03T02:06:00Z</dcterms:created>
  <dcterms:modified xsi:type="dcterms:W3CDTF">2026-03-03T02:06:00Z</dcterms:modified>
</cp:coreProperties>
</file>