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120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56"/>
                <w:szCs w:val="56"/>
              </w:rPr>
              <w:t xml:space="preserve">GCC PLAYBOOK</w:t>
            </w:r>
          </w:p>
        </w:tc>
      </w:tr>
    </w:tbl>
    <w:p>
      <w:pPr>
        <w:spacing w:before="16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E75B6"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PART III: THE FRONTIER</w:t>
            </w:r>
          </w:p>
        </w:tc>
      </w:tr>
    </w:tbl>
    <w:p>
      <w:pPr>
        <w:spacing w:before="400" w:after="0"/>
      </w:pPr>
      <w:r>
        <w:rPr>
          <w:rFonts w:ascii="Calibri" w:cs="Calibri" w:eastAsia="Calibri" w:hAnsi="Calibri"/>
          <w:sz w:val="4"/>
          <w:szCs w:val="4"/>
        </w:rPr>
        <w:t xml:space="preserve"/>
      </w:r>
    </w:p>
    <w:p>
      <w:pPr>
        <w:spacing w:before="40" w:after="20" w:line="276"/>
        <w:jc w:val="center"/>
      </w:pPr>
      <w:r>
        <w:rPr>
          <w:rFonts w:ascii="Calibri" w:cs="Calibri" w:eastAsia="Calibri" w:hAnsi="Calibri"/>
          <w:b/>
          <w:bCs/>
          <w:color w:val="1B3A5C"/>
          <w:sz w:val="26"/>
          <w:szCs w:val="26"/>
        </w:rPr>
        <w:t xml:space="preserve">What Comes Next for India's Global Capability Centres</w:t>
      </w:r>
    </w:p>
    <w:p>
      <w:pPr>
        <w:spacing w:before="20" w:after="40" w:line="276"/>
        <w:jc w:val="center"/>
      </w:pPr>
      <w:r>
        <w:rPr>
          <w:rFonts w:ascii="Calibri" w:cs="Calibri" w:eastAsia="Calibri" w:hAnsi="Calibri"/>
          <w:i/>
          <w:iCs/>
          <w:color w:val="555555"/>
          <w:sz w:val="22"/>
          <w:szCs w:val="22"/>
        </w:rPr>
        <w:t xml:space="preserve">AI  |  Global Locations  |  M&amp;A  |  Deep Tech  |  Finance  |  Legal  |  Innovation  |  ESG  |  Career  |  2030 Scenarios  |  Women in Leadership  |  Mid-Market  |  Wellbeing</w:t>
      </w:r>
    </w:p>
    <w:p>
      <w:pPr>
        <w:spacing w:before="60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200" w:after="0"/>
      </w:pPr>
      <w:r>
        <w:rPr>
          <w:rFonts w:ascii="Calibri" w:cs="Calibri" w:eastAsia="Calibri" w:hAnsi="Calibri"/>
          <w:sz w:val="4"/>
          <w:szCs w:val="4"/>
        </w:rPr>
        <w:t xml:space="preserve"/>
      </w:r>
    </w:p>
    <w:p>
      <w:pPr>
        <w:spacing w:before="20" w:after="10" w:line="276"/>
        <w:jc w:val="center"/>
      </w:pPr>
      <w:r>
        <w:rPr>
          <w:rFonts w:ascii="Calibri" w:cs="Calibri" w:eastAsia="Calibri" w:hAnsi="Calibri"/>
          <w:b/>
          <w:bCs/>
          <w:color w:val="1A1A1A"/>
          <w:sz w:val="24"/>
          <w:szCs w:val="24"/>
        </w:rPr>
        <w:t xml:space="preserve">Curated by Kalilur Rahman</w:t>
      </w:r>
    </w:p>
    <w:p>
      <w:pPr>
        <w:spacing w:before="10" w:after="10" w:line="276"/>
        <w:jc w:val="center"/>
      </w:pPr>
      <w:r>
        <w:rPr>
          <w:rFonts w:ascii="Calibri" w:cs="Calibri" w:eastAsia="Calibri" w:hAnsi="Calibri"/>
          <w:color w:val="0D6E8A"/>
          <w:sz w:val="20"/>
          <w:szCs w:val="20"/>
        </w:rPr>
        <w:t xml:space="preserve">kalilurrahman.lovable.app</w:t>
      </w:r>
    </w:p>
    <w:p>
      <w:pPr>
        <w:spacing w:before="10" w:after="0" w:line="276"/>
        <w:jc w:val="center"/>
      </w:pPr>
      <w:r>
        <w:rPr>
          <w:rFonts w:ascii="Calibri" w:cs="Calibri" w:eastAsia="Calibri" w:hAnsi="Calibri"/>
          <w:color w:val="555555"/>
          <w:sz w:val="22"/>
          <w:szCs w:val="22"/>
        </w:rPr>
        <w:t xml:space="preserve">2026 - 2030</w:t>
      </w:r>
    </w:p>
    <w:p>
      <w:r>
        <w:br w:type="page"/>
      </w:r>
    </w:p>
    <w:p>
      <w:pPr>
        <w:pStyle w:val="Heading2"/>
        <w:spacing w:before="240" w:after="80" w:line="276"/>
      </w:pPr>
      <w:r>
        <w:rPr>
          <w:rFonts w:ascii="Calibri" w:cs="Calibri" w:eastAsia="Calibri" w:hAnsi="Calibri"/>
          <w:b/>
          <w:bCs/>
          <w:color w:val="1F5C99"/>
          <w:sz w:val="26"/>
          <w:szCs w:val="26"/>
        </w:rPr>
        <w:t xml:space="preserve">About Part III</w:t>
      </w:r>
    </w:p>
    <w:p>
      <w:pPr>
        <w:spacing w:before="0" w:after="100" w:line="288"/>
      </w:pPr>
      <w:r>
        <w:rPr>
          <w:rFonts w:ascii="Calibri" w:cs="Calibri" w:eastAsia="Calibri" w:hAnsi="Calibri"/>
          <w:color w:val="1A1A1A"/>
          <w:sz w:val="22"/>
          <w:szCs w:val="22"/>
        </w:rPr>
        <w:t xml:space="preserve">Part III addresses the gaps not covered in Parts I and II. It covers 14 chapters: the emerging challenges, underdocumented domains, and frontier topics that will define GCC leadership from 2026 to 2030. All chapters are written in the same executive framework as Parts I and II: data-grounded, practitioner-oriented, and structured for direct application.</w:t>
      </w:r>
    </w:p>
    <w:p>
      <w:pPr>
        <w:spacing w:before="0" w:after="100" w:line="288"/>
      </w:pPr>
      <w:r>
        <w:rPr>
          <w:rFonts w:ascii="Calibri" w:cs="Calibri" w:eastAsia="Calibri" w:hAnsi="Calibri"/>
          <w:color w:val="1A1A1A"/>
          <w:sz w:val="22"/>
          <w:szCs w:val="22"/>
        </w:rPr>
        <w:t xml:space="preserve">As with the full Playbook, this is an open-access resource. All benchmarks are sourced from publicly available research. No entry reflects a commercial endorsement.</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GCC PLAYBOOK</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PART III: THE FRONTIER</w:t>
      </w:r>
    </w:p>
    <w:p>
      <w:pPr>
        <w:pStyle w:val="Heading2"/>
        <w:spacing w:before="240" w:after="80" w:line="276"/>
      </w:pPr>
      <w:r>
        <w:rPr>
          <w:rFonts w:ascii="Calibri" w:cs="Calibri" w:eastAsia="Calibri" w:hAnsi="Calibri"/>
          <w:b/>
          <w:bCs/>
          <w:color w:val="1F5C99"/>
          <w:sz w:val="26"/>
          <w:szCs w:val="26"/>
        </w:rPr>
        <w:t xml:space="preserve">What Comes Next for India's Global Capability Centres</w:t>
      </w:r>
    </w:p>
    <w:p>
      <w:pPr>
        <w:spacing w:before="40" w:after="40" w:line="276"/>
      </w:pPr>
      <w:r>
        <w:rPr>
          <w:rFonts w:ascii="Calibri" w:cs="Calibri" w:eastAsia="Calibri" w:hAnsi="Calibri"/>
          <w:i/>
          <w:iCs/>
          <w:color w:val="555555"/>
          <w:sz w:val="21"/>
          <w:szCs w:val="21"/>
        </w:rPr>
        <w:t xml:space="preserve">Curated by Kalilur Rahman | kalilurrahman.lovable.app | 2026-2030</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PART III OUTLINE</w:t>
      </w:r>
    </w:p>
    <w:p>
      <w:pPr>
        <w:spacing w:before="0" w:after="100" w:line="288"/>
      </w:pPr>
      <w:r>
        <w:rPr>
          <w:rFonts w:ascii="Calibri" w:cs="Calibri" w:eastAsia="Calibri" w:hAnsi="Calibri"/>
          <w:color w:val="1A1A1A"/>
          <w:sz w:val="22"/>
          <w:szCs w:val="22"/>
        </w:rPr>
        <w:t xml:space="preserve">Chapter 1: AI as GCC Operating Infrastructure</w:t>
      </w:r>
    </w:p>
    <w:p>
      <w:pPr>
        <w:spacing w:before="0" w:after="100" w:line="288"/>
      </w:pPr>
      <w:r>
        <w:rPr>
          <w:rFonts w:ascii="Calibri" w:cs="Calibri" w:eastAsia="Calibri" w:hAnsi="Calibri"/>
          <w:color w:val="1A1A1A"/>
          <w:sz w:val="22"/>
          <w:szCs w:val="22"/>
        </w:rPr>
        <w:t xml:space="preserve">Chapter 2: The Global Location Competition</w:t>
      </w:r>
    </w:p>
    <w:p>
      <w:pPr>
        <w:spacing w:before="0" w:after="100" w:line="288"/>
      </w:pPr>
      <w:r>
        <w:rPr>
          <w:rFonts w:ascii="Calibri" w:cs="Calibri" w:eastAsia="Calibri" w:hAnsi="Calibri"/>
          <w:color w:val="1A1A1A"/>
          <w:sz w:val="22"/>
          <w:szCs w:val="22"/>
        </w:rPr>
        <w:t xml:space="preserve">Chapter 3: GCC M&amp;A, Consolidation, and the Portfolio Enterprise</w:t>
      </w:r>
    </w:p>
    <w:p>
      <w:pPr>
        <w:spacing w:before="0" w:after="100" w:line="288"/>
      </w:pPr>
      <w:r>
        <w:rPr>
          <w:rFonts w:ascii="Calibri" w:cs="Calibri" w:eastAsia="Calibri" w:hAnsi="Calibri"/>
          <w:color w:val="1A1A1A"/>
          <w:sz w:val="22"/>
          <w:szCs w:val="22"/>
        </w:rPr>
        <w:t xml:space="preserve">Chapter 4: Deep-Tech GCCs: Semiconductors, Quantum, and Space</w:t>
      </w:r>
    </w:p>
    <w:p>
      <w:pPr>
        <w:spacing w:before="0" w:after="100" w:line="288"/>
      </w:pPr>
      <w:r>
        <w:rPr>
          <w:rFonts w:ascii="Calibri" w:cs="Calibri" w:eastAsia="Calibri" w:hAnsi="Calibri"/>
          <w:color w:val="1A1A1A"/>
          <w:sz w:val="22"/>
          <w:szCs w:val="22"/>
        </w:rPr>
        <w:t xml:space="preserve">Chapter 5: GCC Finance and Treasury</w:t>
      </w:r>
    </w:p>
    <w:p>
      <w:pPr>
        <w:spacing w:before="0" w:after="100" w:line="288"/>
      </w:pPr>
      <w:r>
        <w:rPr>
          <w:rFonts w:ascii="Calibri" w:cs="Calibri" w:eastAsia="Calibri" w:hAnsi="Calibri"/>
          <w:color w:val="1A1A1A"/>
          <w:sz w:val="22"/>
          <w:szCs w:val="22"/>
        </w:rPr>
        <w:t xml:space="preserve">Chapter 6: The GCC Talent Intelligence System</w:t>
      </w:r>
    </w:p>
    <w:p>
      <w:pPr>
        <w:spacing w:before="0" w:after="100" w:line="288"/>
      </w:pPr>
      <w:r>
        <w:rPr>
          <w:rFonts w:ascii="Calibri" w:cs="Calibri" w:eastAsia="Calibri" w:hAnsi="Calibri"/>
          <w:color w:val="1A1A1A"/>
          <w:sz w:val="22"/>
          <w:szCs w:val="22"/>
        </w:rPr>
        <w:t xml:space="preserve">Chapter 7: Legal, Regulatory, and Compliance: The Complete Framework</w:t>
      </w:r>
    </w:p>
    <w:p>
      <w:pPr>
        <w:spacing w:before="0" w:after="100" w:line="288"/>
      </w:pPr>
      <w:r>
        <w:rPr>
          <w:rFonts w:ascii="Calibri" w:cs="Calibri" w:eastAsia="Calibri" w:hAnsi="Calibri"/>
          <w:color w:val="1A1A1A"/>
          <w:sz w:val="22"/>
          <w:szCs w:val="22"/>
        </w:rPr>
        <w:t xml:space="preserve">Chapter 8: Building the GCC Innovation Engine</w:t>
      </w:r>
    </w:p>
    <w:p>
      <w:pPr>
        <w:spacing w:before="0" w:after="100" w:line="288"/>
      </w:pPr>
      <w:r>
        <w:rPr>
          <w:rFonts w:ascii="Calibri" w:cs="Calibri" w:eastAsia="Calibri" w:hAnsi="Calibri"/>
          <w:color w:val="1A1A1A"/>
          <w:sz w:val="22"/>
          <w:szCs w:val="22"/>
        </w:rPr>
        <w:t xml:space="preserve">Chapter 9: ESG and Sustainability in the GCC Context</w:t>
      </w:r>
    </w:p>
    <w:p>
      <w:pPr>
        <w:spacing w:before="0" w:after="100" w:line="288"/>
      </w:pPr>
      <w:r>
        <w:rPr>
          <w:rFonts w:ascii="Calibri" w:cs="Calibri" w:eastAsia="Calibri" w:hAnsi="Calibri"/>
          <w:color w:val="1A1A1A"/>
          <w:sz w:val="22"/>
          <w:szCs w:val="22"/>
        </w:rPr>
        <w:t xml:space="preserve">Chapter 10: The GCC Leader's Career Architecture</w:t>
      </w:r>
    </w:p>
    <w:p>
      <w:pPr>
        <w:spacing w:before="0" w:after="100" w:line="288"/>
      </w:pPr>
      <w:r>
        <w:rPr>
          <w:rFonts w:ascii="Calibri" w:cs="Calibri" w:eastAsia="Calibri" w:hAnsi="Calibri"/>
          <w:color w:val="1A1A1A"/>
          <w:sz w:val="22"/>
          <w:szCs w:val="22"/>
        </w:rPr>
        <w:t xml:space="preserve">Chapter 11: GCC 2030: Scenarios and Strategic Inflection Points</w:t>
      </w:r>
    </w:p>
    <w:p>
      <w:pPr>
        <w:spacing w:before="0" w:after="100" w:line="288"/>
      </w:pPr>
      <w:r>
        <w:rPr>
          <w:rFonts w:ascii="Calibri" w:cs="Calibri" w:eastAsia="Calibri" w:hAnsi="Calibri"/>
          <w:color w:val="1A1A1A"/>
          <w:sz w:val="22"/>
          <w:szCs w:val="22"/>
        </w:rPr>
        <w:t xml:space="preserve">Chapter 12: Women in GCC Leadership</w:t>
      </w:r>
    </w:p>
    <w:p>
      <w:pPr>
        <w:spacing w:before="0" w:after="100" w:line="288"/>
      </w:pPr>
      <w:r>
        <w:rPr>
          <w:rFonts w:ascii="Calibri" w:cs="Calibri" w:eastAsia="Calibri" w:hAnsi="Calibri"/>
          <w:color w:val="1A1A1A"/>
          <w:sz w:val="22"/>
          <w:szCs w:val="22"/>
        </w:rPr>
        <w:t xml:space="preserve">Chapter 13: The Mid-Market GCC Playbook</w:t>
      </w:r>
    </w:p>
    <w:p>
      <w:pPr>
        <w:spacing w:before="0" w:after="100" w:line="288"/>
      </w:pPr>
      <w:r>
        <w:rPr>
          <w:rFonts w:ascii="Calibri" w:cs="Calibri" w:eastAsia="Calibri" w:hAnsi="Calibri"/>
          <w:color w:val="1A1A1A"/>
          <w:sz w:val="22"/>
          <w:szCs w:val="22"/>
        </w:rPr>
        <w:t xml:space="preserve">Chapter 14: Mental Health and Workforce Wellbeing</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ONE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AI as GCC Operating Infrastructure</w:t>
      </w:r>
    </w:p>
    <w:p>
      <w:pPr>
        <w:spacing w:before="40" w:after="40" w:line="276"/>
      </w:pPr>
      <w:r>
        <w:rPr>
          <w:rFonts w:ascii="Calibri" w:cs="Calibri" w:eastAsia="Calibri" w:hAnsi="Calibri"/>
          <w:i/>
          <w:iCs/>
          <w:color w:val="555555"/>
          <w:sz w:val="21"/>
          <w:szCs w:val="21"/>
        </w:rPr>
        <w:t xml:space="preserve">From Adoption Metric to Operating Layer: What Every GCC Leader Must Do Now</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GCC ecosystem has spent the last three years talking about AI. Most centers have pilot programs. Many have published AI strategies. A significant number have created Chief AI Officer roles or AI Centre of Excellence charters. And yet the data from Zinnov and ProHance published in late 2025 is blunt: more than 70% of GCCs cannot measure the ROI of their AI investments. They are spending, but they cannot demonstrate return.</w:t>
      </w:r>
    </w:p>
    <w:p>
      <w:pPr>
        <w:spacing w:before="0" w:after="100" w:line="288"/>
      </w:pPr>
      <w:r>
        <w:rPr>
          <w:rFonts w:ascii="Calibri" w:cs="Calibri" w:eastAsia="Calibri" w:hAnsi="Calibri"/>
          <w:color w:val="1A1A1A"/>
          <w:sz w:val="22"/>
          <w:szCs w:val="22"/>
        </w:rPr>
        <w:t xml:space="preserve">This is not an AI problem. It is a governance problem. The centers that cannot measure AI ROI are the ones that treated AI as a technology adoption initiative rather than an operating model shift. They implemented tools. They did not redesign work. The distinction matters enormously, because tool adoption produces usage metrics and cost centers, while operating model redesign produces output uplift and competitive capability.</w:t>
      </w:r>
    </w:p>
    <w:p>
      <w:pPr>
        <w:spacing w:before="0" w:after="100" w:line="288"/>
      </w:pPr>
      <w:r>
        <w:rPr>
          <w:rFonts w:ascii="Calibri" w:cs="Calibri" w:eastAsia="Calibri" w:hAnsi="Calibri"/>
          <w:color w:val="1A1A1A"/>
          <w:sz w:val="22"/>
          <w:szCs w:val="22"/>
        </w:rPr>
        <w:t xml:space="preserve">Part III opens with AI because it is the single most consequential variable in the GCC equation for 2026-2030. Not as an emerging technology, but as infrastructure  -  the way cloud computing stopped being a project in 2015 and became the assumed substrate of all technology work. AI is making that same transition in GCC operations right now. Centers that govern this transition deliberately will pull ahead of the ecosystem. Centers that manage it as a series of tool deployments will find themselves explaining flat productivity curves to global leadership by 2027.</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 The Measurement Crisis: Why 70% of GCCs Cannot Prove AI ROI</w:t>
      </w:r>
    </w:p>
    <w:p>
      <w:pPr>
        <w:spacing w:before="0" w:after="100" w:line="288"/>
      </w:pPr>
      <w:r>
        <w:rPr>
          <w:rFonts w:ascii="Calibri" w:cs="Calibri" w:eastAsia="Calibri" w:hAnsi="Calibri"/>
          <w:color w:val="1A1A1A"/>
          <w:sz w:val="22"/>
          <w:szCs w:val="22"/>
        </w:rPr>
        <w:t xml:space="preserve">The Zinnov-ProHance research from late 2025 surveyed 340 GCCs across size tiers and sectors. The finding that 70% cannot measure AI ROI does not mean these centers are not investing. Average AI spend per GCC increased 340% between 2023 and 2025. The measurement failure stems from three structural gaps.</w:t>
      </w:r>
    </w:p>
    <w:p>
      <w:pPr>
        <w:spacing w:before="0" w:after="100" w:line="288"/>
      </w:pPr>
      <w:r>
        <w:rPr>
          <w:rFonts w:ascii="Calibri" w:cs="Calibri" w:eastAsia="Calibri" w:hAnsi="Calibri"/>
          <w:color w:val="1A1A1A"/>
          <w:sz w:val="22"/>
          <w:szCs w:val="22"/>
        </w:rPr>
        <w:t xml:space="preserve">Gap 1: Output metrics were never established before AI deployment. Most GCCs deployed AI tools into existing workflows without first measuring baseline productivity in those workflows. When leadership asks what changed, there is no before-and-after comparison available. The center knows how many engineers use Copilot. It does not know whether code quality improved, defect rates fell, or time-to-deployment shortened.</w:t>
      </w:r>
    </w:p>
    <w:p>
      <w:pPr>
        <w:spacing w:before="0" w:after="100" w:line="288"/>
      </w:pPr>
      <w:r>
        <w:rPr>
          <w:rFonts w:ascii="Calibri" w:cs="Calibri" w:eastAsia="Calibri" w:hAnsi="Calibri"/>
          <w:color w:val="1A1A1A"/>
          <w:sz w:val="22"/>
          <w:szCs w:val="22"/>
        </w:rPr>
        <w:t xml:space="preserve">Gap 2: AI spend is booked as IT cost, not capability investment. When AI licensing is expensed as software cost rather than tracked as capability investment with its own output metrics, there is no natural accountability framework. The CFO sees a line item. Nobody owns the ROI.</w:t>
      </w:r>
    </w:p>
    <w:p>
      <w:pPr>
        <w:spacing w:before="0" w:after="100" w:line="288"/>
      </w:pPr>
      <w:r>
        <w:rPr>
          <w:rFonts w:ascii="Calibri" w:cs="Calibri" w:eastAsia="Calibri" w:hAnsi="Calibri"/>
          <w:color w:val="1A1A1A"/>
          <w:sz w:val="22"/>
          <w:szCs w:val="22"/>
        </w:rPr>
        <w:t xml:space="preserve">Gap 3: The wrong metrics are being tracked. Adoption rate  -  the percentage of employees using AI tools  -  is the dominant metric in most GCCs. Adoption rate measures behavior change, not output change. A GCC where 80% of engineers use AI copilots daily but produce the same number of features at the same defect rate has changed nothing. The metric flatters the investment and hides the governance failure.</w:t>
      </w:r>
    </w:p>
    <w:p>
      <w:pPr>
        <w:spacing w:before="120" w:after="60" w:line="276"/>
      </w:pPr>
      <w:r>
        <w:rPr>
          <w:rFonts w:ascii="Calibri" w:cs="Calibri" w:eastAsia="Calibri" w:hAnsi="Calibri"/>
          <w:b/>
          <w:bCs/>
          <w:color w:val="1A1A1A"/>
          <w:sz w:val="22"/>
          <w:szCs w:val="22"/>
        </w:rPr>
        <w:t xml:space="preserve">The ROI Framework That Works</w:t>
      </w:r>
    </w:p>
    <w:p>
      <w:pPr>
        <w:spacing w:before="0" w:after="100" w:line="288"/>
      </w:pPr>
      <w:r>
        <w:rPr>
          <w:rFonts w:ascii="Calibri" w:cs="Calibri" w:eastAsia="Calibri" w:hAnsi="Calibri"/>
          <w:color w:val="1A1A1A"/>
          <w:sz w:val="22"/>
          <w:szCs w:val="22"/>
        </w:rPr>
        <w:t xml:space="preserve">Leading GCCs  -  the 30% that can measure AI ROI  -  share a common approach. They define output at the task level before any AI deployment. They measure the same output metrics after deployment at 30, 90, and 180 days. They separate productivity gains from quality changes, because AI tools often trade quality for speed if not governed carefully. And they track total cost of ownership, not just licensing cost, including the time cost of prompt engineering, output review, and rework.</w:t>
      </w:r>
    </w:p>
    <w:p>
      <w:pPr>
        <w:spacing w:before="0" w:after="100" w:line="288"/>
      </w:pPr>
      <w:r>
        <w:rPr>
          <w:rFonts w:ascii="Calibri" w:cs="Calibri" w:eastAsia="Calibri" w:hAnsi="Calibri"/>
          <w:color w:val="1A1A1A"/>
          <w:sz w:val="22"/>
          <w:szCs w:val="22"/>
        </w:rPr>
        <w:t xml:space="preserve">The benchmark numbers from centers that have this framework in place: well-governed AI deployment in software engineering produces a 25-40% reduction in time-to-first-draft for code, documentation, and test cases. In analytics and data work, it produces a 30-50% reduction in data preparation time. In customer operations, it produces a 20-35% reduction in handle time for routine query resolution. These numbers are achievable. They are not the default outcome of tool deployment. They require deliberate workflow redesign.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 Agentic AI: The Shift That Changes Everything in 2026</w:t>
      </w:r>
    </w:p>
    <w:p>
      <w:pPr>
        <w:spacing w:before="0" w:after="100" w:line="288"/>
      </w:pPr>
      <w:r>
        <w:rPr>
          <w:rFonts w:ascii="Calibri" w:cs="Calibri" w:eastAsia="Calibri" w:hAnsi="Calibri"/>
          <w:color w:val="1A1A1A"/>
          <w:sz w:val="22"/>
          <w:szCs w:val="22"/>
        </w:rPr>
        <w:t xml:space="preserve">Copilots and generative AI tools are the first wave. The second wave  -  already arriving in the most advanced GCCs as of early 2026  -  is agentic AI: autonomous software systems that complete multi-step tasks without human intervention at each step.</w:t>
      </w:r>
    </w:p>
    <w:p>
      <w:pPr>
        <w:spacing w:before="0" w:after="100" w:line="288"/>
      </w:pPr>
      <w:r>
        <w:rPr>
          <w:rFonts w:ascii="Calibri" w:cs="Calibri" w:eastAsia="Calibri" w:hAnsi="Calibri"/>
          <w:color w:val="1A1A1A"/>
          <w:sz w:val="22"/>
          <w:szCs w:val="22"/>
        </w:rPr>
        <w:t xml:space="preserve">The distinction matters practically. A copilot helps a human write code faster. An agent can be given a specification, write the code, run the tests, identify failures, revise the code, and submit a pull request  -  completing a task that previously required 4-6 hours of human attention in 20-40 minutes. The first wave changed how humans work. The second wave changes how much human work is required.</w:t>
      </w:r>
    </w:p>
    <w:p>
      <w:pPr>
        <w:spacing w:before="120" w:after="60" w:line="276"/>
      </w:pPr>
      <w:r>
        <w:rPr>
          <w:rFonts w:ascii="Calibri" w:cs="Calibri" w:eastAsia="Calibri" w:hAnsi="Calibri"/>
          <w:b/>
          <w:bCs/>
          <w:color w:val="1A1A1A"/>
          <w:sz w:val="22"/>
          <w:szCs w:val="22"/>
        </w:rPr>
        <w:t xml:space="preserve">What Agentic AI Means for GCC Headcount Planning</w:t>
      </w:r>
    </w:p>
    <w:p>
      <w:pPr>
        <w:spacing w:before="0" w:after="100" w:line="288"/>
      </w:pPr>
      <w:r>
        <w:rPr>
          <w:rFonts w:ascii="Calibri" w:cs="Calibri" w:eastAsia="Calibri" w:hAnsi="Calibri"/>
          <w:color w:val="1A1A1A"/>
          <w:sz w:val="22"/>
          <w:szCs w:val="22"/>
        </w:rPr>
        <w:t xml:space="preserve">The standard GCC workforce planning model assumes that output scales linearly with headcount. More engineers, more features. More analysts, more reports. Agentic AI breaks this assumption. A team of 20 engineers with well-deployed agents can deliver what previously required 30. This is not a threat to be managed  -  it is a capability multiplier to be governed. But it requires GCC leaders to think about workforce planning differently.</w:t>
      </w:r>
    </w:p>
    <w:p>
      <w:pPr>
        <w:spacing w:before="0" w:after="100" w:line="288"/>
      </w:pPr>
      <w:r>
        <w:rPr>
          <w:rFonts w:ascii="Calibri" w:cs="Calibri" w:eastAsia="Calibri" w:hAnsi="Calibri"/>
          <w:color w:val="1A1A1A"/>
          <w:sz w:val="22"/>
          <w:szCs w:val="22"/>
        </w:rPr>
        <w:t xml:space="preserve">The leading GCCs are not planning to reduce headcount as AI agents mature. They are planning to redeploy capacity: the same number of engineers working on higher-complexity problems, with agents handling the routine assembly work. This is the right model for 2026-2028. By 2029-2030, as agent capability expands into more complex domains, the headcount question will require a more honest answer.</w:t>
      </w:r>
    </w:p>
    <w:p>
      <w:pPr>
        <w:spacing w:before="120" w:after="60" w:line="276"/>
      </w:pPr>
      <w:r>
        <w:rPr>
          <w:rFonts w:ascii="Calibri" w:cs="Calibri" w:eastAsia="Calibri" w:hAnsi="Calibri"/>
          <w:b/>
          <w:bCs/>
          <w:color w:val="1A1A1A"/>
          <w:sz w:val="22"/>
          <w:szCs w:val="22"/>
        </w:rPr>
        <w:t xml:space="preserve">The Agentic AI Governance Framework</w:t>
      </w:r>
    </w:p>
    <w:p>
      <w:pPr>
        <w:spacing w:before="0" w:after="100" w:line="288"/>
      </w:pPr>
      <w:r>
        <w:rPr>
          <w:rFonts w:ascii="Calibri" w:cs="Calibri" w:eastAsia="Calibri" w:hAnsi="Calibri"/>
          <w:color w:val="1A1A1A"/>
          <w:sz w:val="22"/>
          <w:szCs w:val="22"/>
        </w:rPr>
        <w:t xml:space="preserve">Five elements define mature agentic AI governance in a GCC:</w:t>
      </w:r>
    </w:p>
    <w:p>
      <w:pPr>
        <w:pStyle w:val="ListParagraph"/>
        <w:numPr>
          <w:ilvl w:val="0"/>
          <w:numId w:val="2"/>
        </w:numPr>
        <w:spacing w:before="20" w:after="20" w:line="276"/>
      </w:pPr>
      <w:r>
        <w:rPr>
          <w:rFonts w:ascii="Calibri" w:cs="Calibri" w:eastAsia="Calibri" w:hAnsi="Calibri"/>
          <w:color w:val="1A1A1A"/>
          <w:sz w:val="22"/>
          <w:szCs w:val="22"/>
        </w:rPr>
        <w:t xml:space="preserve">Task taxonomy. Define which tasks are agent-eligible (routine, rule-based, well-specified inputs and outputs) versus human-required (ambiguous, judgment-intensive, relationship-dependent). This taxonomy drives deployment decisions and workforce planning.</w:t>
      </w:r>
    </w:p>
    <w:p>
      <w:pPr>
        <w:pStyle w:val="ListParagraph"/>
        <w:numPr>
          <w:ilvl w:val="0"/>
          <w:numId w:val="2"/>
        </w:numPr>
        <w:spacing w:before="20" w:after="20" w:line="276"/>
      </w:pPr>
      <w:r>
        <w:rPr>
          <w:rFonts w:ascii="Calibri" w:cs="Calibri" w:eastAsia="Calibri" w:hAnsi="Calibri"/>
          <w:color w:val="1A1A1A"/>
          <w:sz w:val="22"/>
          <w:szCs w:val="22"/>
        </w:rPr>
        <w:t xml:space="preserve">Quality gates. Every agent workflow requires defined checkpoints where human review is mandatory before output is released downstream. The default gate architecture: human review at specification input, human review of first-pass output, automated testing for objective quality dimensions, human sign-off before client or HQ delivery.</w:t>
      </w:r>
    </w:p>
    <w:p>
      <w:pPr>
        <w:pStyle w:val="ListParagraph"/>
        <w:numPr>
          <w:ilvl w:val="0"/>
          <w:numId w:val="2"/>
        </w:numPr>
        <w:spacing w:before="20" w:after="20" w:line="276"/>
      </w:pPr>
      <w:r>
        <w:rPr>
          <w:rFonts w:ascii="Calibri" w:cs="Calibri" w:eastAsia="Calibri" w:hAnsi="Calibri"/>
          <w:color w:val="1A1A1A"/>
          <w:sz w:val="22"/>
          <w:szCs w:val="22"/>
        </w:rPr>
        <w:t xml:space="preserve">IP and data governance. Agents processing client data, proprietary code, or regulated information require explicit data handling policies. The default assumption  -  that AI tools are safe for all data  -  is wrong and has created compliance incidents at multiple large GCCs in 2025.</w:t>
      </w:r>
    </w:p>
    <w:p>
      <w:pPr>
        <w:pStyle w:val="ListParagraph"/>
        <w:numPr>
          <w:ilvl w:val="0"/>
          <w:numId w:val="2"/>
        </w:numPr>
        <w:spacing w:before="20" w:after="20" w:line="276"/>
      </w:pPr>
      <w:r>
        <w:rPr>
          <w:rFonts w:ascii="Calibri" w:cs="Calibri" w:eastAsia="Calibri" w:hAnsi="Calibri"/>
          <w:color w:val="1A1A1A"/>
          <w:sz w:val="22"/>
          <w:szCs w:val="22"/>
        </w:rPr>
        <w:t xml:space="preserve">Incident protocols. When an agent produces an error that reaches a downstream system, who is accountable? How is the error detected? How is it remediated? GCCs without incident protocols for AI errors discover the gap expensively.</w:t>
      </w:r>
    </w:p>
    <w:p>
      <w:pPr>
        <w:pStyle w:val="ListParagraph"/>
        <w:numPr>
          <w:ilvl w:val="0"/>
          <w:numId w:val="2"/>
        </w:numPr>
        <w:spacing w:before="20" w:after="20" w:line="276"/>
      </w:pPr>
      <w:r>
        <w:rPr>
          <w:rFonts w:ascii="Calibri" w:cs="Calibri" w:eastAsia="Calibri" w:hAnsi="Calibri"/>
          <w:color w:val="1A1A1A"/>
          <w:sz w:val="22"/>
          <w:szCs w:val="22"/>
        </w:rPr>
        <w:t xml:space="preserve">Workforce transition. As agent deployment expands, the roles most affected are junior-to-mid-level positions in software engineering, data analytics, and business process. Governance requires a proactive reskilling program, not reactive management of role obsolescence.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 AI-First Talent Architecture</w:t>
      </w:r>
    </w:p>
    <w:p>
      <w:pPr>
        <w:spacing w:before="0" w:after="100" w:line="288"/>
      </w:pPr>
      <w:r>
        <w:rPr>
          <w:rFonts w:ascii="Calibri" w:cs="Calibri" w:eastAsia="Calibri" w:hAnsi="Calibri"/>
          <w:color w:val="1A1A1A"/>
          <w:sz w:val="22"/>
          <w:szCs w:val="22"/>
        </w:rPr>
        <w:t xml:space="preserve">The GCC talent architecture of 2020 was built around hiring volumes: find enough engineers, analysts, and operations staff to meet global demand. The AI-first talent architecture of 2026 is built around capability density: fewer people, deeper skills, higher output per person.</w:t>
      </w:r>
    </w:p>
    <w:p>
      <w:pPr>
        <w:spacing w:before="120" w:after="60" w:line="276"/>
      </w:pPr>
      <w:r>
        <w:rPr>
          <w:rFonts w:ascii="Calibri" w:cs="Calibri" w:eastAsia="Calibri" w:hAnsi="Calibri"/>
          <w:b/>
          <w:bCs/>
          <w:color w:val="1A1A1A"/>
          <w:sz w:val="22"/>
          <w:szCs w:val="22"/>
        </w:rPr>
        <w:t xml:space="preserve">The New Hiring Profile</w:t>
      </w:r>
    </w:p>
    <w:p>
      <w:pPr>
        <w:spacing w:before="0" w:after="100" w:line="288"/>
      </w:pPr>
      <w:r>
        <w:rPr>
          <w:rFonts w:ascii="Calibri" w:cs="Calibri" w:eastAsia="Calibri" w:hAnsi="Calibri"/>
          <w:color w:val="1A1A1A"/>
          <w:sz w:val="22"/>
          <w:szCs w:val="22"/>
        </w:rPr>
        <w:t xml:space="preserve">AI-first GCCs are changing their hiring profiles across three dimensions. First, they are hiring fewer generalists and more specialists. A generalist Java developer who uses AI tools produces roughly the same output as before AI tools  -  the tools handle the parts of the work that a generalist handles, and the remaining work still requires general competence. A distributed-systems specialist who uses AI tools produces dramatically more output, because AI handles the routine work and the specialist's rare expertise is applied to more problems.</w:t>
      </w:r>
    </w:p>
    <w:p>
      <w:pPr>
        <w:spacing w:before="0" w:after="100" w:line="288"/>
      </w:pPr>
      <w:r>
        <w:rPr>
          <w:rFonts w:ascii="Calibri" w:cs="Calibri" w:eastAsia="Calibri" w:hAnsi="Calibri"/>
          <w:color w:val="1A1A1A"/>
          <w:sz w:val="22"/>
          <w:szCs w:val="22"/>
        </w:rPr>
        <w:t xml:space="preserve">Second, they are paying more for AI fluency as a core skill. In 2023, AI fluency was a differentiating factor in hiring. By 2026, it is a minimum requirement. GCCs that do not include practical AI skills assessment in their hiring process are building teams that will require expensive reskilling within 18 months.</w:t>
      </w:r>
    </w:p>
    <w:p>
      <w:pPr>
        <w:spacing w:before="0" w:after="100" w:line="288"/>
      </w:pPr>
      <w:r>
        <w:rPr>
          <w:rFonts w:ascii="Calibri" w:cs="Calibri" w:eastAsia="Calibri" w:hAnsi="Calibri"/>
          <w:color w:val="1A1A1A"/>
          <w:sz w:val="22"/>
          <w:szCs w:val="22"/>
        </w:rPr>
        <w:t xml:space="preserve">Third, they are hiring for judgment over execution. Execution  -  writing code, generating reports, processing data  -  is increasingly the domain of AI tools. Judgment  -  deciding what to build, evaluating whether the output is correct, identifying the edge cases the AI missed  -  remains human work. The skill profile that matters most is the ability to critically evaluate AI output, not the ability to produce output manually.</w:t>
      </w:r>
    </w:p>
    <w:p>
      <w:pPr>
        <w:spacing w:before="120" w:after="60" w:line="276"/>
      </w:pPr>
      <w:r>
        <w:rPr>
          <w:rFonts w:ascii="Calibri" w:cs="Calibri" w:eastAsia="Calibri" w:hAnsi="Calibri"/>
          <w:b/>
          <w:bCs/>
          <w:color w:val="1A1A1A"/>
          <w:sz w:val="22"/>
          <w:szCs w:val="22"/>
        </w:rPr>
        <w:t xml:space="preserve">The Prompt Engineering Function</w:t>
      </w:r>
    </w:p>
    <w:p>
      <w:pPr>
        <w:spacing w:before="0" w:after="100" w:line="288"/>
      </w:pPr>
      <w:r>
        <w:rPr>
          <w:rFonts w:ascii="Calibri" w:cs="Calibri" w:eastAsia="Calibri" w:hAnsi="Calibri"/>
          <w:color w:val="1A1A1A"/>
          <w:sz w:val="22"/>
          <w:szCs w:val="22"/>
        </w:rPr>
        <w:t xml:space="preserve">Prompt engineering  -  the skill of structuring inputs to AI systems to reliably produce high-quality outputs  -  emerged as a specialist function in 2024. By 2026, the leading GCCs have embedded prompt engineering capability into every CoE. The function sits between domain expertise and AI tooling: prompt engineers who understand the domain well enough to specify what good output looks like, and understand AI systems well enough to structure the input that produces it.</w:t>
      </w:r>
    </w:p>
    <w:p>
      <w:pPr>
        <w:spacing w:before="0" w:after="100" w:line="288"/>
      </w:pPr>
      <w:r>
        <w:rPr>
          <w:rFonts w:ascii="Calibri" w:cs="Calibri" w:eastAsia="Calibri" w:hAnsi="Calibri"/>
          <w:color w:val="1A1A1A"/>
          <w:sz w:val="22"/>
          <w:szCs w:val="22"/>
        </w:rPr>
        <w:t xml:space="preserve">This is not a permanent specialist function. As AI systems improve, explicit prompt engineering becomes less necessary. But for the 2026-2028 period, dedicated prompt engineering capability is the difference between GCCs that extract full value from AI tools and those that extract 40-60% of potential value.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 The AI Governance Council: Structure and Mandate</w:t>
      </w:r>
    </w:p>
    <w:p>
      <w:pPr>
        <w:spacing w:before="0" w:after="100" w:line="288"/>
      </w:pPr>
      <w:r>
        <w:rPr>
          <w:rFonts w:ascii="Calibri" w:cs="Calibri" w:eastAsia="Calibri" w:hAnsi="Calibri"/>
          <w:color w:val="1A1A1A"/>
          <w:sz w:val="22"/>
          <w:szCs w:val="22"/>
        </w:rPr>
        <w:t xml:space="preserve">GCCs that govern AI well have a formal governance structure. The default in the ecosystem is informal: AI decisions are made by whoever is deploying the tools, with limited oversight. This produces inconsistent deployment, data risk, and unmeasured ROI.</w:t>
      </w:r>
    </w:p>
    <w:p>
      <w:pPr>
        <w:spacing w:before="0" w:after="100" w:line="288"/>
      </w:pPr>
      <w:r>
        <w:rPr>
          <w:rFonts w:ascii="Calibri" w:cs="Calibri" w:eastAsia="Calibri" w:hAnsi="Calibri"/>
          <w:color w:val="1A1A1A"/>
          <w:sz w:val="22"/>
          <w:szCs w:val="22"/>
        </w:rPr>
        <w:t xml:space="preserve">The AI Governance Council model that works for Medium and Large GCCs:</w:t>
      </w:r>
    </w:p>
    <w:p>
      <w:pPr>
        <w:spacing w:before="0" w:after="100" w:line="288"/>
      </w:pPr>
      <w:r>
        <w:rPr>
          <w:rFonts w:ascii="Calibri" w:cs="Calibri" w:eastAsia="Calibri" w:hAnsi="Calibri"/>
          <w:color w:val="1A1A1A"/>
          <w:sz w:val="22"/>
          <w:szCs w:val="22"/>
        </w:rPr>
        <w:t xml:space="preserve">Members: GCC Head or MD (chair), CTO or VP Engineering, Head of Data and Analytics, CISO or Head of Information Security, Head of HR, Legal Counsel.</w:t>
      </w:r>
    </w:p>
    <w:p>
      <w:pPr>
        <w:spacing w:before="0" w:after="100" w:line="288"/>
      </w:pPr>
      <w:r>
        <w:rPr>
          <w:rFonts w:ascii="Calibri" w:cs="Calibri" w:eastAsia="Calibri" w:hAnsi="Calibri"/>
          <w:color w:val="1A1A1A"/>
          <w:sz w:val="22"/>
          <w:szCs w:val="22"/>
        </w:rPr>
        <w:t xml:space="preserve">Mandate: Approve AI tool deployments above a defined scale threshold (for example, any tool processing regulated data or deployed to more than 20% of a function). Define the task taxonomy and update it quarterly. Own the AI ROI measurement framework. Review AI incident reports. Approve workforce transition plans triggered by AI deployment.</w:t>
      </w:r>
    </w:p>
    <w:p>
      <w:pPr>
        <w:spacing w:before="0" w:after="100" w:line="288"/>
      </w:pPr>
      <w:r>
        <w:rPr>
          <w:rFonts w:ascii="Calibri" w:cs="Calibri" w:eastAsia="Calibri" w:hAnsi="Calibri"/>
          <w:color w:val="1A1A1A"/>
          <w:sz w:val="22"/>
          <w:szCs w:val="22"/>
        </w:rPr>
        <w:t xml:space="preserve">Meeting cadence: Monthly review of deployment pipeline, quarterly review of ROI data, annual strategic review of AI operating model.</w:t>
      </w:r>
    </w:p>
    <w:p>
      <w:pPr>
        <w:spacing w:before="0" w:after="100" w:line="288"/>
      </w:pPr>
      <w:r>
        <w:rPr>
          <w:rFonts w:ascii="Calibri" w:cs="Calibri" w:eastAsia="Calibri" w:hAnsi="Calibri"/>
          <w:color w:val="1A1A1A"/>
          <w:sz w:val="22"/>
          <w:szCs w:val="22"/>
        </w:rPr>
        <w:t xml:space="preserve">What the Council is not: It is not an innovation committee, a buying committee, or a steering group for AI strategy documents. It is an operating governance body that makes decisions and owns outcomes.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1.5 The AI ROI Measurement Framework: A Working Tool</w:t>
      </w:r>
    </w:p>
    <w:p>
      <w:pPr>
        <w:spacing w:before="0" w:after="100" w:line="288"/>
      </w:pPr>
      <w:r>
        <w:rPr>
          <w:rFonts w:ascii="Calibri" w:cs="Calibri" w:eastAsia="Calibri" w:hAnsi="Calibri"/>
          <w:color w:val="1A1A1A"/>
          <w:sz w:val="22"/>
          <w:szCs w:val="22"/>
        </w:rPr>
        <w:t xml:space="preserve">The following framework is drawn from practice at GCCs that successfully measure AI ROI. It is not a theoretical model. It is the minimum viable measurement architecture.</w:t>
      </w:r>
    </w:p>
    <w:p>
      <w:pPr>
        <w:spacing w:before="0" w:after="100" w:line="288"/>
      </w:pPr>
      <w:r>
        <w:rPr>
          <w:rFonts w:ascii="Calibri" w:cs="Calibri" w:eastAsia="Calibri" w:hAnsi="Calibri"/>
          <w:color w:val="1A1A1A"/>
          <w:sz w:val="22"/>
          <w:szCs w:val="22"/>
        </w:rPr>
        <w:t xml:space="preserve">Step 1: Establish baseline. Before deploying any AI tool into a workflow, measure the current output rate for the specific tasks the tool will affect. Document: tasks per person per week, error rate, time-to-completion, rework rate. This takes one to two weeks and is the step most GCCs skip.</w:t>
      </w:r>
    </w:p>
    <w:p>
      <w:pPr>
        <w:spacing w:before="0" w:after="100" w:line="288"/>
      </w:pPr>
      <w:r>
        <w:rPr>
          <w:rFonts w:ascii="Calibri" w:cs="Calibri" w:eastAsia="Calibri" w:hAnsi="Calibri"/>
          <w:color w:val="1A1A1A"/>
          <w:sz w:val="22"/>
          <w:szCs w:val="22"/>
        </w:rPr>
        <w:t xml:space="preserve">Step 2: Define the value hypothesis. What specifically will improve, by how much, and by when? "AI will make engineers more productive" is not a value hypothesis. "Copilot deployment in the backend engineering team will reduce time-to-first-draft for API endpoints by 30% within 90 days" is a value hypothesis.</w:t>
      </w:r>
    </w:p>
    <w:p>
      <w:pPr>
        <w:spacing w:before="0" w:after="100" w:line="288"/>
      </w:pPr>
      <w:r>
        <w:rPr>
          <w:rFonts w:ascii="Calibri" w:cs="Calibri" w:eastAsia="Calibri" w:hAnsi="Calibri"/>
          <w:color w:val="1A1A1A"/>
          <w:sz w:val="22"/>
          <w:szCs w:val="22"/>
        </w:rPr>
        <w:t xml:space="preserve">Step 3: Track output metrics at 30-90-180 days. The same metrics you established at baseline, measured at three intervals. The 30-day reading typically shows a dip as people adjust. The 90-day reading shows the initial productivity gain. The 180-day reading shows whether the gain is sustained or whether it decays as novelty wears off.</w:t>
      </w:r>
    </w:p>
    <w:p>
      <w:pPr>
        <w:spacing w:before="0" w:after="100" w:line="288"/>
      </w:pPr>
      <w:r>
        <w:rPr>
          <w:rFonts w:ascii="Calibri" w:cs="Calibri" w:eastAsia="Calibri" w:hAnsi="Calibri"/>
          <w:color w:val="1A1A1A"/>
          <w:sz w:val="22"/>
          <w:szCs w:val="22"/>
        </w:rPr>
        <w:t xml:space="preserve">Step 4: Separate productivity from quality. AI tools frequently improve speed while degrading quality if not governed carefully. Track defect rate, rework rate, and output accuracy alongside speed metrics. A 40% speed improvement with a 20% quality decline is not a 40% productivity gain.</w:t>
      </w:r>
    </w:p>
    <w:p>
      <w:pPr>
        <w:spacing w:before="0" w:after="100" w:line="288"/>
      </w:pPr>
      <w:r>
        <w:rPr>
          <w:rFonts w:ascii="Calibri" w:cs="Calibri" w:eastAsia="Calibri" w:hAnsi="Calibri"/>
          <w:color w:val="1A1A1A"/>
          <w:sz w:val="22"/>
          <w:szCs w:val="22"/>
        </w:rPr>
        <w:t xml:space="preserve">Step 5: Calculate total cost of ownership. AI ROI = output value gained minus total cost of AI deployment. Total cost includes: licensing fees, implementation costs, training time, prompt engineering overhead, review and quality assurance overhead, and the cost of incidents and rework attributable to AI error.</w:t>
      </w:r>
    </w:p>
    <w:p>
      <w:pPr>
        <w:spacing w:before="0" w:after="100" w:line="288"/>
      </w:pPr>
      <w:r>
        <w:rPr>
          <w:rFonts w:ascii="Calibri" w:cs="Calibri" w:eastAsia="Calibri" w:hAnsi="Calibri"/>
          <w:color w:val="1A1A1A"/>
          <w:sz w:val="22"/>
          <w:szCs w:val="22"/>
        </w:rPr>
        <w:t xml:space="preserve">Step 6: Report to global leadership in business terms. Engineering productivity metrics do not resonate with global CFOs. Translate: "API development velocity increased 32%, reducing time-to-feature from 6 weeks to 4.1 weeks, equivalent to the output of 8 additional engineers at a cost 85% lower than hiring."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1.6 Chapter Summary: Ten AI Governance Principles for GCC Leaders</w:t>
      </w:r>
    </w:p>
    <w:p>
      <w:pPr>
        <w:pStyle w:val="ListParagraph"/>
        <w:numPr>
          <w:ilvl w:val="0"/>
          <w:numId w:val="2"/>
        </w:numPr>
        <w:spacing w:before="20" w:after="20" w:line="276"/>
      </w:pPr>
      <w:r>
        <w:rPr>
          <w:rFonts w:ascii="Calibri" w:cs="Calibri" w:eastAsia="Calibri" w:hAnsi="Calibri"/>
          <w:color w:val="1A1A1A"/>
          <w:sz w:val="22"/>
          <w:szCs w:val="22"/>
        </w:rPr>
        <w:t xml:space="preserve">Treat AI as operating infrastructure, not a technology project. Governance, not adoption rate, determines ROI.</w:t>
      </w:r>
    </w:p>
    <w:p>
      <w:pPr>
        <w:pStyle w:val="ListParagraph"/>
        <w:numPr>
          <w:ilvl w:val="0"/>
          <w:numId w:val="2"/>
        </w:numPr>
        <w:spacing w:before="20" w:after="20" w:line="276"/>
      </w:pPr>
      <w:r>
        <w:rPr>
          <w:rFonts w:ascii="Calibri" w:cs="Calibri" w:eastAsia="Calibri" w:hAnsi="Calibri"/>
          <w:color w:val="1A1A1A"/>
          <w:sz w:val="22"/>
          <w:szCs w:val="22"/>
        </w:rPr>
        <w:t xml:space="preserve">Establish baseline output metrics before any AI deployment. Without a baseline, there is no ROI.</w:t>
      </w:r>
    </w:p>
    <w:p>
      <w:pPr>
        <w:pStyle w:val="ListParagraph"/>
        <w:numPr>
          <w:ilvl w:val="0"/>
          <w:numId w:val="2"/>
        </w:numPr>
        <w:spacing w:before="20" w:after="20" w:line="276"/>
      </w:pPr>
      <w:r>
        <w:rPr>
          <w:rFonts w:ascii="Calibri" w:cs="Calibri" w:eastAsia="Calibri" w:hAnsi="Calibri"/>
          <w:color w:val="1A1A1A"/>
          <w:sz w:val="22"/>
          <w:szCs w:val="22"/>
        </w:rPr>
        <w:t xml:space="preserve">Define your task taxonomy. Know which tasks are agent-eligible and which require human judgment.</w:t>
      </w:r>
    </w:p>
    <w:p>
      <w:pPr>
        <w:pStyle w:val="ListParagraph"/>
        <w:numPr>
          <w:ilvl w:val="0"/>
          <w:numId w:val="2"/>
        </w:numPr>
        <w:spacing w:before="20" w:after="20" w:line="276"/>
      </w:pPr>
      <w:r>
        <w:rPr>
          <w:rFonts w:ascii="Calibri" w:cs="Calibri" w:eastAsia="Calibri" w:hAnsi="Calibri"/>
          <w:color w:val="1A1A1A"/>
          <w:sz w:val="22"/>
          <w:szCs w:val="22"/>
        </w:rPr>
        <w:t xml:space="preserve">Build quality gates into every AI workflow. Default to human review at output delivery points.</w:t>
      </w:r>
    </w:p>
    <w:p>
      <w:pPr>
        <w:pStyle w:val="ListParagraph"/>
        <w:numPr>
          <w:ilvl w:val="0"/>
          <w:numId w:val="2"/>
        </w:numPr>
        <w:spacing w:before="20" w:after="20" w:line="276"/>
      </w:pPr>
      <w:r>
        <w:rPr>
          <w:rFonts w:ascii="Calibri" w:cs="Calibri" w:eastAsia="Calibri" w:hAnsi="Calibri"/>
          <w:color w:val="1A1A1A"/>
          <w:sz w:val="22"/>
          <w:szCs w:val="22"/>
        </w:rPr>
        <w:t xml:space="preserve">Enforce data governance for AI tools. Regulated data requires explicit handling policies before AI deployment, not after an incident.</w:t>
      </w:r>
    </w:p>
    <w:p>
      <w:pPr>
        <w:pStyle w:val="ListParagraph"/>
        <w:numPr>
          <w:ilvl w:val="0"/>
          <w:numId w:val="2"/>
        </w:numPr>
        <w:spacing w:before="20" w:after="20" w:line="276"/>
      </w:pPr>
      <w:r>
        <w:rPr>
          <w:rFonts w:ascii="Calibri" w:cs="Calibri" w:eastAsia="Calibri" w:hAnsi="Calibri"/>
          <w:color w:val="1A1A1A"/>
          <w:sz w:val="22"/>
          <w:szCs w:val="22"/>
        </w:rPr>
        <w:t xml:space="preserve">Measure output quality alongside output speed. Speed gains that come with quality declines are not productivity improvements.</w:t>
      </w:r>
    </w:p>
    <w:p>
      <w:pPr>
        <w:pStyle w:val="ListParagraph"/>
        <w:numPr>
          <w:ilvl w:val="0"/>
          <w:numId w:val="2"/>
        </w:numPr>
        <w:spacing w:before="20" w:after="20" w:line="276"/>
      </w:pPr>
      <w:r>
        <w:rPr>
          <w:rFonts w:ascii="Calibri" w:cs="Calibri" w:eastAsia="Calibri" w:hAnsi="Calibri"/>
          <w:color w:val="1A1A1A"/>
          <w:sz w:val="22"/>
          <w:szCs w:val="22"/>
        </w:rPr>
        <w:t xml:space="preserve">Build prompt engineering capability into every CoE. It is the highest-leverage AI skill for the 2026-2028 period.</w:t>
      </w:r>
    </w:p>
    <w:p>
      <w:pPr>
        <w:pStyle w:val="ListParagraph"/>
        <w:numPr>
          <w:ilvl w:val="0"/>
          <w:numId w:val="2"/>
        </w:numPr>
        <w:spacing w:before="20" w:after="20" w:line="276"/>
      </w:pPr>
      <w:r>
        <w:rPr>
          <w:rFonts w:ascii="Calibri" w:cs="Calibri" w:eastAsia="Calibri" w:hAnsi="Calibri"/>
          <w:color w:val="1A1A1A"/>
          <w:sz w:val="22"/>
          <w:szCs w:val="22"/>
        </w:rPr>
        <w:t xml:space="preserve">Create a formal AI Governance Council with a real mandate. Informal AI governance produces inconsistent results and unmanaged risk.</w:t>
      </w:r>
    </w:p>
    <w:p>
      <w:pPr>
        <w:pStyle w:val="ListParagraph"/>
        <w:numPr>
          <w:ilvl w:val="0"/>
          <w:numId w:val="2"/>
        </w:numPr>
        <w:spacing w:before="20" w:after="20" w:line="276"/>
      </w:pPr>
      <w:r>
        <w:rPr>
          <w:rFonts w:ascii="Calibri" w:cs="Calibri" w:eastAsia="Calibri" w:hAnsi="Calibri"/>
          <w:color w:val="1A1A1A"/>
          <w:sz w:val="22"/>
          <w:szCs w:val="22"/>
        </w:rPr>
        <w:t xml:space="preserve">Report AI ROI in business terms, not engineering metrics.</w:t>
      </w:r>
    </w:p>
    <w:p>
      <w:pPr>
        <w:pStyle w:val="ListParagraph"/>
        <w:numPr>
          <w:ilvl w:val="0"/>
          <w:numId w:val="2"/>
        </w:numPr>
        <w:spacing w:before="20" w:after="20" w:line="276"/>
      </w:pPr>
      <w:r>
        <w:rPr>
          <w:rFonts w:ascii="Calibri" w:cs="Calibri" w:eastAsia="Calibri" w:hAnsi="Calibri"/>
          <w:color w:val="1A1A1A"/>
          <w:sz w:val="22"/>
          <w:szCs w:val="22"/>
        </w:rPr>
        <w:t xml:space="preserve">Plan workforce transitions proactively. Agent deployment affects junior-to-mid roles first. A reskilling program needs 12-18 months of lead time.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TWO</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Global Location Competition</w:t>
      </w:r>
    </w:p>
    <w:p>
      <w:pPr>
        <w:spacing w:before="40" w:after="40" w:line="276"/>
      </w:pPr>
      <w:r>
        <w:rPr>
          <w:rFonts w:ascii="Calibri" w:cs="Calibri" w:eastAsia="Calibri" w:hAnsi="Calibri"/>
          <w:i/>
          <w:iCs/>
          <w:color w:val="555555"/>
          <w:sz w:val="21"/>
          <w:szCs w:val="21"/>
        </w:rPr>
        <w:t xml:space="preserve">India vs. Vietnam, Poland, Mexico, Egypt, and the Philippines: A 2026 Decision Framework</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India's position as the dominant GCC destination is not under threat in the medium term. The data is clear: 1,900+ active GCCs, 2 million employees, USD 64.6 billion in annual revenue, 40 years of institutional depth, and a talent pool that no alternative ecosystem can match at scale. No other country comes close on aggregate.</w:t>
      </w:r>
    </w:p>
    <w:p>
      <w:pPr>
        <w:spacing w:before="0" w:after="100" w:line="288"/>
      </w:pPr>
      <w:r>
        <w:rPr>
          <w:rFonts w:ascii="Calibri" w:cs="Calibri" w:eastAsia="Calibri" w:hAnsi="Calibri"/>
          <w:color w:val="1A1A1A"/>
          <w:sz w:val="22"/>
          <w:szCs w:val="22"/>
        </w:rPr>
        <w:t xml:space="preserve">But "dominant" and "only option worth considering" are different claims. Global enterprises evaluating their GCC strategy in 2026 are asking a different question: not "should we be in India?" but "where else should we be, and for what?" The answer to that question has become more complex, because the alternative locations have matured meaningfully in the last four years.</w:t>
      </w:r>
    </w:p>
    <w:p>
      <w:pPr>
        <w:spacing w:before="0" w:after="100" w:line="288"/>
      </w:pPr>
      <w:r>
        <w:rPr>
          <w:rFonts w:ascii="Calibri" w:cs="Calibri" w:eastAsia="Calibri" w:hAnsi="Calibri"/>
          <w:color w:val="1A1A1A"/>
          <w:sz w:val="22"/>
          <w:szCs w:val="22"/>
        </w:rPr>
        <w:t xml:space="preserve">This chapter is not a case against India. It is a framework for making smart multi-location decisions  -  understanding what each alternative location does well, what it cannot offer, and when a second or third location genuinely adds value versus when it is a distraction from the harder work of making the India center work better.</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2.1 Why the Conversation Has Changed</w:t>
      </w:r>
    </w:p>
    <w:p>
      <w:pPr>
        <w:spacing w:before="0" w:after="100" w:line="288"/>
      </w:pPr>
      <w:r>
        <w:rPr>
          <w:rFonts w:ascii="Calibri" w:cs="Calibri" w:eastAsia="Calibri" w:hAnsi="Calibri"/>
          <w:color w:val="1A1A1A"/>
          <w:sz w:val="22"/>
          <w:szCs w:val="22"/>
        </w:rPr>
        <w:t xml:space="preserve">Four forces have shifted the multi-location calculation since 2022.</w:t>
      </w:r>
    </w:p>
    <w:p>
      <w:pPr>
        <w:spacing w:before="0" w:after="100" w:line="288"/>
      </w:pPr>
      <w:r>
        <w:rPr>
          <w:rFonts w:ascii="Calibri" w:cs="Calibri" w:eastAsia="Calibri" w:hAnsi="Calibri"/>
          <w:color w:val="1A1A1A"/>
          <w:sz w:val="22"/>
          <w:szCs w:val="22"/>
        </w:rPr>
        <w:t xml:space="preserve">Near-shoring pressure. Geopolitical uncertainty  -  supply chain disruptions, India-China tensions affecting technology supply chains, US-India technology export controls in specific domains  -  has pushed some enterprises to evaluate locations with lower geopolitical risk exposure or greater proximity to their primary markets.</w:t>
      </w:r>
    </w:p>
    <w:p>
      <w:pPr>
        <w:spacing w:before="0" w:after="100" w:line="288"/>
      </w:pPr>
      <w:r>
        <w:rPr>
          <w:rFonts w:ascii="Calibri" w:cs="Calibri" w:eastAsia="Calibri" w:hAnsi="Calibri"/>
          <w:color w:val="1A1A1A"/>
          <w:sz w:val="22"/>
          <w:szCs w:val="22"/>
        </w:rPr>
        <w:t xml:space="preserve">Data sovereignty requirements. GDPR enforcement, the EU AI Act, US state-level data privacy laws, and DPDPA 2023 in India have made data localization a real constraint for some GCC functions. Customer data that cannot leave the EU, health data subject to HIPAA, and financial data under specific jurisdiction requirements all create workflow constraints that affect location strategy.</w:t>
      </w:r>
    </w:p>
    <w:p>
      <w:pPr>
        <w:spacing w:before="0" w:after="100" w:line="288"/>
      </w:pPr>
      <w:r>
        <w:rPr>
          <w:rFonts w:ascii="Calibri" w:cs="Calibri" w:eastAsia="Calibri" w:hAnsi="Calibri"/>
          <w:color w:val="1A1A1A"/>
          <w:sz w:val="22"/>
          <w:szCs w:val="22"/>
        </w:rPr>
        <w:t xml:space="preserve">Time zone economics. The follow-the-sun model that India serves so well for Asia-Pacific coverage is increasingly insufficient for enterprises that need genuine real-time collaboration with North American headquarters. Eastern Europe and Mexico offer US-compatible time zones that India cannot match.</w:t>
      </w:r>
    </w:p>
    <w:p>
      <w:pPr>
        <w:spacing w:before="0" w:after="100" w:line="288"/>
      </w:pPr>
      <w:r>
        <w:rPr>
          <w:rFonts w:ascii="Calibri" w:cs="Calibri" w:eastAsia="Calibri" w:hAnsi="Calibri"/>
          <w:color w:val="1A1A1A"/>
          <w:sz w:val="22"/>
          <w:szCs w:val="22"/>
        </w:rPr>
        <w:t xml:space="preserve">Talent concentration risk. Bengaluru specifically  -  home to approximately 35% of India's GCC workforce  -  has reached a talent concentration level where attrition, compensation inflation, and hiring competition create meaningful risk for centers that rely heavily on the city. Diversification across cities within India, and across countries, is a genuine risk management strategy, not just an optimization exercise.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2.2 The Six Locations: A Structured Comparison</w:t>
      </w:r>
    </w:p>
    <w:p>
      <w:pPr>
        <w:spacing w:before="120" w:after="60" w:line="276"/>
      </w:pPr>
      <w:r>
        <w:rPr>
          <w:rFonts w:ascii="Calibri" w:cs="Calibri" w:eastAsia="Calibri" w:hAnsi="Calibri"/>
          <w:b/>
          <w:bCs/>
          <w:color w:val="1A1A1A"/>
          <w:sz w:val="22"/>
          <w:szCs w:val="22"/>
        </w:rPr>
        <w:t xml:space="preserve">India: The Default and the Anchor</w:t>
      </w:r>
    </w:p>
    <w:p>
      <w:pPr>
        <w:spacing w:before="0" w:after="100" w:line="288"/>
      </w:pPr>
      <w:r>
        <w:rPr>
          <w:rFonts w:ascii="Calibri" w:cs="Calibri" w:eastAsia="Calibri" w:hAnsi="Calibri"/>
          <w:color w:val="1A1A1A"/>
          <w:sz w:val="22"/>
          <w:szCs w:val="22"/>
        </w:rPr>
        <w:t xml:space="preserve">Strengths that no alternative matches: talent pool depth (5.1 million STEM graduates annually), English fluency at scale, ecosystem maturity, government policy support, and cost economics that remain competitive despite 7-9% annual compensation inflation. For any GCC function requiring volume, depth, or domain expertise, India is the answer.</w:t>
      </w:r>
    </w:p>
    <w:p>
      <w:pPr>
        <w:spacing w:before="0" w:after="100" w:line="288"/>
      </w:pPr>
      <w:r>
        <w:rPr>
          <w:rFonts w:ascii="Calibri" w:cs="Calibri" w:eastAsia="Calibri" w:hAnsi="Calibri"/>
          <w:color w:val="1A1A1A"/>
          <w:sz w:val="22"/>
          <w:szCs w:val="22"/>
        </w:rPr>
        <w:t xml:space="preserve">Limitations to plan for: talent concentration in four cities (Bengaluru, Hyderabad, Pune, Chennai), compensation inflation outpacing productivity gains in some segments, data localization constraints for specific regulated functions, and time zone friction for West Coast US headquarters.</w:t>
      </w:r>
    </w:p>
    <w:p>
      <w:pPr>
        <w:spacing w:before="0" w:after="100" w:line="288"/>
      </w:pPr>
      <w:r>
        <w:rPr>
          <w:rFonts w:ascii="Calibri" w:cs="Calibri" w:eastAsia="Calibri" w:hAnsi="Calibri"/>
          <w:color w:val="1A1A1A"/>
          <w:sz w:val="22"/>
          <w:szCs w:val="22"/>
        </w:rPr>
        <w:t xml:space="preserve">Best for: enterprise-scale operations, deep technology and engineering, analytics and data science, financial services, healthcare, any function where domain expertise depth matters more than proximity.</w:t>
      </w:r>
    </w:p>
    <w:p>
      <w:pPr>
        <w:spacing w:before="120" w:after="60" w:line="276"/>
      </w:pPr>
      <w:r>
        <w:rPr>
          <w:rFonts w:ascii="Calibri" w:cs="Calibri" w:eastAsia="Calibri" w:hAnsi="Calibri"/>
          <w:b/>
          <w:bCs/>
          <w:color w:val="1A1A1A"/>
          <w:sz w:val="22"/>
          <w:szCs w:val="22"/>
        </w:rPr>
        <w:t xml:space="preserve">Vietnam: The Rising Engineering Hub</w:t>
      </w:r>
    </w:p>
    <w:p>
      <w:pPr>
        <w:spacing w:before="0" w:after="100" w:line="288"/>
      </w:pPr>
      <w:r>
        <w:rPr>
          <w:rFonts w:ascii="Calibri" w:cs="Calibri" w:eastAsia="Calibri" w:hAnsi="Calibri"/>
          <w:color w:val="1A1A1A"/>
          <w:sz w:val="22"/>
          <w:szCs w:val="22"/>
        </w:rPr>
        <w:t xml:space="preserve">Vietnam has become the most credible alternative to India for software engineering in Southeast Asia. Ho Chi Minh City and Hanoi together host approximately 350 active technology centers as of 2025, employing roughly 150,000 professionals. Annual growth rate: 18-22%.</w:t>
      </w:r>
    </w:p>
    <w:p>
      <w:pPr>
        <w:spacing w:before="0" w:after="100" w:line="288"/>
      </w:pPr>
      <w:r>
        <w:rPr>
          <w:rFonts w:ascii="Calibri" w:cs="Calibri" w:eastAsia="Calibri" w:hAnsi="Calibri"/>
          <w:color w:val="1A1A1A"/>
          <w:sz w:val="22"/>
          <w:szCs w:val="22"/>
        </w:rPr>
        <w:t xml:space="preserve">Strengths: strong mathematics and engineering education base, competitive costs (30-40% below Bengaluru for equivalent roles), growing English proficiency among technology professionals, and government policy actively courting GCC investment. Samsung, Intel, LG, and Bosch have significant engineering centers.</w:t>
      </w:r>
    </w:p>
    <w:p>
      <w:pPr>
        <w:spacing w:before="0" w:after="100" w:line="288"/>
      </w:pPr>
      <w:r>
        <w:rPr>
          <w:rFonts w:ascii="Calibri" w:cs="Calibri" w:eastAsia="Calibri" w:hAnsi="Calibri"/>
          <w:color w:val="1A1A1A"/>
          <w:sz w:val="22"/>
          <w:szCs w:val="22"/>
        </w:rPr>
        <w:t xml:space="preserve">Limitations: talent pool is roughly 5% the size of India's  -  sufficient for a Nano or Micro center, insufficient for Large or Mega scale. Management layer depth is limited; finding experienced engineering managers is harder than finding strong individual contributors. English communication at leadership level remains a constraint for some enterprises. Data and IP protection frameworks are less mature than India's.</w:t>
      </w:r>
    </w:p>
    <w:p>
      <w:pPr>
        <w:spacing w:before="0" w:after="100" w:line="288"/>
      </w:pPr>
      <w:r>
        <w:rPr>
          <w:rFonts w:ascii="Calibri" w:cs="Calibri" w:eastAsia="Calibri" w:hAnsi="Calibri"/>
          <w:color w:val="1A1A1A"/>
          <w:sz w:val="22"/>
          <w:szCs w:val="22"/>
        </w:rPr>
        <w:t xml:space="preserve">Best for: software engineering pods complementing a larger India center, cost-optimized functions where scale is not required, Southeast Asia market proximity functions.</w:t>
      </w:r>
    </w:p>
    <w:p>
      <w:pPr>
        <w:spacing w:before="120" w:after="60" w:line="276"/>
      </w:pPr>
      <w:r>
        <w:rPr>
          <w:rFonts w:ascii="Calibri" w:cs="Calibri" w:eastAsia="Calibri" w:hAnsi="Calibri"/>
          <w:b/>
          <w:bCs/>
          <w:color w:val="1A1A1A"/>
          <w:sz w:val="22"/>
          <w:szCs w:val="22"/>
        </w:rPr>
        <w:t xml:space="preserve">Poland: The European Engineering Hub</w:t>
      </w:r>
    </w:p>
    <w:p>
      <w:pPr>
        <w:spacing w:before="0" w:after="100" w:line="288"/>
      </w:pPr>
      <w:r>
        <w:rPr>
          <w:rFonts w:ascii="Calibri" w:cs="Calibri" w:eastAsia="Calibri" w:hAnsi="Calibri"/>
          <w:color w:val="1A1A1A"/>
          <w:sz w:val="22"/>
          <w:szCs w:val="22"/>
        </w:rPr>
        <w:t xml:space="preserve">Poland is the primary European alternative for technology GCCs, hosting approximately 450 technology centers from global enterprises including Google, Goldman Sachs, Samsung, and ABB. Warsaw, Krakow, and Wroclaw are the primary cities.</w:t>
      </w:r>
    </w:p>
    <w:p>
      <w:pPr>
        <w:spacing w:before="0" w:after="100" w:line="288"/>
      </w:pPr>
      <w:r>
        <w:rPr>
          <w:rFonts w:ascii="Calibri" w:cs="Calibri" w:eastAsia="Calibri" w:hAnsi="Calibri"/>
          <w:color w:val="1A1A1A"/>
          <w:sz w:val="22"/>
          <w:szCs w:val="22"/>
        </w:rPr>
        <w:t xml:space="preserve">Strengths: EU jurisdiction (critical for GDPR-constrained data functions), time zone compatibility with Western European headquarters, strong engineering universities, high English proficiency, competitive costs within the EU context. Poland is the only location in this comparison that can handle EU-regulated data at scale with full data sovereignty compliance.</w:t>
      </w:r>
    </w:p>
    <w:p>
      <w:pPr>
        <w:spacing w:before="0" w:after="100" w:line="288"/>
      </w:pPr>
      <w:r>
        <w:rPr>
          <w:rFonts w:ascii="Calibri" w:cs="Calibri" w:eastAsia="Calibri" w:hAnsi="Calibri"/>
          <w:color w:val="1A1A1A"/>
          <w:sz w:val="22"/>
          <w:szCs w:val="22"/>
        </w:rPr>
        <w:t xml:space="preserve">Limitations: significantly higher costs than India (2-3x for equivalent engineering roles), talent pool of roughly 300,000 technology professionals  -  adequate for Small to Medium centers, constrained for Large scale. EU labor regulations increase employment flexibility costs. The market is competitive  -  Google, Amazon, and financial services GCCs are significant employers.</w:t>
      </w:r>
    </w:p>
    <w:p>
      <w:pPr>
        <w:spacing w:before="0" w:after="100" w:line="288"/>
      </w:pPr>
      <w:r>
        <w:rPr>
          <w:rFonts w:ascii="Calibri" w:cs="Calibri" w:eastAsia="Calibri" w:hAnsi="Calibri"/>
          <w:color w:val="1A1A1A"/>
          <w:sz w:val="22"/>
          <w:szCs w:val="22"/>
        </w:rPr>
        <w:t xml:space="preserve">Best for: EU data sovereignty requirements, Western European time zone collaboration, GDPR-constrained functions, BFSI and healthcare functions with EU regulatory exposure.</w:t>
      </w:r>
    </w:p>
    <w:p>
      <w:pPr>
        <w:spacing w:before="120" w:after="60" w:line="276"/>
      </w:pPr>
      <w:r>
        <w:rPr>
          <w:rFonts w:ascii="Calibri" w:cs="Calibri" w:eastAsia="Calibri" w:hAnsi="Calibri"/>
          <w:b/>
          <w:bCs/>
          <w:color w:val="1A1A1A"/>
          <w:sz w:val="22"/>
          <w:szCs w:val="22"/>
        </w:rPr>
        <w:t xml:space="preserve">Mexico: The US Proximity Play</w:t>
      </w:r>
    </w:p>
    <w:p>
      <w:pPr>
        <w:spacing w:before="0" w:after="100" w:line="288"/>
      </w:pPr>
      <w:r>
        <w:rPr>
          <w:rFonts w:ascii="Calibri" w:cs="Calibri" w:eastAsia="Calibri" w:hAnsi="Calibri"/>
          <w:color w:val="1A1A1A"/>
          <w:sz w:val="22"/>
          <w:szCs w:val="22"/>
        </w:rPr>
        <w:t xml:space="preserve">Mexico City, Guadalajara, and Monterrey host approximately 300 technology centers, growing at 15% annually. The primary driver: time zone alignment with US headquarters, especially Central and Mountain time.</w:t>
      </w:r>
    </w:p>
    <w:p>
      <w:pPr>
        <w:spacing w:before="0" w:after="100" w:line="288"/>
      </w:pPr>
      <w:r>
        <w:rPr>
          <w:rFonts w:ascii="Calibri" w:cs="Calibri" w:eastAsia="Calibri" w:hAnsi="Calibri"/>
          <w:color w:val="1A1A1A"/>
          <w:sz w:val="22"/>
          <w:szCs w:val="22"/>
        </w:rPr>
        <w:t xml:space="preserve">Strengths: CST/MST time zone (real-time collaboration with Chicago, Dallas, Denver, and Los Angeles), growing bilingual technology talent pool, USMCA regulatory framework reducing trade friction with the US, costs 40-60% below comparable US markets. Nearshoring investment from US enterprises accelerated significantly in 2023-2025.</w:t>
      </w:r>
    </w:p>
    <w:p>
      <w:pPr>
        <w:spacing w:before="0" w:after="100" w:line="288"/>
      </w:pPr>
      <w:r>
        <w:rPr>
          <w:rFonts w:ascii="Calibri" w:cs="Calibri" w:eastAsia="Calibri" w:hAnsi="Calibri"/>
          <w:color w:val="1A1A1A"/>
          <w:sz w:val="22"/>
          <w:szCs w:val="22"/>
        </w:rPr>
        <w:t xml:space="preserve">Limitations: talent pool depth  -  approximately 130,000 technology professionals, growing but limited for enterprise-scale operations. Security considerations in some cities affect real estate and employee safety planning. Spanish-English bilingualism is high but technical English depth at senior levels varies. Infrastructure maturity is uneven outside the three primary cities.</w:t>
      </w:r>
    </w:p>
    <w:p>
      <w:pPr>
        <w:spacing w:before="0" w:after="100" w:line="288"/>
      </w:pPr>
      <w:r>
        <w:rPr>
          <w:rFonts w:ascii="Calibri" w:cs="Calibri" w:eastAsia="Calibri" w:hAnsi="Calibri"/>
          <w:color w:val="1A1A1A"/>
          <w:sz w:val="22"/>
          <w:szCs w:val="22"/>
        </w:rPr>
        <w:t xml:space="preserve">Best for: US time zone-critical functions (real-time trading, customer operations requiring US business hours coverage), functions requiring USMCA regulatory alignment, Spanish-language market support.</w:t>
      </w:r>
    </w:p>
    <w:p>
      <w:pPr>
        <w:spacing w:before="120" w:after="60" w:line="276"/>
      </w:pPr>
      <w:r>
        <w:rPr>
          <w:rFonts w:ascii="Calibri" w:cs="Calibri" w:eastAsia="Calibri" w:hAnsi="Calibri"/>
          <w:b/>
          <w:bCs/>
          <w:color w:val="1A1A1A"/>
          <w:sz w:val="22"/>
          <w:szCs w:val="22"/>
        </w:rPr>
        <w:t xml:space="preserve">Egypt: The Emerging MENA Hub</w:t>
      </w:r>
    </w:p>
    <w:p>
      <w:pPr>
        <w:spacing w:before="0" w:after="100" w:line="288"/>
      </w:pPr>
      <w:r>
        <w:rPr>
          <w:rFonts w:ascii="Calibri" w:cs="Calibri" w:eastAsia="Calibri" w:hAnsi="Calibri"/>
          <w:color w:val="1A1A1A"/>
          <w:sz w:val="22"/>
          <w:szCs w:val="22"/>
        </w:rPr>
        <w:t xml:space="preserve">Egypt is the most credible emerging GCC location in the Middle East and North Africa. Cairo hosts approximately 120 technology centers, with significant investment from Microsoft, Vodafone, IBM, and Orange.</w:t>
      </w:r>
    </w:p>
    <w:p>
      <w:pPr>
        <w:spacing w:before="0" w:after="100" w:line="288"/>
      </w:pPr>
      <w:r>
        <w:rPr>
          <w:rFonts w:ascii="Calibri" w:cs="Calibri" w:eastAsia="Calibri" w:hAnsi="Calibri"/>
          <w:color w:val="1A1A1A"/>
          <w:sz w:val="22"/>
          <w:szCs w:val="22"/>
        </w:rPr>
        <w:t xml:space="preserve">Strengths: large young population with growing STEM education output, Arabic language capability for MENA market functions, costs competitive with Vietnam for some roles, time zone compatible with both Europe and Middle East. Government investment in technology infrastructure has accelerated under the Egypt Vision 2030 framework.</w:t>
      </w:r>
    </w:p>
    <w:p>
      <w:pPr>
        <w:spacing w:before="0" w:after="100" w:line="288"/>
      </w:pPr>
      <w:r>
        <w:rPr>
          <w:rFonts w:ascii="Calibri" w:cs="Calibri" w:eastAsia="Calibri" w:hAnsi="Calibri"/>
          <w:color w:val="1A1A1A"/>
          <w:sz w:val="22"/>
          <w:szCs w:val="22"/>
        </w:rPr>
        <w:t xml:space="preserve">Limitations: political and economic stability considerations that create risk planning requirements not present in India or Europe. Talent pool depth for advanced technology roles is limited  -  strong in business process and customer operations, thinner in deep engineering. Internet infrastructure reliability varies. Currency volatility creates cost planning complexity.</w:t>
      </w:r>
    </w:p>
    <w:p>
      <w:pPr>
        <w:spacing w:before="0" w:after="100" w:line="288"/>
      </w:pPr>
      <w:r>
        <w:rPr>
          <w:rFonts w:ascii="Calibri" w:cs="Calibri" w:eastAsia="Calibri" w:hAnsi="Calibri"/>
          <w:color w:val="1A1A1A"/>
          <w:sz w:val="22"/>
          <w:szCs w:val="22"/>
        </w:rPr>
        <w:t xml:space="preserve">Best for: Arabic language functions, MENA market proximity, business process and customer operations at cost-competitive price points, enterprises with existing presence in the region.</w:t>
      </w:r>
    </w:p>
    <w:p>
      <w:pPr>
        <w:spacing w:before="120" w:after="60" w:line="276"/>
      </w:pPr>
      <w:r>
        <w:rPr>
          <w:rFonts w:ascii="Calibri" w:cs="Calibri" w:eastAsia="Calibri" w:hAnsi="Calibri"/>
          <w:b/>
          <w:bCs/>
          <w:color w:val="1A1A1A"/>
          <w:sz w:val="22"/>
          <w:szCs w:val="22"/>
        </w:rPr>
        <w:t xml:space="preserve">Philippines: The English-Language Operations Hub</w:t>
      </w:r>
    </w:p>
    <w:p>
      <w:pPr>
        <w:spacing w:before="0" w:after="100" w:line="288"/>
      </w:pPr>
      <w:r>
        <w:rPr>
          <w:rFonts w:ascii="Calibri" w:cs="Calibri" w:eastAsia="Calibri" w:hAnsi="Calibri"/>
          <w:color w:val="1A1A1A"/>
          <w:sz w:val="22"/>
          <w:szCs w:val="22"/>
        </w:rPr>
        <w:t xml:space="preserve">The Philippines hosts approximately 850 contact centers and BPO operations employing over 1.3 million people, making it the world's largest English-language operations hub. For GCC-equivalent functions in customer operations, it is the most established alternative to India.</w:t>
      </w:r>
    </w:p>
    <w:p>
      <w:pPr>
        <w:spacing w:before="0" w:after="100" w:line="288"/>
      </w:pPr>
      <w:r>
        <w:rPr>
          <w:rFonts w:ascii="Calibri" w:cs="Calibri" w:eastAsia="Calibri" w:hAnsi="Calibri"/>
          <w:color w:val="1A1A1A"/>
          <w:sz w:val="22"/>
          <w:szCs w:val="22"/>
        </w:rPr>
        <w:t xml:space="preserve">Strengths: native-level English fluency, strong customer service culture, competitive costs for operations roles, significant existing enterprise infrastructure in Metro Manila and Clark. Time zone covers Asia-Pacific business hours.</w:t>
      </w:r>
    </w:p>
    <w:p>
      <w:pPr>
        <w:spacing w:before="0" w:after="100" w:line="288"/>
      </w:pPr>
      <w:r>
        <w:rPr>
          <w:rFonts w:ascii="Calibri" w:cs="Calibri" w:eastAsia="Calibri" w:hAnsi="Calibri"/>
          <w:color w:val="1A1A1A"/>
          <w:sz w:val="22"/>
          <w:szCs w:val="22"/>
        </w:rPr>
        <w:t xml:space="preserve">Limitations: the talent pool is deep in operations and customer service but thin in engineering, analytics, and technology. Building a technology GCC in the Philippines rather than an operations center requires deliberate effort against the market's gravitational pull toward BPO-style work. Natural attrition in operations roles is high  -  35-45% annually in some centers.</w:t>
      </w:r>
    </w:p>
    <w:p>
      <w:pPr>
        <w:spacing w:before="0" w:after="100" w:line="288"/>
      </w:pPr>
      <w:r>
        <w:rPr>
          <w:rFonts w:ascii="Calibri" w:cs="Calibri" w:eastAsia="Calibri" w:hAnsi="Calibri"/>
          <w:color w:val="1A1A1A"/>
          <w:sz w:val="22"/>
          <w:szCs w:val="22"/>
        </w:rPr>
        <w:t xml:space="preserve">Best for: English-language customer operations, voice support requiring native fluency, shared services operations, functions where the Philippines BPO infrastructure provides a cost and operational advantage.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2.3 The Multi-Location Decision Framework</w:t>
      </w:r>
    </w:p>
    <w:p>
      <w:pPr>
        <w:spacing w:before="0" w:after="100" w:line="288"/>
      </w:pPr>
      <w:r>
        <w:rPr>
          <w:rFonts w:ascii="Calibri" w:cs="Calibri" w:eastAsia="Calibri" w:hAnsi="Calibri"/>
          <w:color w:val="1A1A1A"/>
          <w:sz w:val="22"/>
          <w:szCs w:val="22"/>
        </w:rPr>
        <w:t xml:space="preserve">The decision to add a second or third location should follow a structured framework, not market trend. Five questions define the decision:</w:t>
      </w:r>
    </w:p>
    <w:p>
      <w:pPr>
        <w:spacing w:before="0" w:after="100" w:line="288"/>
      </w:pPr>
      <w:r>
        <w:rPr>
          <w:rFonts w:ascii="Calibri" w:cs="Calibri" w:eastAsia="Calibri" w:hAnsi="Calibri"/>
          <w:color w:val="1A1A1A"/>
          <w:sz w:val="22"/>
          <w:szCs w:val="22"/>
        </w:rPr>
        <w:t xml:space="preserve">1. What specific constraint is a second location solving? Data sovereignty, time zone, language, risk diversification, or cost are the valid drivers. "Everyone else is doing it" or "we want to reduce India dependency" without specifying the constraint produces expensive centers that do not add value.</w:t>
      </w:r>
    </w:p>
    <w:p>
      <w:pPr>
        <w:spacing w:before="0" w:after="100" w:line="288"/>
      </w:pPr>
      <w:r>
        <w:rPr>
          <w:rFonts w:ascii="Calibri" w:cs="Calibri" w:eastAsia="Calibri" w:hAnsi="Calibri"/>
          <w:color w:val="1A1A1A"/>
          <w:sz w:val="22"/>
          <w:szCs w:val="22"/>
        </w:rPr>
        <w:t xml:space="preserve">2. What scale is required? If the function requires more than 500 professionals, India is likely the only location that can supply them at the required depth. Functions below 100 people have more location flexibility.</w:t>
      </w:r>
    </w:p>
    <w:p>
      <w:pPr>
        <w:spacing w:before="0" w:after="100" w:line="288"/>
      </w:pPr>
      <w:r>
        <w:rPr>
          <w:rFonts w:ascii="Calibri" w:cs="Calibri" w:eastAsia="Calibri" w:hAnsi="Calibri"/>
          <w:color w:val="1A1A1A"/>
          <w:sz w:val="22"/>
          <w:szCs w:val="22"/>
        </w:rPr>
        <w:t xml:space="preserve">3. What is the governance cost of a second location? Every additional location adds compliance overhead, management bandwidth, coordination cost, and cultural complexity. The threshold rule used by sophisticated enterprises: a second location must demonstrate at least 25% net benefit over the single-location alternative after governance costs are accounted for.</w:t>
      </w:r>
    </w:p>
    <w:p>
      <w:pPr>
        <w:spacing w:before="0" w:after="100" w:line="288"/>
      </w:pPr>
      <w:r>
        <w:rPr>
          <w:rFonts w:ascii="Calibri" w:cs="Calibri" w:eastAsia="Calibri" w:hAnsi="Calibri"/>
          <w:color w:val="1A1A1A"/>
          <w:sz w:val="22"/>
          <w:szCs w:val="22"/>
        </w:rPr>
        <w:t xml:space="preserve">4. Is the India center operating at Stage 3 or above before adding a second location? Opening a second location while the primary center is still in Stage 1 or 2 maturity is a known failure pattern. The management bandwidth required to build a second location competes directly with the attention required to mature the first.</w:t>
      </w:r>
    </w:p>
    <w:p>
      <w:pPr>
        <w:spacing w:before="0" w:after="100" w:line="288"/>
      </w:pPr>
      <w:r>
        <w:rPr>
          <w:rFonts w:ascii="Calibri" w:cs="Calibri" w:eastAsia="Calibri" w:hAnsi="Calibri"/>
          <w:color w:val="1A1A1A"/>
          <w:sz w:val="22"/>
          <w:szCs w:val="22"/>
        </w:rPr>
        <w:t xml:space="preserve">5. What is the integration model? A second location that operates in isolation from the primary India center adds limited value. The integration model  -  how the two centers share work, governance, leadership, and culture  -  must be designed before the second location opens.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2.4 Chapter Summary: Eight Principles for Multi-Location Strategy</w:t>
      </w:r>
    </w:p>
    <w:p>
      <w:pPr>
        <w:pStyle w:val="ListParagraph"/>
        <w:numPr>
          <w:ilvl w:val="0"/>
          <w:numId w:val="2"/>
        </w:numPr>
        <w:spacing w:before="20" w:after="20" w:line="276"/>
      </w:pPr>
      <w:r>
        <w:rPr>
          <w:rFonts w:ascii="Calibri" w:cs="Calibri" w:eastAsia="Calibri" w:hAnsi="Calibri"/>
          <w:color w:val="1A1A1A"/>
          <w:sz w:val="22"/>
          <w:szCs w:val="22"/>
        </w:rPr>
        <w:t xml:space="preserve">India first, always. No alternative location matches India's talent depth, ecosystem maturity, or cost-quality balance at scale. Multi-location adds to India; it does not replace it.</w:t>
      </w:r>
    </w:p>
    <w:p>
      <w:pPr>
        <w:pStyle w:val="ListParagraph"/>
        <w:numPr>
          <w:ilvl w:val="0"/>
          <w:numId w:val="2"/>
        </w:numPr>
        <w:spacing w:before="20" w:after="20" w:line="276"/>
      </w:pPr>
      <w:r>
        <w:rPr>
          <w:rFonts w:ascii="Calibri" w:cs="Calibri" w:eastAsia="Calibri" w:hAnsi="Calibri"/>
          <w:color w:val="1A1A1A"/>
          <w:sz w:val="22"/>
          <w:szCs w:val="22"/>
        </w:rPr>
        <w:t xml:space="preserve">Location decisions require a specific constraint to solve. Vague "risk diversification" without a defined constraint is not a sufficient rationale.</w:t>
      </w:r>
    </w:p>
    <w:p>
      <w:pPr>
        <w:pStyle w:val="ListParagraph"/>
        <w:numPr>
          <w:ilvl w:val="0"/>
          <w:numId w:val="2"/>
        </w:numPr>
        <w:spacing w:before="20" w:after="20" w:line="276"/>
      </w:pPr>
      <w:r>
        <w:rPr>
          <w:rFonts w:ascii="Calibri" w:cs="Calibri" w:eastAsia="Calibri" w:hAnsi="Calibri"/>
          <w:color w:val="1A1A1A"/>
          <w:sz w:val="22"/>
          <w:szCs w:val="22"/>
        </w:rPr>
        <w:t xml:space="preserve">EU data sovereignty is the strongest case for Poland. No other rationale justifies the cost premium.</w:t>
      </w:r>
    </w:p>
    <w:p>
      <w:pPr>
        <w:pStyle w:val="ListParagraph"/>
        <w:numPr>
          <w:ilvl w:val="0"/>
          <w:numId w:val="2"/>
        </w:numPr>
        <w:spacing w:before="20" w:after="20" w:line="276"/>
      </w:pPr>
      <w:r>
        <w:rPr>
          <w:rFonts w:ascii="Calibri" w:cs="Calibri" w:eastAsia="Calibri" w:hAnsi="Calibri"/>
          <w:color w:val="1A1A1A"/>
          <w:sz w:val="22"/>
          <w:szCs w:val="22"/>
        </w:rPr>
        <w:t xml:space="preserve">US time zone collaboration is the strongest case for Mexico. Nearshoring that saves money compared to US hiring while maintaining real-time collaboration is a sound model.</w:t>
      </w:r>
    </w:p>
    <w:p>
      <w:pPr>
        <w:pStyle w:val="ListParagraph"/>
        <w:numPr>
          <w:ilvl w:val="0"/>
          <w:numId w:val="2"/>
        </w:numPr>
        <w:spacing w:before="20" w:after="20" w:line="276"/>
      </w:pPr>
      <w:r>
        <w:rPr>
          <w:rFonts w:ascii="Calibri" w:cs="Calibri" w:eastAsia="Calibri" w:hAnsi="Calibri"/>
          <w:color w:val="1A1A1A"/>
          <w:sz w:val="22"/>
          <w:szCs w:val="22"/>
        </w:rPr>
        <w:t xml:space="preserve">Vietnam is best as a complement to India, not a substitute. For Nano and Micro center functions requiring Southeast Asia proximity, it is credible. At scale, it cannot compete with India.</w:t>
      </w:r>
    </w:p>
    <w:p>
      <w:pPr>
        <w:pStyle w:val="ListParagraph"/>
        <w:numPr>
          <w:ilvl w:val="0"/>
          <w:numId w:val="2"/>
        </w:numPr>
        <w:spacing w:before="20" w:after="20" w:line="276"/>
      </w:pPr>
      <w:r>
        <w:rPr>
          <w:rFonts w:ascii="Calibri" w:cs="Calibri" w:eastAsia="Calibri" w:hAnsi="Calibri"/>
          <w:color w:val="1A1A1A"/>
          <w:sz w:val="22"/>
          <w:szCs w:val="22"/>
        </w:rPr>
        <w:t xml:space="preserve">Do not open a second location before the first is at Stage 3 maturity.</w:t>
      </w:r>
    </w:p>
    <w:p>
      <w:pPr>
        <w:pStyle w:val="ListParagraph"/>
        <w:numPr>
          <w:ilvl w:val="0"/>
          <w:numId w:val="2"/>
        </w:numPr>
        <w:spacing w:before="20" w:after="20" w:line="276"/>
      </w:pPr>
      <w:r>
        <w:rPr>
          <w:rFonts w:ascii="Calibri" w:cs="Calibri" w:eastAsia="Calibri" w:hAnsi="Calibri"/>
          <w:color w:val="1A1A1A"/>
          <w:sz w:val="22"/>
          <w:szCs w:val="22"/>
        </w:rPr>
        <w:t xml:space="preserve">Account for governance cost in every location business case. The true cost of a second location is 1.3-1.5x the headline cost.</w:t>
      </w:r>
    </w:p>
    <w:p>
      <w:pPr>
        <w:pStyle w:val="ListParagraph"/>
        <w:numPr>
          <w:ilvl w:val="0"/>
          <w:numId w:val="2"/>
        </w:numPr>
        <w:spacing w:before="20" w:after="20" w:line="276"/>
      </w:pPr>
      <w:r>
        <w:rPr>
          <w:rFonts w:ascii="Calibri" w:cs="Calibri" w:eastAsia="Calibri" w:hAnsi="Calibri"/>
          <w:color w:val="1A1A1A"/>
          <w:sz w:val="22"/>
          <w:szCs w:val="22"/>
        </w:rPr>
        <w:t xml:space="preserve">Build the integration model before opening, not after.</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THREE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M&amp;A, Consolidation, and the Portfolio Enterprise</w:t>
      </w:r>
    </w:p>
    <w:p>
      <w:pPr>
        <w:spacing w:before="40" w:after="40" w:line="276"/>
      </w:pPr>
      <w:r>
        <w:rPr>
          <w:rFonts w:ascii="Calibri" w:cs="Calibri" w:eastAsia="Calibri" w:hAnsi="Calibri"/>
          <w:i/>
          <w:iCs/>
          <w:color w:val="555555"/>
          <w:sz w:val="21"/>
          <w:szCs w:val="21"/>
        </w:rPr>
        <w:t xml:space="preserve">Due Diligence, Post-Acquisition Integration, and the Portfolio GCC Director Role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3.1 The M&amp;A Wave Reshaping India's GCC Landscape</w:t>
      </w:r>
    </w:p>
    <w:p>
      <w:pPr>
        <w:spacing w:before="0" w:after="100" w:line="288"/>
      </w:pPr>
      <w:r>
        <w:rPr>
          <w:rFonts w:ascii="Calibri" w:cs="Calibri" w:eastAsia="Calibri" w:hAnsi="Calibri"/>
          <w:color w:val="1A1A1A"/>
          <w:sz w:val="22"/>
          <w:szCs w:val="22"/>
        </w:rPr>
        <w:t xml:space="preserve">India's GCC ecosystem is entering a consolidation phase. Three M&amp;A drivers are active simultaneously.</w:t>
      </w:r>
    </w:p>
    <w:p>
      <w:pPr>
        <w:spacing w:before="0" w:after="100" w:line="288"/>
      </w:pPr>
      <w:r>
        <w:rPr>
          <w:rFonts w:ascii="Calibri" w:cs="Calibri" w:eastAsia="Calibri" w:hAnsi="Calibri"/>
          <w:color w:val="1A1A1A"/>
          <w:sz w:val="22"/>
          <w:szCs w:val="22"/>
        </w:rPr>
        <w:t xml:space="preserve">Corporate M&amp;A creating GCC integration challenges. When a global enterprise acquires another company, it frequently inherits a GCC in India that now sits alongside its existing India center. The acquired GCC has different technology stacks, different governance models, different employer brands, different real estate footprints, and  -  critically  -  different cultures. Post-acquisition GCC integration is one of the least-documented and most frequently mishandled challenges in the ecosystem.</w:t>
      </w:r>
    </w:p>
    <w:p>
      <w:pPr>
        <w:spacing w:before="0" w:after="100" w:line="288"/>
      </w:pPr>
      <w:r>
        <w:rPr>
          <w:rFonts w:ascii="Calibri" w:cs="Calibri" w:eastAsia="Calibri" w:hAnsi="Calibri"/>
          <w:color w:val="1A1A1A"/>
          <w:sz w:val="22"/>
          <w:szCs w:val="22"/>
        </w:rPr>
        <w:t xml:space="preserve">PE portfolio companies building shared GCC infrastructure. Private equity firms with three or more portfolio companies in adjacent technology sectors are increasingly building shared GCC infrastructure: a single India legal entity, shared real estate, shared HR and legal functions, shared employer brand, with technology and operations teams dedicated to each portfolio company. This model reduces per-company setup cost by 40-60% and builds faster than each company building independently.</w:t>
      </w:r>
    </w:p>
    <w:p>
      <w:pPr>
        <w:spacing w:before="0" w:after="100" w:line="288"/>
      </w:pPr>
      <w:r>
        <w:rPr>
          <w:rFonts w:ascii="Calibri" w:cs="Calibri" w:eastAsia="Calibri" w:hAnsi="Calibri"/>
          <w:color w:val="1A1A1A"/>
          <w:sz w:val="22"/>
          <w:szCs w:val="22"/>
        </w:rPr>
        <w:t xml:space="preserve">Venture-backed companies consolidating after funding rounds. Series C and later-stage companies that built Nano GCCs independently are discovering that consolidation  -  with another portfolio company or with a larger GCC  -  reduces cost, improves talent access, and provides governance support they cannot build independently at 50-100 headcount.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3.2 GCC Due Diligence: The Framework</w:t>
      </w:r>
    </w:p>
    <w:p>
      <w:pPr>
        <w:spacing w:before="0" w:after="100" w:line="288"/>
      </w:pPr>
      <w:r>
        <w:rPr>
          <w:rFonts w:ascii="Calibri" w:cs="Calibri" w:eastAsia="Calibri" w:hAnsi="Calibri"/>
          <w:color w:val="1A1A1A"/>
          <w:sz w:val="22"/>
          <w:szCs w:val="22"/>
        </w:rPr>
        <w:t xml:space="preserve">When a corporate acquisition includes an India GCC, due diligence for the GCC deserves the same rigor applied to the parent company's technology, IP, and financial position. The default  -  treating the India center as a footnote in the broader deal  -  produces expensive post-acquisition surprises.</w:t>
      </w:r>
    </w:p>
    <w:p>
      <w:pPr>
        <w:spacing w:before="120" w:after="60" w:line="276"/>
      </w:pPr>
      <w:r>
        <w:rPr>
          <w:rFonts w:ascii="Calibri" w:cs="Calibri" w:eastAsia="Calibri" w:hAnsi="Calibri"/>
          <w:b/>
          <w:bCs/>
          <w:color w:val="1A1A1A"/>
          <w:sz w:val="22"/>
          <w:szCs w:val="22"/>
        </w:rPr>
        <w:t xml:space="preserve">The GCC Due Diligence Checklist</w:t>
      </w:r>
    </w:p>
    <w:p>
      <w:pPr>
        <w:spacing w:before="0" w:after="100" w:line="288"/>
      </w:pPr>
      <w:r>
        <w:rPr>
          <w:rFonts w:ascii="Calibri" w:cs="Calibri" w:eastAsia="Calibri" w:hAnsi="Calibri"/>
          <w:color w:val="1A1A1A"/>
          <w:sz w:val="22"/>
          <w:szCs w:val="22"/>
        </w:rPr>
        <w:t xml:space="preserve">Legal entity and compliance status: Is the entity in good standing with the Registrar of Companies? Are all statutory filings current? Are there pending labor law disputes, POSH Act complaints, or tax notices? Is the entity correctly classified under the Income Tax Act?</w:t>
      </w:r>
    </w:p>
    <w:p>
      <w:pPr>
        <w:spacing w:before="0" w:after="100" w:line="288"/>
      </w:pPr>
      <w:r>
        <w:rPr>
          <w:rFonts w:ascii="Calibri" w:cs="Calibri" w:eastAsia="Calibri" w:hAnsi="Calibri"/>
          <w:color w:val="1A1A1A"/>
          <w:sz w:val="22"/>
          <w:szCs w:val="22"/>
        </w:rPr>
        <w:t xml:space="preserve">Employment contracts and IP assignment: Do all employee contracts include IP assignment clauses? Are contractor agreements structured correctly under Indian law? What is the notice period structure, and what is the realistic departure timeline if key talent exits post-acquisition?</w:t>
      </w:r>
    </w:p>
    <w:p>
      <w:pPr>
        <w:spacing w:before="0" w:after="100" w:line="288"/>
      </w:pPr>
      <w:r>
        <w:rPr>
          <w:rFonts w:ascii="Calibri" w:cs="Calibri" w:eastAsia="Calibri" w:hAnsi="Calibri"/>
          <w:color w:val="1A1A1A"/>
          <w:sz w:val="22"/>
          <w:szCs w:val="22"/>
        </w:rPr>
        <w:t xml:space="preserve">Real estate and infrastructure: What are the lease terms? What is the notice period for the landlord? Are there data center or technology infrastructure dependencies that create transition risk?</w:t>
      </w:r>
    </w:p>
    <w:p>
      <w:pPr>
        <w:spacing w:before="0" w:after="100" w:line="288"/>
      </w:pPr>
      <w:r>
        <w:rPr>
          <w:rFonts w:ascii="Calibri" w:cs="Calibri" w:eastAsia="Calibri" w:hAnsi="Calibri"/>
          <w:color w:val="1A1A1A"/>
          <w:sz w:val="22"/>
          <w:szCs w:val="22"/>
        </w:rPr>
        <w:t xml:space="preserve">Talent concentration risk: What percentage of institutional knowledge sits in fewer than ten people? Which individuals are considered flight risks post-acquisition? What retention commitments are required and at what cost?</w:t>
      </w:r>
    </w:p>
    <w:p>
      <w:pPr>
        <w:spacing w:before="0" w:after="100" w:line="288"/>
      </w:pPr>
      <w:r>
        <w:rPr>
          <w:rFonts w:ascii="Calibri" w:cs="Calibri" w:eastAsia="Calibri" w:hAnsi="Calibri"/>
          <w:color w:val="1A1A1A"/>
          <w:sz w:val="22"/>
          <w:szCs w:val="22"/>
        </w:rPr>
        <w:t xml:space="preserve">Governance maturity: Where is the center on the five-stage maturity scale? What governance documentation exists  -  charter, operating model, KPI framework? Is there a functioning leadership team or a single founder-leader with no succession depth?</w:t>
      </w:r>
    </w:p>
    <w:p>
      <w:pPr>
        <w:spacing w:before="0" w:after="100" w:line="288"/>
      </w:pPr>
      <w:r>
        <w:rPr>
          <w:rFonts w:ascii="Calibri" w:cs="Calibri" w:eastAsia="Calibri" w:hAnsi="Calibri"/>
          <w:color w:val="1A1A1A"/>
          <w:sz w:val="22"/>
          <w:szCs w:val="22"/>
        </w:rPr>
        <w:t xml:space="preserve">Employer brand: What is the center's reputation in the local talent market? What Glassdoor ratings, NASSCOM community standing, and external recognition exist? A poor employer brand requires 12-24 months to rebuild and creates hiring cost and attrition risk during that period.</w:t>
      </w:r>
    </w:p>
    <w:p>
      <w:pPr>
        <w:spacing w:before="0" w:after="100" w:line="288"/>
      </w:pPr>
      <w:r>
        <w:rPr>
          <w:rFonts w:ascii="Calibri" w:cs="Calibri" w:eastAsia="Calibri" w:hAnsi="Calibri"/>
          <w:color w:val="1A1A1A"/>
          <w:sz w:val="22"/>
          <w:szCs w:val="22"/>
        </w:rPr>
        <w:t xml:space="preserve">Technology stack and tools: What are the critical systems? What are the licensing implications post-acquisition? Are there data residency commitments in existing contracts that create compliance exposure under the acquirer's framework?</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3.3 Post-Acquisition Integration: The 180-Day Playbook</w:t>
      </w:r>
    </w:p>
    <w:p>
      <w:pPr>
        <w:spacing w:before="0" w:after="100" w:line="288"/>
      </w:pPr>
      <w:r>
        <w:rPr>
          <w:rFonts w:ascii="Calibri" w:cs="Calibri" w:eastAsia="Calibri" w:hAnsi="Calibri"/>
          <w:color w:val="1A1A1A"/>
          <w:sz w:val="22"/>
          <w:szCs w:val="22"/>
        </w:rPr>
        <w:t xml:space="preserve">Post-acquisition GCC integration fails most often because it is managed as a technology integration project rather than a people and culture integration project. The two GCCs have different hiring profiles, different compensation structures, different career path models, and different ways of working. Technology can be migrated in 90-120 days. Culture takes 18-24 months, and it cannot be rushed.</w:t>
      </w:r>
    </w:p>
    <w:p>
      <w:pPr>
        <w:spacing w:before="120" w:after="60" w:line="276"/>
      </w:pPr>
      <w:r>
        <w:rPr>
          <w:rFonts w:ascii="Calibri" w:cs="Calibri" w:eastAsia="Calibri" w:hAnsi="Calibri"/>
          <w:b/>
          <w:bCs/>
          <w:color w:val="1A1A1A"/>
          <w:sz w:val="22"/>
          <w:szCs w:val="22"/>
        </w:rPr>
        <w:t xml:space="preserve">Days 1-30: Stabilise, do not integrate.</w:t>
      </w:r>
    </w:p>
    <w:p>
      <w:pPr>
        <w:spacing w:before="0" w:after="100" w:line="288"/>
      </w:pPr>
      <w:r>
        <w:rPr>
          <w:rFonts w:ascii="Calibri" w:cs="Calibri" w:eastAsia="Calibri" w:hAnsi="Calibri"/>
          <w:color w:val="1A1A1A"/>
          <w:sz w:val="22"/>
          <w:szCs w:val="22"/>
        </w:rPr>
        <w:t xml:space="preserve">The first priority is talent retention. Key people in the acquired GCC are evaluating their options. The acquirer's India leadership team needs to be visible, credible, and honest about the integration plan within the first two weeks. Announcements should be made by the acquirer's India head in person, not by email from headquarters. Retention packages for critical talent should be committed before day 30.</w:t>
      </w:r>
    </w:p>
    <w:p>
      <w:pPr>
        <w:spacing w:before="0" w:after="100" w:line="288"/>
      </w:pPr>
      <w:r>
        <w:rPr>
          <w:rFonts w:ascii="Calibri" w:cs="Calibri" w:eastAsia="Calibri" w:hAnsi="Calibri"/>
          <w:color w:val="1A1A1A"/>
          <w:sz w:val="22"/>
          <w:szCs w:val="22"/>
        </w:rPr>
        <w:t xml:space="preserve">Do not make structural changes in the first 30 days. Announcing reorganisation, reporting line changes, or benefit structure changes before trust is established drives attrition. Stabilise first.</w:t>
      </w:r>
    </w:p>
    <w:p>
      <w:pPr>
        <w:spacing w:before="120" w:after="60" w:line="276"/>
      </w:pPr>
      <w:r>
        <w:rPr>
          <w:rFonts w:ascii="Calibri" w:cs="Calibri" w:eastAsia="Calibri" w:hAnsi="Calibri"/>
          <w:b/>
          <w:bCs/>
          <w:color w:val="1A1A1A"/>
          <w:sz w:val="22"/>
          <w:szCs w:val="22"/>
        </w:rPr>
        <w:t xml:space="preserve">Days 31-90: Assess, plan, communicate.</w:t>
      </w:r>
    </w:p>
    <w:p>
      <w:pPr>
        <w:spacing w:before="0" w:after="100" w:line="288"/>
      </w:pPr>
      <w:r>
        <w:rPr>
          <w:rFonts w:ascii="Calibri" w:cs="Calibri" w:eastAsia="Calibri" w:hAnsi="Calibri"/>
          <w:color w:val="1A1A1A"/>
          <w:sz w:val="22"/>
          <w:szCs w:val="22"/>
        </w:rPr>
        <w:t xml:space="preserve">Conduct a full talent and capability assessment. Identify overlap and complement  -  where the two centers have redundant capability and where they have complementary expertise. Define the integration architecture: will the centers merge physically, merge legally but operate separately, or maintain separate entities for structural reasons?</w:t>
      </w:r>
    </w:p>
    <w:p>
      <w:pPr>
        <w:spacing w:before="0" w:after="100" w:line="288"/>
      </w:pPr>
      <w:r>
        <w:rPr>
          <w:rFonts w:ascii="Calibri" w:cs="Calibri" w:eastAsia="Calibri" w:hAnsi="Calibri"/>
          <w:color w:val="1A1A1A"/>
          <w:sz w:val="22"/>
          <w:szCs w:val="22"/>
        </w:rPr>
        <w:t xml:space="preserve">Develop the employer brand integration plan. One employer brand, one EVP, one hiring approach  -  but the timing and sequencing matter. Imposing the acquirer's employer brand immediately on the acquired center erases institutional loyalty without replacing it. A phased transition over 12-18 months is more effective.</w:t>
      </w:r>
    </w:p>
    <w:p>
      <w:pPr>
        <w:spacing w:before="120" w:after="60" w:line="276"/>
      </w:pPr>
      <w:r>
        <w:rPr>
          <w:rFonts w:ascii="Calibri" w:cs="Calibri" w:eastAsia="Calibri" w:hAnsi="Calibri"/>
          <w:b/>
          <w:bCs/>
          <w:color w:val="1A1A1A"/>
          <w:sz w:val="22"/>
          <w:szCs w:val="22"/>
        </w:rPr>
        <w:t xml:space="preserve">Days 91-180: Implement governance integration, not operational merger.</w:t>
      </w:r>
    </w:p>
    <w:p>
      <w:pPr>
        <w:spacing w:before="0" w:after="100" w:line="288"/>
      </w:pPr>
      <w:r>
        <w:rPr>
          <w:rFonts w:ascii="Calibri" w:cs="Calibri" w:eastAsia="Calibri" w:hAnsi="Calibri"/>
          <w:color w:val="1A1A1A"/>
          <w:sz w:val="22"/>
          <w:szCs w:val="22"/>
        </w:rPr>
        <w:t xml:space="preserve">The governance framework should be unified before the operational structure. Unified reporting lines, unified KPI framework, unified governance council. Operational integration  -  physical space, technology systems, team structures  -  follows governance unification, not the reverse.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3.4 The Portfolio GCC Model: Architecture and Governance</w:t>
      </w:r>
    </w:p>
    <w:p>
      <w:pPr>
        <w:spacing w:before="0" w:after="100" w:line="288"/>
      </w:pPr>
      <w:r>
        <w:rPr>
          <w:rFonts w:ascii="Calibri" w:cs="Calibri" w:eastAsia="Calibri" w:hAnsi="Calibri"/>
          <w:color w:val="1A1A1A"/>
          <w:sz w:val="22"/>
          <w:szCs w:val="22"/>
        </w:rPr>
        <w:t xml:space="preserve">The PE portfolio GCC model is the most efficient structure for managing multiple early-stage GCCs under a common ownership umbrella. The architecture has three layers.</w:t>
      </w:r>
    </w:p>
    <w:p>
      <w:pPr>
        <w:spacing w:before="0" w:after="100" w:line="288"/>
      </w:pPr>
      <w:r>
        <w:rPr>
          <w:rFonts w:ascii="Calibri" w:cs="Calibri" w:eastAsia="Calibri" w:hAnsi="Calibri"/>
          <w:color w:val="1A1A1A"/>
          <w:sz w:val="22"/>
          <w:szCs w:val="22"/>
        </w:rPr>
        <w:t xml:space="preserve">Layer 1: The shared services entity. A single Indian Private Limited Company owned by the PE fund or its India holding structure, employing shared services professionals in HR, legal, finance, IT infrastructure, and facilities. This entity exists to serve all portfolio companies and reduces per-company overhead significantly.</w:t>
      </w:r>
    </w:p>
    <w:p>
      <w:pPr>
        <w:spacing w:before="0" w:after="100" w:line="288"/>
      </w:pPr>
      <w:r>
        <w:rPr>
          <w:rFonts w:ascii="Calibri" w:cs="Calibri" w:eastAsia="Calibri" w:hAnsi="Calibri"/>
          <w:color w:val="1A1A1A"/>
          <w:sz w:val="22"/>
          <w:szCs w:val="22"/>
        </w:rPr>
        <w:t xml:space="preserve">Layer 2: Dedicated capability teams. Within the shared entity, technology and operations teams are dedicated to individual portfolio companies. These teams have a dual reporting line: functionally to the portfolio company's global leadership, operationally to the Portfolio GCC Director.</w:t>
      </w:r>
    </w:p>
    <w:p>
      <w:pPr>
        <w:spacing w:before="0" w:after="100" w:line="288"/>
      </w:pPr>
      <w:r>
        <w:rPr>
          <w:rFonts w:ascii="Calibri" w:cs="Calibri" w:eastAsia="Calibri" w:hAnsi="Calibri"/>
          <w:color w:val="1A1A1A"/>
          <w:sz w:val="22"/>
          <w:szCs w:val="22"/>
        </w:rPr>
        <w:t xml:space="preserve">Layer 3: The Portfolio GCC Director. A single senior leader  -  typically reporting to the PE fund's operating partner  -  who manages the India operations across all portfolio companies. This role does not exist in the standard GCC structure and requires a unique skill profile: the ability to manage multiple P&amp;Ls, multiple stakeholder relationships with portfolio company CEOs, and a unified talent and culture model across teams with different business contexts.</w:t>
      </w:r>
    </w:p>
    <w:p>
      <w:pPr>
        <w:spacing w:before="120" w:after="60" w:line="276"/>
      </w:pPr>
      <w:r>
        <w:rPr>
          <w:rFonts w:ascii="Calibri" w:cs="Calibri" w:eastAsia="Calibri" w:hAnsi="Calibri"/>
          <w:b/>
          <w:bCs/>
          <w:color w:val="1A1A1A"/>
          <w:sz w:val="22"/>
          <w:szCs w:val="22"/>
        </w:rPr>
        <w:t xml:space="preserve">Portfolio GCC Director: The Required Profile</w:t>
      </w:r>
    </w:p>
    <w:p>
      <w:pPr>
        <w:spacing w:before="0" w:after="100" w:line="288"/>
      </w:pPr>
      <w:r>
        <w:rPr>
          <w:rFonts w:ascii="Calibri" w:cs="Calibri" w:eastAsia="Calibri" w:hAnsi="Calibri"/>
          <w:color w:val="1A1A1A"/>
          <w:sz w:val="22"/>
          <w:szCs w:val="22"/>
        </w:rPr>
        <w:t xml:space="preserve">This role is harder to fill than a standard Large GCC Head, because it combines the complexity of multi-P&amp;L management with the culture challenges of serving multiple companies simultaneously. The profile: 20+ years of India GCC experience, ideally across multiple enterprises; strong financial acumen (this role runs a shared services P&amp;L); demonstrated talent architecture skills; and political credibility with PE operating partners and portfolio company CEOs simultaneously. This is a rare combination. The market has fewer than 200 people who genuinely fit it.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3.5 Chapter Summary: Seven Principles for GCC M&amp;A and Portfolio Strategy</w:t>
      </w:r>
    </w:p>
    <w:p>
      <w:pPr>
        <w:pStyle w:val="ListParagraph"/>
        <w:numPr>
          <w:ilvl w:val="0"/>
          <w:numId w:val="2"/>
        </w:numPr>
        <w:spacing w:before="20" w:after="20" w:line="276"/>
      </w:pPr>
      <w:r>
        <w:rPr>
          <w:rFonts w:ascii="Calibri" w:cs="Calibri" w:eastAsia="Calibri" w:hAnsi="Calibri"/>
          <w:color w:val="1A1A1A"/>
          <w:sz w:val="22"/>
          <w:szCs w:val="22"/>
        </w:rPr>
        <w:t xml:space="preserve">Treat GCC due diligence with the same rigor as technology and IP due diligence. The India center is a significant asset and a significant liability risk.</w:t>
      </w:r>
    </w:p>
    <w:p>
      <w:pPr>
        <w:pStyle w:val="ListParagraph"/>
        <w:numPr>
          <w:ilvl w:val="0"/>
          <w:numId w:val="2"/>
        </w:numPr>
        <w:spacing w:before="20" w:after="20" w:line="276"/>
      </w:pPr>
      <w:r>
        <w:rPr>
          <w:rFonts w:ascii="Calibri" w:cs="Calibri" w:eastAsia="Calibri" w:hAnsi="Calibri"/>
          <w:color w:val="1A1A1A"/>
          <w:sz w:val="22"/>
          <w:szCs w:val="22"/>
        </w:rPr>
        <w:t xml:space="preserve">Stabilise before integrating. Retention of critical talent in the first 30 days determines whether the acquired center's value is preserved or destroyed.</w:t>
      </w:r>
    </w:p>
    <w:p>
      <w:pPr>
        <w:pStyle w:val="ListParagraph"/>
        <w:numPr>
          <w:ilvl w:val="0"/>
          <w:numId w:val="2"/>
        </w:numPr>
        <w:spacing w:before="20" w:after="20" w:line="276"/>
      </w:pPr>
      <w:r>
        <w:rPr>
          <w:rFonts w:ascii="Calibri" w:cs="Calibri" w:eastAsia="Calibri" w:hAnsi="Calibri"/>
          <w:color w:val="1A1A1A"/>
          <w:sz w:val="22"/>
          <w:szCs w:val="22"/>
        </w:rPr>
        <w:t xml:space="preserve">Culture integration takes 18-24 months. Plan for it explicitly; do not assume it will happen organically.</w:t>
      </w:r>
    </w:p>
    <w:p>
      <w:pPr>
        <w:pStyle w:val="ListParagraph"/>
        <w:numPr>
          <w:ilvl w:val="0"/>
          <w:numId w:val="2"/>
        </w:numPr>
        <w:spacing w:before="20" w:after="20" w:line="276"/>
      </w:pPr>
      <w:r>
        <w:rPr>
          <w:rFonts w:ascii="Calibri" w:cs="Calibri" w:eastAsia="Calibri" w:hAnsi="Calibri"/>
          <w:color w:val="1A1A1A"/>
          <w:sz w:val="22"/>
          <w:szCs w:val="22"/>
        </w:rPr>
        <w:t xml:space="preserve">The Portfolio GCC model reduces per-company setup cost by 40-60%. For PE funds with three or more portfolio companies in adjacent sectors, it is the right structure.</w:t>
      </w:r>
    </w:p>
    <w:p>
      <w:pPr>
        <w:pStyle w:val="ListParagraph"/>
        <w:numPr>
          <w:ilvl w:val="0"/>
          <w:numId w:val="2"/>
        </w:numPr>
        <w:spacing w:before="20" w:after="20" w:line="276"/>
      </w:pPr>
      <w:r>
        <w:rPr>
          <w:rFonts w:ascii="Calibri" w:cs="Calibri" w:eastAsia="Calibri" w:hAnsi="Calibri"/>
          <w:color w:val="1A1A1A"/>
          <w:sz w:val="22"/>
          <w:szCs w:val="22"/>
        </w:rPr>
        <w:t xml:space="preserve">The Portfolio GCC Director role requires a specific profile. Do not appoint the most senior available India executive  -  appoint the one who can manage multiple stakeholder relationships simultaneously.</w:t>
      </w:r>
    </w:p>
    <w:p>
      <w:pPr>
        <w:pStyle w:val="ListParagraph"/>
        <w:numPr>
          <w:ilvl w:val="0"/>
          <w:numId w:val="2"/>
        </w:numPr>
        <w:spacing w:before="20" w:after="20" w:line="276"/>
      </w:pPr>
      <w:r>
        <w:rPr>
          <w:rFonts w:ascii="Calibri" w:cs="Calibri" w:eastAsia="Calibri" w:hAnsi="Calibri"/>
          <w:color w:val="1A1A1A"/>
          <w:sz w:val="22"/>
          <w:szCs w:val="22"/>
        </w:rPr>
        <w:t xml:space="preserve">Unified governance before operational merger. Governance integration can be completed in 90 days. Operational integration takes 12-18 months. Do them in the right order.</w:t>
      </w:r>
    </w:p>
    <w:p>
      <w:pPr>
        <w:pStyle w:val="ListParagraph"/>
        <w:numPr>
          <w:ilvl w:val="0"/>
          <w:numId w:val="2"/>
        </w:numPr>
        <w:spacing w:before="20" w:after="20" w:line="276"/>
      </w:pPr>
      <w:r>
        <w:rPr>
          <w:rFonts w:ascii="Calibri" w:cs="Calibri" w:eastAsia="Calibri" w:hAnsi="Calibri"/>
          <w:color w:val="1A1A1A"/>
          <w:sz w:val="22"/>
          <w:szCs w:val="22"/>
        </w:rPr>
        <w:t xml:space="preserve">Employer brand integration is a 12-18 month programme. Rushing it produces attrition.</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FOUR</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Deep-Tech GCCs: Semiconductors, Quantum, and Space</w:t>
      </w:r>
    </w:p>
    <w:p>
      <w:pPr>
        <w:spacing w:before="40" w:after="40" w:line="276"/>
      </w:pPr>
      <w:r>
        <w:rPr>
          <w:rFonts w:ascii="Calibri" w:cs="Calibri" w:eastAsia="Calibri" w:hAnsi="Calibri"/>
          <w:i/>
          <w:iCs/>
          <w:color w:val="555555"/>
          <w:sz w:val="21"/>
          <w:szCs w:val="21"/>
        </w:rPr>
        <w:t xml:space="preserve">India's New Frontier for Engineering Depth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4.1 The Semiconductor Moment</w:t>
      </w:r>
    </w:p>
    <w:p>
      <w:pPr>
        <w:spacing w:before="0" w:after="100" w:line="288"/>
      </w:pPr>
      <w:r>
        <w:rPr>
          <w:rFonts w:ascii="Calibri" w:cs="Calibri" w:eastAsia="Calibri" w:hAnsi="Calibri"/>
          <w:color w:val="1A1A1A"/>
          <w:sz w:val="22"/>
          <w:szCs w:val="22"/>
        </w:rPr>
        <w:t xml:space="preserve">India's semiconductor initiative is the most significant policy intervention in the GCC ecosystem since Karnataka's landmark 2024 GCC policy. The India Semiconductor Mission, backed by an INR 76,000 crore (approximately USD 9 billion) government commitment, is not a software initiative. It is an attempt to build an indigenous and multinational chip design and manufacturing ecosystem from the ground up.</w:t>
      </w:r>
    </w:p>
    <w:p>
      <w:pPr>
        <w:spacing w:before="0" w:after="100" w:line="288"/>
      </w:pPr>
      <w:r>
        <w:rPr>
          <w:rFonts w:ascii="Calibri" w:cs="Calibri" w:eastAsia="Calibri" w:hAnsi="Calibri"/>
          <w:color w:val="1A1A1A"/>
          <w:sz w:val="22"/>
          <w:szCs w:val="22"/>
        </w:rPr>
        <w:t xml:space="preserve">The GCC implications are significant. Semiconductor GCCs require different talent, different infrastructure, different IP governance, and different regulatory treatment than software GCCs. The companies building them  -  Micron, Tata Electronics, CG Power, Kaynes Technology, and a growing list of design-focused multinationals  -  are navigating a policy and talent environment that is genuinely new, even for experienced India GCC operators.</w:t>
      </w:r>
    </w:p>
    <w:p>
      <w:pPr>
        <w:spacing w:before="0" w:after="100" w:line="288"/>
      </w:pPr>
      <w:r>
        <w:rPr>
          <w:rFonts w:ascii="Calibri" w:cs="Calibri" w:eastAsia="Calibri" w:hAnsi="Calibri"/>
          <w:color w:val="1A1A1A"/>
          <w:sz w:val="22"/>
          <w:szCs w:val="22"/>
        </w:rPr>
        <w:t xml:space="preserve">As of early 2026, India has approximately 85 active chip design centers, most of them concentrated in Bengaluru and Hyderabad. Combined employment: roughly 50,000 chip design engineers. The government's 2030 target: 100,000 chip design professionals and 20+ manufacturing-adjacent facilities. The gap between current reality and 2030 ambition is both a talent pipeline challenge and a GCC setup opportunity.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4.2 The Semiconductor GCC: What Is Different</w:t>
      </w:r>
    </w:p>
    <w:p>
      <w:pPr>
        <w:spacing w:before="0" w:after="100" w:line="288"/>
      </w:pPr>
      <w:r>
        <w:rPr>
          <w:rFonts w:ascii="Calibri" w:cs="Calibri" w:eastAsia="Calibri" w:hAnsi="Calibri"/>
          <w:color w:val="1A1A1A"/>
          <w:sz w:val="22"/>
          <w:szCs w:val="22"/>
        </w:rPr>
        <w:t xml:space="preserve">Chip design GCCs differ from software GCCs on five dimensions that every leader considering this space needs to understand.</w:t>
      </w:r>
    </w:p>
    <w:p>
      <w:pPr>
        <w:spacing w:before="0" w:after="100" w:line="288"/>
      </w:pPr>
      <w:r>
        <w:rPr>
          <w:rFonts w:ascii="Calibri" w:cs="Calibri" w:eastAsia="Calibri" w:hAnsi="Calibri"/>
          <w:color w:val="1A1A1A"/>
          <w:sz w:val="22"/>
          <w:szCs w:val="22"/>
        </w:rPr>
        <w:t xml:space="preserve">Talent scarcity is more acute. There are approximately 50,000 chip design engineers in India today. This is not a large pool to recruit from. The top universities producing this talent  -  IIT Bombay, IIT Madras, IIT Kharagpur, IISc, BITS Pilani  -  produce approximately 3,000-4,000 chip design graduates annually. Competition for this talent is intense: Qualcomm, Intel, ARM, Broadcom, Texas Instruments, and NXP Semiconductors are all active in the market, alongside domestic players.</w:t>
      </w:r>
    </w:p>
    <w:p>
      <w:pPr>
        <w:spacing w:before="0" w:after="100" w:line="288"/>
      </w:pPr>
      <w:r>
        <w:rPr>
          <w:rFonts w:ascii="Calibri" w:cs="Calibri" w:eastAsia="Calibri" w:hAnsi="Calibri"/>
          <w:color w:val="1A1A1A"/>
          <w:sz w:val="22"/>
          <w:szCs w:val="22"/>
        </w:rPr>
        <w:t xml:space="preserve">The technology infrastructure requirements are different. EDA (Electronic Design Automation) software  -  the tools used to design chips  -  is expensive, license-intensive, and operationally complex. A chip design center requires EDA licenses from Cadence, Synopsys, or Mentor (now Siemens EDA), each costing USD 1-3 million annually for a 50-person team. The IT infrastructure to run simulation workloads is compute-intensive at a level that standard GCC office infrastructure does not accommodate.</w:t>
      </w:r>
    </w:p>
    <w:p>
      <w:pPr>
        <w:spacing w:before="0" w:after="100" w:line="288"/>
      </w:pPr>
      <w:r>
        <w:rPr>
          <w:rFonts w:ascii="Calibri" w:cs="Calibri" w:eastAsia="Calibri" w:hAnsi="Calibri"/>
          <w:color w:val="1A1A1A"/>
          <w:sz w:val="22"/>
          <w:szCs w:val="22"/>
        </w:rPr>
        <w:t xml:space="preserve">IP governance is mission-critical. Semiconductor IP  -  chip designs, verification methodologies, proprietary simulation data  -  is among the most sensitive IP a company owns. Governance requirements for chip design GCCs are significantly more stringent than for software GCCs: air-gapped networks for the most sensitive design work, export control compliance for US-origin EDA tools, and detailed access control logging are standard requirements.</w:t>
      </w:r>
    </w:p>
    <w:p>
      <w:pPr>
        <w:spacing w:before="0" w:after="100" w:line="288"/>
      </w:pPr>
      <w:r>
        <w:rPr>
          <w:rFonts w:ascii="Calibri" w:cs="Calibri" w:eastAsia="Calibri" w:hAnsi="Calibri"/>
          <w:color w:val="1A1A1A"/>
          <w:sz w:val="22"/>
          <w:szCs w:val="22"/>
        </w:rPr>
        <w:t xml:space="preserve">The regulatory environment is more complex. Chip design GCCs using US-origin EDA tools are subject to US Export Administration Regulations (EAR). Hiring employees who are nationals of countries on restricted lists requires compliance review. This is not hypothetical  -  multiple chip design centers in India have received compliance notices for export control violations in 2024-2025.</w:t>
      </w:r>
    </w:p>
    <w:p>
      <w:pPr>
        <w:spacing w:before="0" w:after="100" w:line="288"/>
      </w:pPr>
      <w:r>
        <w:rPr>
          <w:rFonts w:ascii="Calibri" w:cs="Calibri" w:eastAsia="Calibri" w:hAnsi="Calibri"/>
          <w:color w:val="1A1A1A"/>
          <w:sz w:val="22"/>
          <w:szCs w:val="22"/>
        </w:rPr>
        <w:t xml:space="preserve">The talent development timeline is longer. A software engineer becomes productive in a new GCC context in 3-6 months. A chip design engineer working on a new project requires 12-18 months to reach full productivity, because the domain knowledge required to verify a chip design against specification is deep and project-specific.</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4.3 Building a Semiconductor GCC: The Practical Playbook</w:t>
      </w:r>
    </w:p>
    <w:p>
      <w:pPr>
        <w:spacing w:before="0" w:after="100" w:line="288"/>
      </w:pPr>
      <w:r>
        <w:rPr>
          <w:rFonts w:ascii="Calibri" w:cs="Calibri" w:eastAsia="Calibri" w:hAnsi="Calibri"/>
          <w:color w:val="1A1A1A"/>
          <w:sz w:val="22"/>
          <w:szCs w:val="22"/>
        </w:rPr>
        <w:t xml:space="preserve">City selection: Bengaluru first, Hyderabad second. These two cities host the existing chip design talent pool, the university relationships that feed it, and the EDA vendor support infrastructure. Pune is emerging as a third option for automotive chip design. Tier-2 cities are not viable for semiconductor GCCs in the current market  -  the talent pool simply does not exist outside the primary centers.</w:t>
      </w:r>
    </w:p>
    <w:p>
      <w:pPr>
        <w:spacing w:before="0" w:after="100" w:line="288"/>
      </w:pPr>
      <w:r>
        <w:rPr>
          <w:rFonts w:ascii="Calibri" w:cs="Calibri" w:eastAsia="Calibri" w:hAnsi="Calibri"/>
          <w:color w:val="1A1A1A"/>
          <w:sz w:val="22"/>
          <w:szCs w:val="22"/>
        </w:rPr>
        <w:t xml:space="preserve">Founding team: The chip design GCC founding hire must be a chip design engineer, not a general GCC setup professional. The technical credibility to hire the first 20 engineers, select the EDA tool stack, and establish the design methodology cannot be delegated to a generalist. This is the most critical distinction between semiconductor GCCs and software GCCs.</w:t>
      </w:r>
    </w:p>
    <w:p>
      <w:pPr>
        <w:spacing w:before="0" w:after="100" w:line="288"/>
      </w:pPr>
      <w:r>
        <w:rPr>
          <w:rFonts w:ascii="Calibri" w:cs="Calibri" w:eastAsia="Calibri" w:hAnsi="Calibri"/>
          <w:color w:val="1A1A1A"/>
          <w:sz w:val="22"/>
          <w:szCs w:val="22"/>
        </w:rPr>
        <w:t xml:space="preserve">University partnerships: Unlike software GCCs, where campus hiring is a volume play across many institutions, semiconductor GCCs need deep partnerships with 3-5 specific programs. IIT Bombay's VLSI design programme, IIT Madras's National Centre for Semiconductor Science and Technology (NCSS), and IISc's Department of Electronic Systems Engineering are the three most important academic relationships for any semiconductor GCC.</w:t>
      </w:r>
    </w:p>
    <w:p>
      <w:pPr>
        <w:spacing w:before="0" w:after="100" w:line="288"/>
      </w:pPr>
      <w:r>
        <w:rPr>
          <w:rFonts w:ascii="Calibri" w:cs="Calibri" w:eastAsia="Calibri" w:hAnsi="Calibri"/>
          <w:color w:val="1A1A1A"/>
          <w:sz w:val="22"/>
          <w:szCs w:val="22"/>
        </w:rPr>
        <w:t xml:space="preserve">Government interface: The India Semiconductor Mission operates a single-window facilitation service for semiconductor investments. Centres that register with ISM access: subsidy applications (up to 50% of project cost for certain design centres), expedited approvals, and inclusion in the national talent development pipeline. This is not optional paperwork  -  it is a significant financial and operational benefit.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4.4 Quantum Computing and Space: Early-Stage Positions</w:t>
      </w:r>
    </w:p>
    <w:p>
      <w:pPr>
        <w:spacing w:before="0" w:after="100" w:line="288"/>
      </w:pPr>
      <w:r>
        <w:rPr>
          <w:rFonts w:ascii="Calibri" w:cs="Calibri" w:eastAsia="Calibri" w:hAnsi="Calibri"/>
          <w:color w:val="1A1A1A"/>
          <w:sz w:val="22"/>
          <w:szCs w:val="22"/>
        </w:rPr>
        <w:t xml:space="preserve">Quantum computing GCCs are nascent in India but growing. IBM, Google, and Quantinuum have research-oriented India presences. The National Quantum Mission (NQM), announced in 2023 with an INR 6,003 crore commitment, is building the research infrastructure that feeds commercial quantum GCCs. The talent pool is measured in hundreds, not thousands  -  this is a long-cycle investment, not a near-term GCC opportunity.</w:t>
      </w:r>
    </w:p>
    <w:p>
      <w:pPr>
        <w:spacing w:before="0" w:after="100" w:line="288"/>
      </w:pPr>
      <w:r>
        <w:rPr>
          <w:rFonts w:ascii="Calibri" w:cs="Calibri" w:eastAsia="Calibri" w:hAnsi="Calibri"/>
          <w:color w:val="1A1A1A"/>
          <w:sz w:val="22"/>
          <w:szCs w:val="22"/>
        </w:rPr>
        <w:t xml:space="preserve">India's space sector, opened to private enterprise through the Indian Space Policy 2023 and the establishment of IN-SPACe as the regulatory body, is creating a new category of aerospace and space technology GCCs. Companies including OneWeb, Thales Alenia Space, and Skyroot Aerospace are building India presence. The talent pipeline is primarily aerospace engineering graduates from IITs and the Indian Institute of Space Science and Technology (IIST) in Thiruvananthapuram.</w:t>
      </w:r>
    </w:p>
    <w:p>
      <w:pPr>
        <w:spacing w:before="0" w:after="100" w:line="288"/>
      </w:pPr>
      <w:r>
        <w:rPr>
          <w:rFonts w:ascii="Calibri" w:cs="Calibri" w:eastAsia="Calibri" w:hAnsi="Calibri"/>
          <w:color w:val="1A1A1A"/>
          <w:sz w:val="22"/>
          <w:szCs w:val="22"/>
        </w:rPr>
        <w:t xml:space="preserve">For most GCC leaders, quantum and space remain observation items for 2026-2028 rather than active setup decisions. The exceptions: enterprises with existing quantum research programs who are evaluating India talent for cost-effective research capacity, and aerospace companies with defense and space programs that need ITAR-compliant India engineering capability.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4.5 Chapter Summary: Six Principles for Deep-Tech GCC Strategy</w:t>
      </w:r>
    </w:p>
    <w:p>
      <w:pPr>
        <w:pStyle w:val="ListParagraph"/>
        <w:numPr>
          <w:ilvl w:val="0"/>
          <w:numId w:val="2"/>
        </w:numPr>
        <w:spacing w:before="20" w:after="20" w:line="276"/>
      </w:pPr>
      <w:r>
        <w:rPr>
          <w:rFonts w:ascii="Calibri" w:cs="Calibri" w:eastAsia="Calibri" w:hAnsi="Calibri"/>
          <w:color w:val="1A1A1A"/>
          <w:sz w:val="22"/>
          <w:szCs w:val="22"/>
        </w:rPr>
        <w:t xml:space="preserve">Semiconductor GCCs require a chip design engineer as the founding hire, not a GCC setup generalist.</w:t>
      </w:r>
    </w:p>
    <w:p>
      <w:pPr>
        <w:pStyle w:val="ListParagraph"/>
        <w:numPr>
          <w:ilvl w:val="0"/>
          <w:numId w:val="2"/>
        </w:numPr>
        <w:spacing w:before="20" w:after="20" w:line="276"/>
      </w:pPr>
      <w:r>
        <w:rPr>
          <w:rFonts w:ascii="Calibri" w:cs="Calibri" w:eastAsia="Calibri" w:hAnsi="Calibri"/>
          <w:color w:val="1A1A1A"/>
          <w:sz w:val="22"/>
          <w:szCs w:val="22"/>
        </w:rPr>
        <w:t xml:space="preserve">EDA licensing, export control compliance, and IP governance are non-negotiable requirements before the first hire. Build these frameworks in the design phase.</w:t>
      </w:r>
    </w:p>
    <w:p>
      <w:pPr>
        <w:pStyle w:val="ListParagraph"/>
        <w:numPr>
          <w:ilvl w:val="0"/>
          <w:numId w:val="2"/>
        </w:numPr>
        <w:spacing w:before="20" w:after="20" w:line="276"/>
      </w:pPr>
      <w:r>
        <w:rPr>
          <w:rFonts w:ascii="Calibri" w:cs="Calibri" w:eastAsia="Calibri" w:hAnsi="Calibri"/>
          <w:color w:val="1A1A1A"/>
          <w:sz w:val="22"/>
          <w:szCs w:val="22"/>
        </w:rPr>
        <w:t xml:space="preserve">Bengaluru and Hyderabad are the only viable locations for semiconductor GCCs in the current market. Do not attempt a Tier-2 city for this talent segment.</w:t>
      </w:r>
    </w:p>
    <w:p>
      <w:pPr>
        <w:pStyle w:val="ListParagraph"/>
        <w:numPr>
          <w:ilvl w:val="0"/>
          <w:numId w:val="2"/>
        </w:numPr>
        <w:spacing w:before="20" w:after="20" w:line="276"/>
      </w:pPr>
      <w:r>
        <w:rPr>
          <w:rFonts w:ascii="Calibri" w:cs="Calibri" w:eastAsia="Calibri" w:hAnsi="Calibri"/>
          <w:color w:val="1A1A1A"/>
          <w:sz w:val="22"/>
          <w:szCs w:val="22"/>
        </w:rPr>
        <w:t xml:space="preserve">Register with the India Semiconductor Mission before committing capital. The subsidy and facilitation benefits are material.</w:t>
      </w:r>
    </w:p>
    <w:p>
      <w:pPr>
        <w:pStyle w:val="ListParagraph"/>
        <w:numPr>
          <w:ilvl w:val="0"/>
          <w:numId w:val="2"/>
        </w:numPr>
        <w:spacing w:before="20" w:after="20" w:line="276"/>
      </w:pPr>
      <w:r>
        <w:rPr>
          <w:rFonts w:ascii="Calibri" w:cs="Calibri" w:eastAsia="Calibri" w:hAnsi="Calibri"/>
          <w:color w:val="1A1A1A"/>
          <w:sz w:val="22"/>
          <w:szCs w:val="22"/>
        </w:rPr>
        <w:t xml:space="preserve">University partnerships with 3-5 specific programs matter more for semiconductor GCCs than broad campus hiring.</w:t>
      </w:r>
    </w:p>
    <w:p>
      <w:pPr>
        <w:pStyle w:val="ListParagraph"/>
        <w:numPr>
          <w:ilvl w:val="0"/>
          <w:numId w:val="2"/>
        </w:numPr>
        <w:spacing w:before="20" w:after="20" w:line="276"/>
      </w:pPr>
      <w:r>
        <w:rPr>
          <w:rFonts w:ascii="Calibri" w:cs="Calibri" w:eastAsia="Calibri" w:hAnsi="Calibri"/>
          <w:color w:val="1A1A1A"/>
          <w:sz w:val="22"/>
          <w:szCs w:val="22"/>
        </w:rPr>
        <w:t xml:space="preserve">Quantum and space are 2028-2030 planning items for most enterprises. Monitor the National Quantum Mission and IN-SPACe policy developments; act when the talent pool reaches sufficient depth.</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FIVE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Finance and Treasury</w:t>
      </w:r>
    </w:p>
    <w:p>
      <w:pPr>
        <w:spacing w:before="40" w:after="40" w:line="276"/>
      </w:pPr>
      <w:r>
        <w:rPr>
          <w:rFonts w:ascii="Calibri" w:cs="Calibri" w:eastAsia="Calibri" w:hAnsi="Calibri"/>
          <w:i/>
          <w:iCs/>
          <w:color w:val="555555"/>
          <w:sz w:val="21"/>
          <w:szCs w:val="21"/>
        </w:rPr>
        <w:t xml:space="preserve">The P&amp;L Architecture Every GCC CFO Must Master</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5.1 Why GCC Finance Is Different</w:t>
      </w:r>
    </w:p>
    <w:p>
      <w:pPr>
        <w:spacing w:before="0" w:after="100" w:line="288"/>
      </w:pPr>
      <w:r>
        <w:rPr>
          <w:rFonts w:ascii="Calibri" w:cs="Calibri" w:eastAsia="Calibri" w:hAnsi="Calibri"/>
          <w:color w:val="1A1A1A"/>
          <w:sz w:val="22"/>
          <w:szCs w:val="22"/>
        </w:rPr>
        <w:t xml:space="preserve">The financial architecture of a GCC is not the same as the financial architecture of a corporate subsidiary. A standard subsidiary exists to sell products or services and recognise revenue. A GCC exists primarily to deliver services to its parent at a cost that reflects arm's-length pricing  -  and the taxation, compliance, and governance implications of that structure are substantial, specific, and routinely underestimated.</w:t>
      </w:r>
    </w:p>
    <w:p>
      <w:pPr>
        <w:spacing w:before="0" w:after="100" w:line="288"/>
      </w:pPr>
      <w:r>
        <w:rPr>
          <w:rFonts w:ascii="Calibri" w:cs="Calibri" w:eastAsia="Calibri" w:hAnsi="Calibri"/>
          <w:color w:val="1A1A1A"/>
          <w:sz w:val="22"/>
          <w:szCs w:val="22"/>
        </w:rPr>
        <w:t xml:space="preserve">The GCC finance function has four domains that require dedicated expertise: entity structure and tax optimisation, transfer pricing, forex management, and cost allocation. In most GCCs below 500 headcount, all four are managed part-time by the GCC Head or a shared services finance team at headquarters. The result is predictable: missed compliance deadlines, suboptimal transfer pricing arrangements, unhedged forex exposure, and cost allocation models that do not accurately reflect the value the India center delivers.</w:t>
      </w:r>
    </w:p>
    <w:p>
      <w:pPr>
        <w:spacing w:before="0" w:after="100" w:line="288"/>
      </w:pPr>
      <w:r>
        <w:rPr>
          <w:rFonts w:ascii="Calibri" w:cs="Calibri" w:eastAsia="Calibri" w:hAnsi="Calibri"/>
          <w:color w:val="1A1A1A"/>
          <w:sz w:val="22"/>
          <w:szCs w:val="22"/>
        </w:rPr>
        <w:t xml:space="preserve">From 500 headcount onwards, a dedicated India CFO or Finance Controller is not a cost  -  it is a risk management investment. The following sections provide the working framework for each domain.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5.2 Entity Structure and Tax Optimisation</w:t>
      </w:r>
    </w:p>
    <w:p>
      <w:pPr>
        <w:spacing w:before="120" w:after="60" w:line="276"/>
      </w:pPr>
      <w:r>
        <w:rPr>
          <w:rFonts w:ascii="Calibri" w:cs="Calibri" w:eastAsia="Calibri" w:hAnsi="Calibri"/>
          <w:b/>
          <w:bCs/>
          <w:color w:val="1A1A1A"/>
          <w:sz w:val="22"/>
          <w:szCs w:val="22"/>
        </w:rPr>
        <w:t xml:space="preserve">Private Limited Company vs. Branch Office vs. LLP</w:t>
      </w:r>
    </w:p>
    <w:p>
      <w:pPr>
        <w:spacing w:before="0" w:after="100" w:line="288"/>
      </w:pPr>
      <w:r>
        <w:rPr>
          <w:rFonts w:ascii="Calibri" w:cs="Calibri" w:eastAsia="Calibri" w:hAnsi="Calibri"/>
          <w:color w:val="1A1A1A"/>
          <w:sz w:val="22"/>
          <w:szCs w:val="22"/>
        </w:rPr>
        <w:t xml:space="preserve">The Private Limited Company (Pvt Ltd) is the correct structure for the vast majority of GCCs. It provides limited liability, clear equity structure, the ability to issue ESOPs, and straightforward compliance pathways. The Branch Office structure is used by banks and financial institutions under RBI guidelines, and by some professional services firms. It is not suited to technology GCCs. The LLP structure offers pass-through taxation but cannot issue ESOPs and has limited governance infrastructure  -  appropriate for very small advisory entities, not for capability centers.</w:t>
      </w:r>
    </w:p>
    <w:p>
      <w:pPr>
        <w:spacing w:before="120" w:after="60" w:line="276"/>
      </w:pPr>
      <w:r>
        <w:rPr>
          <w:rFonts w:ascii="Calibri" w:cs="Calibri" w:eastAsia="Calibri" w:hAnsi="Calibri"/>
          <w:b/>
          <w:bCs/>
          <w:color w:val="1A1A1A"/>
          <w:sz w:val="22"/>
          <w:szCs w:val="22"/>
        </w:rPr>
        <w:t xml:space="preserve">The SEZ Advantage: When It Makes Sense</w:t>
      </w:r>
    </w:p>
    <w:p>
      <w:pPr>
        <w:spacing w:before="0" w:after="100" w:line="288"/>
      </w:pPr>
      <w:r>
        <w:rPr>
          <w:rFonts w:ascii="Calibri" w:cs="Calibri" w:eastAsia="Calibri" w:hAnsi="Calibri"/>
          <w:color w:val="1A1A1A"/>
          <w:sz w:val="22"/>
          <w:szCs w:val="22"/>
        </w:rPr>
        <w:t xml:space="preserve">GCCs operating from a Special Economic Zone enjoy a 100% income tax exemption on export earnings for the first five years, followed by a 50% exemption for the next five years. The tradeoff: SEZ units must comply with export obligation requirements (minimum 75% of earnings must come from exports), additional compliance reporting, and physical separation of SEZ and non-SEZ operations.</w:t>
      </w:r>
    </w:p>
    <w:p>
      <w:pPr>
        <w:spacing w:before="0" w:after="100" w:line="288"/>
      </w:pPr>
      <w:r>
        <w:rPr>
          <w:rFonts w:ascii="Calibri" w:cs="Calibri" w:eastAsia="Calibri" w:hAnsi="Calibri"/>
          <w:color w:val="1A1A1A"/>
          <w:sz w:val="22"/>
          <w:szCs w:val="22"/>
        </w:rPr>
        <w:t xml:space="preserve">For GCCs delivering primarily to offshore parent companies, the SEZ model often produces a significant tax saving. The break-even analysis: at a 100-person center with average compensation of INR 25 lakhs, the annual tax saving from SEZ status is approximately INR 2-3 crore. The compliance overhead is approximately INR 30-50 lakh annually. The net saving justifies SEZ registration from approximately 80 headcount onwards, assuming high export intensity.</w:t>
      </w:r>
    </w:p>
    <w:p>
      <w:pPr>
        <w:spacing w:before="120" w:after="60" w:line="276"/>
      </w:pPr>
      <w:r>
        <w:rPr>
          <w:rFonts w:ascii="Calibri" w:cs="Calibri" w:eastAsia="Calibri" w:hAnsi="Calibri"/>
          <w:b/>
          <w:bCs/>
          <w:color w:val="1A1A1A"/>
          <w:sz w:val="22"/>
          <w:szCs w:val="22"/>
        </w:rPr>
        <w:t xml:space="preserve">Software Technology Parks of India (STPI)</w:t>
      </w:r>
    </w:p>
    <w:p>
      <w:pPr>
        <w:spacing w:before="0" w:after="100" w:line="288"/>
      </w:pPr>
      <w:r>
        <w:rPr>
          <w:rFonts w:ascii="Calibri" w:cs="Calibri" w:eastAsia="Calibri" w:hAnsi="Calibri"/>
          <w:color w:val="1A1A1A"/>
          <w:sz w:val="22"/>
          <w:szCs w:val="22"/>
        </w:rPr>
        <w:t xml:space="preserve">The STPI scheme offers similar tax benefits to SEZ without the physical separation requirement. STPI units must obtain a Letter of Approval (LoA), maintain an export obligation, and file quarterly and annual performance reports. For GCCs that cannot commit to a dedicated SEZ building, STPI registration is a simpler path to export income tax benefits.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5.3 Transfer Pricing: The Framework Every GCC Must Build</w:t>
      </w:r>
    </w:p>
    <w:p>
      <w:pPr>
        <w:spacing w:before="0" w:after="100" w:line="288"/>
      </w:pPr>
      <w:r>
        <w:rPr>
          <w:rFonts w:ascii="Calibri" w:cs="Calibri" w:eastAsia="Calibri" w:hAnsi="Calibri"/>
          <w:color w:val="1A1A1A"/>
          <w:sz w:val="22"/>
          <w:szCs w:val="22"/>
        </w:rPr>
        <w:t xml:space="preserve">Transfer pricing is the most financially significant and most frequently mismanaged aspect of GCC finance. The fundamental rule: transactions between the India GCC and its parent company must be priced at arm's length  -  the price that two unrelated parties would agree to for the same transaction. Indian transfer pricing regulations under Section 92-92F of the Income Tax Act, administered by the Transfer Pricing Officer (TPO), are among the most rigorously enforced in the Asia-Pacific region.</w:t>
      </w:r>
    </w:p>
    <w:p>
      <w:pPr>
        <w:spacing w:before="120" w:after="60" w:line="276"/>
      </w:pPr>
      <w:r>
        <w:rPr>
          <w:rFonts w:ascii="Calibri" w:cs="Calibri" w:eastAsia="Calibri" w:hAnsi="Calibri"/>
          <w:b/>
          <w:bCs/>
          <w:color w:val="1A1A1A"/>
          <w:sz w:val="22"/>
          <w:szCs w:val="22"/>
        </w:rPr>
        <w:t xml:space="preserve">The Cost-Plus Method: The Standard for GCCs</w:t>
      </w:r>
    </w:p>
    <w:p>
      <w:pPr>
        <w:spacing w:before="0" w:after="100" w:line="288"/>
      </w:pPr>
      <w:r>
        <w:rPr>
          <w:rFonts w:ascii="Calibri" w:cs="Calibri" w:eastAsia="Calibri" w:hAnsi="Calibri"/>
          <w:color w:val="1A1A1A"/>
          <w:sz w:val="22"/>
          <w:szCs w:val="22"/>
        </w:rPr>
        <w:t xml:space="preserve">Most GCCs use the cost-plus method for transfer pricing: the India entity charges the parent its actual cost of operations plus a markup. The markup represents the profit that an independent entity performing the same services would earn. Standard markup ranges validated by multiple APA agreements and TPO assessments: 15-25% for IT services, 12-20% for business process services, 8-15% for research and development services.</w:t>
      </w:r>
    </w:p>
    <w:p>
      <w:pPr>
        <w:spacing w:before="0" w:after="100" w:line="288"/>
      </w:pPr>
      <w:r>
        <w:rPr>
          <w:rFonts w:ascii="Calibri" w:cs="Calibri" w:eastAsia="Calibri" w:hAnsi="Calibri"/>
          <w:color w:val="1A1A1A"/>
          <w:sz w:val="22"/>
          <w:szCs w:val="22"/>
        </w:rPr>
        <w:t xml:space="preserve">The markup must be documented. It must be benchmarked against comparable transactions. And it must be consistent year-on-year  -  unexplained year-to-year variation in transfer pricing markup is a red flag for TPO review.</w:t>
      </w:r>
    </w:p>
    <w:p>
      <w:pPr>
        <w:spacing w:before="120" w:after="60" w:line="276"/>
      </w:pPr>
      <w:r>
        <w:rPr>
          <w:rFonts w:ascii="Calibri" w:cs="Calibri" w:eastAsia="Calibri" w:hAnsi="Calibri"/>
          <w:b/>
          <w:bCs/>
          <w:color w:val="1A1A1A"/>
          <w:sz w:val="22"/>
          <w:szCs w:val="22"/>
        </w:rPr>
        <w:t xml:space="preserve">Advance Pricing Agreements (APAs)</w:t>
      </w:r>
    </w:p>
    <w:p>
      <w:pPr>
        <w:spacing w:before="0" w:after="100" w:line="288"/>
      </w:pPr>
      <w:r>
        <w:rPr>
          <w:rFonts w:ascii="Calibri" w:cs="Calibri" w:eastAsia="Calibri" w:hAnsi="Calibri"/>
          <w:color w:val="1A1A1A"/>
          <w:sz w:val="22"/>
          <w:szCs w:val="22"/>
        </w:rPr>
        <w:t xml:space="preserve">An APA is an agreement between the taxpayer and the Indian tax authority that fixes the transfer pricing methodology and markup for a defined period (typically 5 years, extendable by mutual agreement). APAs eliminate transfer pricing uncertainty, protect against retrospective adjustments, and reduce audit risk.</w:t>
      </w:r>
    </w:p>
    <w:p>
      <w:pPr>
        <w:spacing w:before="0" w:after="100" w:line="288"/>
      </w:pPr>
      <w:r>
        <w:rPr>
          <w:rFonts w:ascii="Calibri" w:cs="Calibri" w:eastAsia="Calibri" w:hAnsi="Calibri"/>
          <w:color w:val="1A1A1A"/>
          <w:sz w:val="22"/>
          <w:szCs w:val="22"/>
        </w:rPr>
        <w:t xml:space="preserve">The APA process takes 18-36 months from application to agreement. The application requires detailed functional analysis, benchmarking studies, and economic analysis of the transactions. Cost: approximately INR 50 lakh to INR 1.5 crore in professional fees. Benefit: certainty on transfer pricing treatment for 5+ years, elimination of retrospective adjustment risk, and typically a lower effective markup than the center would face in adversarial TPO assessment.</w:t>
      </w:r>
    </w:p>
    <w:p>
      <w:pPr>
        <w:spacing w:before="0" w:after="100" w:line="288"/>
      </w:pPr>
      <w:r>
        <w:rPr>
          <w:rFonts w:ascii="Calibri" w:cs="Calibri" w:eastAsia="Calibri" w:hAnsi="Calibri"/>
          <w:color w:val="1A1A1A"/>
          <w:sz w:val="22"/>
          <w:szCs w:val="22"/>
        </w:rPr>
        <w:t xml:space="preserve">The recommendation: GCCs above 1,000 headcount or with annual inter-company billing above INR 100 crore should apply for an APA. It is not optional risk management  -  it is cost-effective certainty.</w:t>
      </w:r>
    </w:p>
    <w:p>
      <w:pPr>
        <w:spacing w:before="120" w:after="60" w:line="276"/>
      </w:pPr>
      <w:r>
        <w:rPr>
          <w:rFonts w:ascii="Calibri" w:cs="Calibri" w:eastAsia="Calibri" w:hAnsi="Calibri"/>
          <w:b/>
          <w:bCs/>
          <w:color w:val="1A1A1A"/>
          <w:sz w:val="22"/>
          <w:szCs w:val="22"/>
        </w:rPr>
        <w:t xml:space="preserve">Common Transfer Pricing Errors</w:t>
      </w:r>
    </w:p>
    <w:p>
      <w:pPr>
        <w:spacing w:before="0" w:after="100" w:line="288"/>
      </w:pPr>
      <w:r>
        <w:rPr>
          <w:rFonts w:ascii="Calibri" w:cs="Calibri" w:eastAsia="Calibri" w:hAnsi="Calibri"/>
          <w:color w:val="1A1A1A"/>
          <w:sz w:val="22"/>
          <w:szCs w:val="22"/>
        </w:rPr>
        <w:t xml:space="preserve">The four errors that trigger TPO notices: inadequate benchmarking documentation (using dated or non-comparable transactions), inconsistent markup application across different service categories, transactions not covered by the existing pricing arrangement (new service lines added without updating the TP documentation), and cost misclassification (treating capital expenditure as operating cost to inflate the cost base and therefore the absolute billing to the parent).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5.4 Forex Management</w:t>
      </w:r>
    </w:p>
    <w:p>
      <w:pPr>
        <w:spacing w:before="0" w:after="100" w:line="288"/>
      </w:pPr>
      <w:r>
        <w:rPr>
          <w:rFonts w:ascii="Calibri" w:cs="Calibri" w:eastAsia="Calibri" w:hAnsi="Calibri"/>
          <w:color w:val="1A1A1A"/>
          <w:sz w:val="22"/>
          <w:szCs w:val="22"/>
        </w:rPr>
        <w:t xml:space="preserve">Indian companies earning foreign currency  -  from their parent company billing  -  face two forex exposures: the transaction exposure (the currency of the inter-company billing) and the translation exposure (converting INR financial statements to parent company currency for consolidation).</w:t>
      </w:r>
    </w:p>
    <w:p>
      <w:pPr>
        <w:spacing w:before="120" w:after="60" w:line="276"/>
      </w:pPr>
      <w:r>
        <w:rPr>
          <w:rFonts w:ascii="Calibri" w:cs="Calibri" w:eastAsia="Calibri" w:hAnsi="Calibri"/>
          <w:b/>
          <w:bCs/>
          <w:color w:val="1A1A1A"/>
          <w:sz w:val="22"/>
          <w:szCs w:val="22"/>
        </w:rPr>
        <w:t xml:space="preserve">The INR Appreciation Risk</w:t>
      </w:r>
    </w:p>
    <w:p>
      <w:pPr>
        <w:spacing w:before="0" w:after="100" w:line="288"/>
      </w:pPr>
      <w:r>
        <w:rPr>
          <w:rFonts w:ascii="Calibri" w:cs="Calibri" w:eastAsia="Calibri" w:hAnsi="Calibri"/>
          <w:color w:val="1A1A1A"/>
          <w:sz w:val="22"/>
          <w:szCs w:val="22"/>
        </w:rPr>
        <w:t xml:space="preserve">India's GCC cost advantage depends substantially on the INR-USD or INR-EUR exchange rate. A 5% INR appreciation reduces the cost advantage of an India center by approximately 4-5% in real terms  -  roughly equivalent to one year's natural salary inflation. GCCs that hedge their forex exposure maintain budget predictability. GCCs that do not are exposed to earnings surprises that are difficult to explain to global leadership.</w:t>
      </w:r>
    </w:p>
    <w:p>
      <w:pPr>
        <w:spacing w:before="120" w:after="60" w:line="276"/>
      </w:pPr>
      <w:r>
        <w:rPr>
          <w:rFonts w:ascii="Calibri" w:cs="Calibri" w:eastAsia="Calibri" w:hAnsi="Calibri"/>
          <w:b/>
          <w:bCs/>
          <w:color w:val="1A1A1A"/>
          <w:sz w:val="22"/>
          <w:szCs w:val="22"/>
        </w:rPr>
        <w:t xml:space="preserve">Standard Hedging Instruments</w:t>
      </w:r>
    </w:p>
    <w:p>
      <w:pPr>
        <w:spacing w:before="0" w:after="100" w:line="288"/>
      </w:pPr>
      <w:r>
        <w:rPr>
          <w:rFonts w:ascii="Calibri" w:cs="Calibri" w:eastAsia="Calibri" w:hAnsi="Calibri"/>
          <w:color w:val="1A1A1A"/>
          <w:sz w:val="22"/>
          <w:szCs w:val="22"/>
        </w:rPr>
        <w:t xml:space="preserve">Forward contracts: the most common instrument. The India entity contracts with a bank to sell USD at a fixed rate at a future date. Forward contracts can cover 3, 6, 9, or 12 months of projected inflows. Cost: the forward premium, typically 2-4% annually, reflecting the interest rate differential between India and the US.</w:t>
      </w:r>
    </w:p>
    <w:p>
      <w:pPr>
        <w:spacing w:before="0" w:after="100" w:line="288"/>
      </w:pPr>
      <w:r>
        <w:rPr>
          <w:rFonts w:ascii="Calibri" w:cs="Calibri" w:eastAsia="Calibri" w:hAnsi="Calibri"/>
          <w:color w:val="1A1A1A"/>
          <w:sz w:val="22"/>
          <w:szCs w:val="22"/>
        </w:rPr>
        <w:t xml:space="preserve">Options: more expensive than forwards, but provide the ability to benefit from favourable rate movements while protecting against adverse movements. Appropriate for GCCs with material exposure and board-level risk appetite for modest hedging cost.</w:t>
      </w:r>
    </w:p>
    <w:p>
      <w:pPr>
        <w:spacing w:before="0" w:after="100" w:line="288"/>
      </w:pPr>
      <w:r>
        <w:rPr>
          <w:rFonts w:ascii="Calibri" w:cs="Calibri" w:eastAsia="Calibri" w:hAnsi="Calibri"/>
          <w:color w:val="1A1A1A"/>
          <w:sz w:val="22"/>
          <w:szCs w:val="22"/>
        </w:rPr>
        <w:t xml:space="preserve">Natural hedging: where possible, incurring costs in the same currency as billing. A GCC that bills in USD but pays all employees in INR has full transaction exposure. A GCC with some USD-denominated costs (imported EDA software, USD-denominated cloud services) has partial natural hedging.</w:t>
      </w:r>
    </w:p>
    <w:p>
      <w:pPr>
        <w:spacing w:before="120" w:after="60" w:line="276"/>
      </w:pPr>
      <w:r>
        <w:rPr>
          <w:rFonts w:ascii="Calibri" w:cs="Calibri" w:eastAsia="Calibri" w:hAnsi="Calibri"/>
          <w:b/>
          <w:bCs/>
          <w:color w:val="1A1A1A"/>
          <w:sz w:val="22"/>
          <w:szCs w:val="22"/>
        </w:rPr>
        <w:t xml:space="preserve">The Hedging Policy</w:t>
      </w:r>
    </w:p>
    <w:p>
      <w:pPr>
        <w:spacing w:before="0" w:after="100" w:line="288"/>
      </w:pPr>
      <w:r>
        <w:rPr>
          <w:rFonts w:ascii="Calibri" w:cs="Calibri" w:eastAsia="Calibri" w:hAnsi="Calibri"/>
          <w:color w:val="1A1A1A"/>
          <w:sz w:val="22"/>
          <w:szCs w:val="22"/>
        </w:rPr>
        <w:t xml:space="preserve">Every GCC above 500 headcount should have a documented forex hedging policy approved by the global treasury function. The policy should specify: the percentage of projected foreign currency inflows to be hedged (typically 60-80%), the instruments permitted, the counterparty banks approved, the tenure of hedging contracts, and the approval authority for hedging decisions.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5.5 Cost Allocation and Shared Services Charging</w:t>
      </w:r>
    </w:p>
    <w:p>
      <w:pPr>
        <w:spacing w:before="0" w:after="100" w:line="288"/>
      </w:pPr>
      <w:r>
        <w:rPr>
          <w:rFonts w:ascii="Calibri" w:cs="Calibri" w:eastAsia="Calibri" w:hAnsi="Calibri"/>
          <w:color w:val="1A1A1A"/>
          <w:sz w:val="22"/>
          <w:szCs w:val="22"/>
        </w:rPr>
        <w:t xml:space="preserve">Many GCCs receive shared services from the global parent  -  IT infrastructure, HR systems, legal support, finance systems  -  for which they are charged. How these charges are allocated affects the GCC's reported cost structure, its transfer pricing computation, and its apparent efficiency relative to benchmarks.</w:t>
      </w:r>
    </w:p>
    <w:p>
      <w:pPr>
        <w:spacing w:before="120" w:after="60" w:line="276"/>
      </w:pPr>
      <w:r>
        <w:rPr>
          <w:rFonts w:ascii="Calibri" w:cs="Calibri" w:eastAsia="Calibri" w:hAnsi="Calibri"/>
          <w:b/>
          <w:bCs/>
          <w:color w:val="1A1A1A"/>
          <w:sz w:val="22"/>
          <w:szCs w:val="22"/>
        </w:rPr>
        <w:t xml:space="preserve">The Allocation Trap</w:t>
      </w:r>
    </w:p>
    <w:p>
      <w:pPr>
        <w:spacing w:before="0" w:after="100" w:line="288"/>
      </w:pPr>
      <w:r>
        <w:rPr>
          <w:rFonts w:ascii="Calibri" w:cs="Calibri" w:eastAsia="Calibri" w:hAnsi="Calibri"/>
          <w:color w:val="1A1A1A"/>
          <w:sz w:val="22"/>
          <w:szCs w:val="22"/>
        </w:rPr>
        <w:t xml:space="preserve">The most common error: GCCs accept global shared services charges without scrutiny, resulting in cost allocations that do not reflect actual consumption. A GCC that uses 3% of the global HR system's capacity but is charged 8% of global HR costs on a headcount basis is subsidising other entities. This inflates the GCC's cost base, reduces its apparent efficiency, and in a transfer pricing context, increases the inter-company billing to the parent for no real benefit.</w:t>
      </w:r>
    </w:p>
    <w:p>
      <w:pPr>
        <w:spacing w:before="120" w:after="60" w:line="276"/>
      </w:pPr>
      <w:r>
        <w:rPr>
          <w:rFonts w:ascii="Calibri" w:cs="Calibri" w:eastAsia="Calibri" w:hAnsi="Calibri"/>
          <w:b/>
          <w:bCs/>
          <w:color w:val="1A1A1A"/>
          <w:sz w:val="22"/>
          <w:szCs w:val="22"/>
        </w:rPr>
        <w:t xml:space="preserve">The Right Allocation Methodology</w:t>
      </w:r>
    </w:p>
    <w:p>
      <w:pPr>
        <w:spacing w:before="0" w:after="100" w:line="288"/>
      </w:pPr>
      <w:r>
        <w:rPr>
          <w:rFonts w:ascii="Calibri" w:cs="Calibri" w:eastAsia="Calibri" w:hAnsi="Calibri"/>
          <w:color w:val="1A1A1A"/>
          <w:sz w:val="22"/>
          <w:szCs w:val="22"/>
        </w:rPr>
        <w:t xml:space="preserve">Shared services charges should be based on actual consumption where measurable (IT infrastructure, cloud services, support ticket volumes), and on documented allocation keys where consumption cannot be measured directly (legal, finance, executive management). Every allocation key should be reviewed annually. Where the allocation produces a material distortion, renegotiate with the global shared services team.</w:t>
      </w:r>
    </w:p>
    <w:p>
      <w:pPr>
        <w:spacing w:before="0" w:after="100" w:line="288"/>
      </w:pPr>
      <w:r>
        <w:rPr>
          <w:rFonts w:ascii="Calibri" w:cs="Calibri" w:eastAsia="Calibri" w:hAnsi="Calibri"/>
          <w:color w:val="1A1A1A"/>
          <w:sz w:val="22"/>
          <w:szCs w:val="22"/>
        </w:rPr>
        <w:t xml:space="preserve">The negotiating leverage: India GCCs represent a growing share of global headcount and operations. A center that is 15% of global headcount but paying 8% of global HR costs has a straightforward renegotiation argument.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5.6 The GCC Budget Cycle: Aligning India to Global</w:t>
      </w:r>
    </w:p>
    <w:p>
      <w:pPr>
        <w:spacing w:before="0" w:after="100" w:line="288"/>
      </w:pPr>
      <w:r>
        <w:rPr>
          <w:rFonts w:ascii="Calibri" w:cs="Calibri" w:eastAsia="Calibri" w:hAnsi="Calibri"/>
          <w:color w:val="1A1A1A"/>
          <w:sz w:val="22"/>
          <w:szCs w:val="22"/>
        </w:rPr>
        <w:t xml:space="preserve">The GCC budget cycle typically follows the parent company's annual planning calendar, which for most US and European enterprises runs October-December for the following year. The challenge: India's compensation inflation, talent market movements, and regulatory cost changes are difficult to forecast 9-12 months in advance with the precision that global budgeting processes require.</w:t>
      </w:r>
    </w:p>
    <w:p>
      <w:pPr>
        <w:spacing w:before="120" w:after="60" w:line="276"/>
      </w:pPr>
      <w:r>
        <w:rPr>
          <w:rFonts w:ascii="Calibri" w:cs="Calibri" w:eastAsia="Calibri" w:hAnsi="Calibri"/>
          <w:b/>
          <w:bCs/>
          <w:color w:val="1A1A1A"/>
          <w:sz w:val="22"/>
          <w:szCs w:val="22"/>
        </w:rPr>
        <w:t xml:space="preserve">The Compensation Buffer</w:t>
      </w:r>
    </w:p>
    <w:p>
      <w:pPr>
        <w:spacing w:before="0" w:after="100" w:line="288"/>
      </w:pPr>
      <w:r>
        <w:rPr>
          <w:rFonts w:ascii="Calibri" w:cs="Calibri" w:eastAsia="Calibri" w:hAnsi="Calibri"/>
          <w:color w:val="1A1A1A"/>
          <w:sz w:val="22"/>
          <w:szCs w:val="22"/>
        </w:rPr>
        <w:t xml:space="preserve">India GCC budgets should include a compensation buffer of 7-10% above expected base salary costs to cover: mid-year market adjustments triggered by competitor salary movements, retention packages for flight-risk talent identified during the year, and the cost of replacing leavers at market rates that have typically increased since the original hire.</w:t>
      </w:r>
    </w:p>
    <w:p>
      <w:pPr>
        <w:spacing w:before="120" w:after="60" w:line="276"/>
      </w:pPr>
      <w:r>
        <w:rPr>
          <w:rFonts w:ascii="Calibri" w:cs="Calibri" w:eastAsia="Calibri" w:hAnsi="Calibri"/>
          <w:b/>
          <w:bCs/>
          <w:color w:val="1A1A1A"/>
          <w:sz w:val="22"/>
          <w:szCs w:val="22"/>
        </w:rPr>
        <w:t xml:space="preserve">The Regulatory Cost Reserve</w:t>
      </w:r>
    </w:p>
    <w:p>
      <w:pPr>
        <w:spacing w:before="0" w:after="100" w:line="288"/>
      </w:pPr>
      <w:r>
        <w:rPr>
          <w:rFonts w:ascii="Calibri" w:cs="Calibri" w:eastAsia="Calibri" w:hAnsi="Calibri"/>
          <w:color w:val="1A1A1A"/>
          <w:sz w:val="22"/>
          <w:szCs w:val="22"/>
        </w:rPr>
        <w:t xml:space="preserve">India's labour law environment changes in ways that are difficult to predict. The four Labour Codes implementation, state-level surcharges, and PF (Provident Fund) computation changes have all produced unexpected cost impacts in 2024-2025. A 3-5% reserve against total employment costs for regulatory surprises is prudent.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5.7 Chapter Summary: Eight Finance Principles for GCC Leaders</w:t>
      </w:r>
    </w:p>
    <w:p>
      <w:pPr>
        <w:pStyle w:val="ListParagraph"/>
        <w:numPr>
          <w:ilvl w:val="0"/>
          <w:numId w:val="2"/>
        </w:numPr>
        <w:spacing w:before="20" w:after="20" w:line="276"/>
      </w:pPr>
      <w:r>
        <w:rPr>
          <w:rFonts w:ascii="Calibri" w:cs="Calibri" w:eastAsia="Calibri" w:hAnsi="Calibri"/>
          <w:color w:val="1A1A1A"/>
          <w:sz w:val="22"/>
          <w:szCs w:val="22"/>
        </w:rPr>
        <w:t xml:space="preserve">Private Limited Company structure is correct for the vast majority of GCCs. Do not attempt Branch Office or LLP without specific regulatory requirements.</w:t>
      </w:r>
    </w:p>
    <w:p>
      <w:pPr>
        <w:pStyle w:val="ListParagraph"/>
        <w:numPr>
          <w:ilvl w:val="0"/>
          <w:numId w:val="2"/>
        </w:numPr>
        <w:spacing w:before="20" w:after="20" w:line="276"/>
      </w:pPr>
      <w:r>
        <w:rPr>
          <w:rFonts w:ascii="Calibri" w:cs="Calibri" w:eastAsia="Calibri" w:hAnsi="Calibri"/>
          <w:color w:val="1A1A1A"/>
          <w:sz w:val="22"/>
          <w:szCs w:val="22"/>
        </w:rPr>
        <w:t xml:space="preserve">STPI or SEZ registration delivers material tax benefits from approximately 80 headcount. The compliance overhead is manageable. Apply early.</w:t>
      </w:r>
    </w:p>
    <w:p>
      <w:pPr>
        <w:pStyle w:val="ListParagraph"/>
        <w:numPr>
          <w:ilvl w:val="0"/>
          <w:numId w:val="2"/>
        </w:numPr>
        <w:spacing w:before="20" w:after="20" w:line="276"/>
      </w:pPr>
      <w:r>
        <w:rPr>
          <w:rFonts w:ascii="Calibri" w:cs="Calibri" w:eastAsia="Calibri" w:hAnsi="Calibri"/>
          <w:color w:val="1A1A1A"/>
          <w:sz w:val="22"/>
          <w:szCs w:val="22"/>
        </w:rPr>
        <w:t xml:space="preserve">Transfer pricing documentation is not optional. Every GCC with inter-company billing above INR 10 crore needs documented, benchmarked transfer pricing.</w:t>
      </w:r>
    </w:p>
    <w:p>
      <w:pPr>
        <w:pStyle w:val="ListParagraph"/>
        <w:numPr>
          <w:ilvl w:val="0"/>
          <w:numId w:val="2"/>
        </w:numPr>
        <w:spacing w:before="20" w:after="20" w:line="276"/>
      </w:pPr>
      <w:r>
        <w:rPr>
          <w:rFonts w:ascii="Calibri" w:cs="Calibri" w:eastAsia="Calibri" w:hAnsi="Calibri"/>
          <w:color w:val="1A1A1A"/>
          <w:sz w:val="22"/>
          <w:szCs w:val="22"/>
        </w:rPr>
        <w:t xml:space="preserve">Apply for an APA if annual inter-company billing exceeds INR 100 crore. The certainty is worth the 18-36 month process.</w:t>
      </w:r>
    </w:p>
    <w:p>
      <w:pPr>
        <w:pStyle w:val="ListParagraph"/>
        <w:numPr>
          <w:ilvl w:val="0"/>
          <w:numId w:val="2"/>
        </w:numPr>
        <w:spacing w:before="20" w:after="20" w:line="276"/>
      </w:pPr>
      <w:r>
        <w:rPr>
          <w:rFonts w:ascii="Calibri" w:cs="Calibri" w:eastAsia="Calibri" w:hAnsi="Calibri"/>
          <w:color w:val="1A1A1A"/>
          <w:sz w:val="22"/>
          <w:szCs w:val="22"/>
        </w:rPr>
        <w:t xml:space="preserve">Document and enforce a forex hedging policy. Unhedged forex exposure is unmanaged budget risk.</w:t>
      </w:r>
    </w:p>
    <w:p>
      <w:pPr>
        <w:pStyle w:val="ListParagraph"/>
        <w:numPr>
          <w:ilvl w:val="0"/>
          <w:numId w:val="2"/>
        </w:numPr>
        <w:spacing w:before="20" w:after="20" w:line="276"/>
      </w:pPr>
      <w:r>
        <w:rPr>
          <w:rFonts w:ascii="Calibri" w:cs="Calibri" w:eastAsia="Calibri" w:hAnsi="Calibri"/>
          <w:color w:val="1A1A1A"/>
          <w:sz w:val="22"/>
          <w:szCs w:val="22"/>
        </w:rPr>
        <w:t xml:space="preserve">Scrutinise global shared services allocations annually. Accept charges that reflect actual consumption; challenge those that do not.</w:t>
      </w:r>
    </w:p>
    <w:p>
      <w:pPr>
        <w:pStyle w:val="ListParagraph"/>
        <w:numPr>
          <w:ilvl w:val="0"/>
          <w:numId w:val="2"/>
        </w:numPr>
        <w:spacing w:before="20" w:after="20" w:line="276"/>
      </w:pPr>
      <w:r>
        <w:rPr>
          <w:rFonts w:ascii="Calibri" w:cs="Calibri" w:eastAsia="Calibri" w:hAnsi="Calibri"/>
          <w:color w:val="1A1A1A"/>
          <w:sz w:val="22"/>
          <w:szCs w:val="22"/>
        </w:rPr>
        <w:t xml:space="preserve">Build a 7-10% compensation buffer and a 3-5% regulatory cost reserve into every annual budget.</w:t>
      </w:r>
    </w:p>
    <w:p>
      <w:pPr>
        <w:pStyle w:val="ListParagraph"/>
        <w:numPr>
          <w:ilvl w:val="0"/>
          <w:numId w:val="2"/>
        </w:numPr>
        <w:spacing w:before="20" w:after="20" w:line="276"/>
      </w:pPr>
      <w:r>
        <w:rPr>
          <w:rFonts w:ascii="Calibri" w:cs="Calibri" w:eastAsia="Calibri" w:hAnsi="Calibri"/>
          <w:color w:val="1A1A1A"/>
          <w:sz w:val="22"/>
          <w:szCs w:val="22"/>
        </w:rPr>
        <w:t xml:space="preserve">The India CFO or Finance Controller role is a risk management investment from 500 headcount. Do not staff it part-time.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SIX</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GCC Talent Intelligence System</w:t>
      </w:r>
    </w:p>
    <w:p>
      <w:pPr>
        <w:spacing w:before="40" w:after="40" w:line="276"/>
      </w:pPr>
      <w:r>
        <w:rPr>
          <w:rFonts w:ascii="Calibri" w:cs="Calibri" w:eastAsia="Calibri" w:hAnsi="Calibri"/>
          <w:i/>
          <w:iCs/>
          <w:color w:val="555555"/>
          <w:sz w:val="21"/>
          <w:szCs w:val="21"/>
        </w:rPr>
        <w:t xml:space="preserve">Real-Time Benchmarking, Attrition Prediction, and Succession Depth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6.1 Why Talent Intelligence Is a Strategic Function</w:t>
      </w:r>
    </w:p>
    <w:p>
      <w:pPr>
        <w:spacing w:before="0" w:after="100" w:line="288"/>
      </w:pPr>
      <w:r>
        <w:rPr>
          <w:rFonts w:ascii="Calibri" w:cs="Calibri" w:eastAsia="Calibri" w:hAnsi="Calibri"/>
          <w:color w:val="1A1A1A"/>
          <w:sz w:val="22"/>
          <w:szCs w:val="22"/>
        </w:rPr>
        <w:t xml:space="preserve">Most GCCs manage talent reactively: they discover that compensation is below market when attrition increases. They discover that a critical leader is a flight risk when that leader resigns. They discover that their succession pipeline is empty when a key role becomes vacant. Reactive talent management is the operational norm in the GCC ecosystem, and it is expensive: replacing a mid-level engineering manager costs 50-80% of annual salary when recruitment fees, ramp-up time, and team disruption are included.</w:t>
      </w:r>
    </w:p>
    <w:p>
      <w:pPr>
        <w:spacing w:before="0" w:after="100" w:line="288"/>
      </w:pPr>
      <w:r>
        <w:rPr>
          <w:rFonts w:ascii="Calibri" w:cs="Calibri" w:eastAsia="Calibri" w:hAnsi="Calibri"/>
          <w:color w:val="1A1A1A"/>
          <w:sz w:val="22"/>
          <w:szCs w:val="22"/>
        </w:rPr>
        <w:t xml:space="preserve">Proactive talent intelligence  -  systematic, real-time tracking of the talent market, internal risk indicators, and capability gaps  -  converts talent management from a reactive cost to a strategic function. The GCCs that do this well do not have fewer talent challenges than their peers. They identify them 3-6 months earlier and address them before they become crises.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6.2 Compensation Benchmarking: Building a Real-Time Picture</w:t>
      </w:r>
    </w:p>
    <w:p>
      <w:pPr>
        <w:spacing w:before="120" w:after="60" w:line="276"/>
      </w:pPr>
      <w:r>
        <w:rPr>
          <w:rFonts w:ascii="Calibri" w:cs="Calibri" w:eastAsia="Calibri" w:hAnsi="Calibri"/>
          <w:b/>
          <w:bCs/>
          <w:color w:val="1A1A1A"/>
          <w:sz w:val="22"/>
          <w:szCs w:val="22"/>
        </w:rPr>
        <w:t xml:space="preserve">The Primary Data Sources</w:t>
      </w:r>
    </w:p>
    <w:p>
      <w:pPr>
        <w:spacing w:before="0" w:after="100" w:line="288"/>
      </w:pPr>
      <w:r>
        <w:rPr>
          <w:rFonts w:ascii="Calibri" w:cs="Calibri" w:eastAsia="Calibri" w:hAnsi="Calibri"/>
          <w:color w:val="1A1A1A"/>
          <w:sz w:val="22"/>
          <w:szCs w:val="22"/>
        </w:rPr>
        <w:t xml:space="preserve">Radford (Aon): the most widely used global compensation survey for technology roles, with India-specific data across 2,000+ companies. Annual subscription cost: INR 8-15 lakh depending on scope. Radford data is the standard reference for offer benchmarking and annual compensation review in most Large and Mega GCCs.</w:t>
      </w:r>
    </w:p>
    <w:p>
      <w:pPr>
        <w:spacing w:before="0" w:after="100" w:line="288"/>
      </w:pPr>
      <w:r>
        <w:rPr>
          <w:rFonts w:ascii="Calibri" w:cs="Calibri" w:eastAsia="Calibri" w:hAnsi="Calibri"/>
          <w:color w:val="1A1A1A"/>
          <w:sz w:val="22"/>
          <w:szCs w:val="22"/>
        </w:rPr>
        <w:t xml:space="preserve">Mercer: strong coverage for professional services, BFSI, and shared services roles. The Mercer TRS (Total Remuneration Survey) is the standard reference for non-technology GCC roles. Similar cost range to Radford.</w:t>
      </w:r>
    </w:p>
    <w:p>
      <w:pPr>
        <w:spacing w:before="0" w:after="100" w:line="288"/>
      </w:pPr>
      <w:r>
        <w:rPr>
          <w:rFonts w:ascii="Calibri" w:cs="Calibri" w:eastAsia="Calibri" w:hAnsi="Calibri"/>
          <w:color w:val="1A1A1A"/>
          <w:sz w:val="22"/>
          <w:szCs w:val="22"/>
        </w:rPr>
        <w:t xml:space="preserve">Aon Hewitt India Salary Survey: broader industry coverage than Radford, less granular for deep-tech roles. Useful for compensation benchmarking in business process and operations functions.</w:t>
      </w:r>
    </w:p>
    <w:p>
      <w:pPr>
        <w:spacing w:before="0" w:after="100" w:line="288"/>
      </w:pPr>
      <w:r>
        <w:rPr>
          <w:rFonts w:ascii="Calibri" w:cs="Calibri" w:eastAsia="Calibri" w:hAnsi="Calibri"/>
          <w:color w:val="1A1A1A"/>
          <w:sz w:val="22"/>
          <w:szCs w:val="22"/>
        </w:rPr>
        <w:t xml:space="preserve">Custom community surveys: NASSCOM and HYSEA run India-specific GCC compensation surveys. Less granular than Radford or Mercer but more India-GCC-specific in framing. Useful for city-level and sector-level calibration.</w:t>
      </w:r>
    </w:p>
    <w:p>
      <w:pPr>
        <w:spacing w:before="0" w:after="100" w:line="288"/>
      </w:pPr>
      <w:r>
        <w:rPr>
          <w:rFonts w:ascii="Calibri" w:cs="Calibri" w:eastAsia="Calibri" w:hAnsi="Calibri"/>
          <w:color w:val="1A1A1A"/>
          <w:sz w:val="22"/>
          <w:szCs w:val="22"/>
        </w:rPr>
        <w:t xml:space="preserve">LinkedIn Salary Insights: publicly accessible, directionally useful, not precise enough for offer benchmarking or compensation review. Use as a quick market check, not as a primary data source.</w:t>
      </w:r>
    </w:p>
    <w:p>
      <w:pPr>
        <w:spacing w:before="120" w:after="60" w:line="276"/>
      </w:pPr>
      <w:r>
        <w:rPr>
          <w:rFonts w:ascii="Calibri" w:cs="Calibri" w:eastAsia="Calibri" w:hAnsi="Calibri"/>
          <w:b/>
          <w:bCs/>
          <w:color w:val="1A1A1A"/>
          <w:sz w:val="22"/>
          <w:szCs w:val="22"/>
        </w:rPr>
        <w:t xml:space="preserve">Building a Compensation Intelligence System</w:t>
      </w:r>
    </w:p>
    <w:p>
      <w:pPr>
        <w:spacing w:before="0" w:after="100" w:line="288"/>
      </w:pPr>
      <w:r>
        <w:rPr>
          <w:rFonts w:ascii="Calibri" w:cs="Calibri" w:eastAsia="Calibri" w:hAnsi="Calibri"/>
          <w:color w:val="1A1A1A"/>
          <w:sz w:val="22"/>
          <w:szCs w:val="22"/>
        </w:rPr>
        <w:t xml:space="preserve">The benchmark: every role family in the GCC should be positioned against market at P50 (median) or P75 (75th percentile) depending on the criticality of the role. Roles in scarce-skill domains (chip design, AI/ML, cybersecurity) should be benchmarked and adjusted to P75 as a minimum. Roles in well-supplied talent markets (Java development, business analysis) can be maintained at P50 with competitive total compensation.</w:t>
      </w:r>
    </w:p>
    <w:p>
      <w:pPr>
        <w:spacing w:before="0" w:after="100" w:line="288"/>
      </w:pPr>
      <w:r>
        <w:rPr>
          <w:rFonts w:ascii="Calibri" w:cs="Calibri" w:eastAsia="Calibri" w:hAnsi="Calibri"/>
          <w:color w:val="1A1A1A"/>
          <w:sz w:val="22"/>
          <w:szCs w:val="22"/>
        </w:rPr>
        <w:t xml:space="preserve">The review cycle: annual formal benchmarking using Radford or Mercer data, supplemented by quarterly competitor intelligence from recruiting data (what offers are your employees receiving? What are your rejected candidates accepting?). The quarterly intelligence cycle identifies emerging market movements 6-9 months before they appear in the annual surveys.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6.3 Predictive Attrition Modeling</w:t>
      </w:r>
    </w:p>
    <w:p>
      <w:pPr>
        <w:spacing w:before="0" w:after="100" w:line="288"/>
      </w:pPr>
      <w:r>
        <w:rPr>
          <w:rFonts w:ascii="Calibri" w:cs="Calibri" w:eastAsia="Calibri" w:hAnsi="Calibri"/>
          <w:color w:val="1A1A1A"/>
          <w:sz w:val="22"/>
          <w:szCs w:val="22"/>
        </w:rPr>
        <w:t xml:space="preserve">Attrition is predictable. Not perfectly, but with sufficient accuracy to drive proactive intervention. The predictive variables that correlate most strongly with attrition risk in India GCCs, validated across multiple centers:</w:t>
      </w:r>
    </w:p>
    <w:p>
      <w:pPr>
        <w:spacing w:before="0" w:after="100" w:line="288"/>
      </w:pPr>
      <w:r>
        <w:rPr>
          <w:rFonts w:ascii="Calibri" w:cs="Calibri" w:eastAsia="Calibri" w:hAnsi="Calibri"/>
          <w:color w:val="1A1A1A"/>
          <w:sz w:val="22"/>
          <w:szCs w:val="22"/>
        </w:rPr>
        <w:t xml:space="preserve">Compensation gap from market. Employees whose compensation has fallen below P40 of market (due to below-market annual increases or market movement outpacing the center's pay cycle) have 2-3x the attrition probability of employees at or above P50. This is the single strongest predictor.</w:t>
      </w:r>
    </w:p>
    <w:p>
      <w:pPr>
        <w:spacing w:before="0" w:after="100" w:line="288"/>
      </w:pPr>
      <w:r>
        <w:rPr>
          <w:rFonts w:ascii="Calibri" w:cs="Calibri" w:eastAsia="Calibri" w:hAnsi="Calibri"/>
          <w:color w:val="1A1A1A"/>
          <w:sz w:val="22"/>
          <w:szCs w:val="22"/>
        </w:rPr>
        <w:t xml:space="preserve">Tenure without promotion. Employees who have been in the same grade for more than 30 months have significantly elevated attrition risk. In India's GCC market, career progression velocity is a primary retention driver, particularly for engineers aged 26-34.</w:t>
      </w:r>
    </w:p>
    <w:p>
      <w:pPr>
        <w:spacing w:before="0" w:after="100" w:line="288"/>
      </w:pPr>
      <w:r>
        <w:rPr>
          <w:rFonts w:ascii="Calibri" w:cs="Calibri" w:eastAsia="Calibri" w:hAnsi="Calibri"/>
          <w:color w:val="1A1A1A"/>
          <w:sz w:val="22"/>
          <w:szCs w:val="22"/>
        </w:rPr>
        <w:t xml:space="preserve">Manager relationship. Teams with managers who have poor engagement scores  -  measured through annual or pulse surveys  -  have 40-60% higher attrition than teams with strong manager scores. Individual manager quality is a stronger predictor of team-level attrition than organisation-wide engagement scores.</w:t>
      </w:r>
    </w:p>
    <w:p>
      <w:pPr>
        <w:spacing w:before="0" w:after="100" w:line="288"/>
      </w:pPr>
      <w:r>
        <w:rPr>
          <w:rFonts w:ascii="Calibri" w:cs="Calibri" w:eastAsia="Calibri" w:hAnsi="Calibri"/>
          <w:color w:val="1A1A1A"/>
          <w:sz w:val="22"/>
          <w:szCs w:val="22"/>
        </w:rPr>
        <w:t xml:space="preserve">Offer received, not accepted. Employees who have received and declined external offers are at 3-5x the normal attrition risk for the following 12 months. Many GCCs do not track this information; those that do use it as an early warning signal for counter-offer intervention.</w:t>
      </w:r>
    </w:p>
    <w:p>
      <w:pPr>
        <w:spacing w:before="0" w:after="100" w:line="288"/>
      </w:pPr>
      <w:r>
        <w:rPr>
          <w:rFonts w:ascii="Calibri" w:cs="Calibri" w:eastAsia="Calibri" w:hAnsi="Calibri"/>
          <w:color w:val="1A1A1A"/>
          <w:sz w:val="22"/>
          <w:szCs w:val="22"/>
        </w:rPr>
        <w:t xml:space="preserve">External market signals. When a major employer in the local talent market  -  a large GCC, a high-growth startup, or an established tech company  -  announces expansion, hiring velocity in the local market increases. GCCs that monitor competitor hiring announcements can anticipate attrition waves 3-4 months before they arrive.</w:t>
      </w:r>
    </w:p>
    <w:p>
      <w:pPr>
        <w:spacing w:before="120" w:after="60" w:line="276"/>
      </w:pPr>
      <w:r>
        <w:rPr>
          <w:rFonts w:ascii="Calibri" w:cs="Calibri" w:eastAsia="Calibri" w:hAnsi="Calibri"/>
          <w:b/>
          <w:bCs/>
          <w:color w:val="1A1A1A"/>
          <w:sz w:val="22"/>
          <w:szCs w:val="22"/>
        </w:rPr>
        <w:t xml:space="preserve">Building the Attrition Risk Model</w:t>
      </w:r>
    </w:p>
    <w:p>
      <w:pPr>
        <w:spacing w:before="0" w:after="100" w:line="288"/>
      </w:pPr>
      <w:r>
        <w:rPr>
          <w:rFonts w:ascii="Calibri" w:cs="Calibri" w:eastAsia="Calibri" w:hAnsi="Calibri"/>
          <w:color w:val="1A1A1A"/>
          <w:sz w:val="22"/>
          <w:szCs w:val="22"/>
        </w:rPr>
        <w:t xml:space="preserve">A practical attrition risk model for a GCC with 300+ employees: score each employee on five dimensions (compensation gap, promotion tenure, manager score, offer history, market exposure), weight each dimension by its predictive strength, and classify employees into high/medium/low risk tiers. Review the high-risk tier monthly with HR business partners and line managers. The intervention toolkit: compensation correction, accelerated promotion, targeted engagement, role change, or retention conversation.</w:t>
      </w:r>
    </w:p>
    <w:p>
      <w:pPr>
        <w:spacing w:before="0" w:after="100" w:line="288"/>
      </w:pPr>
      <w:r>
        <w:rPr>
          <w:rFonts w:ascii="Calibri" w:cs="Calibri" w:eastAsia="Calibri" w:hAnsi="Calibri"/>
          <w:color w:val="1A1A1A"/>
          <w:sz w:val="22"/>
          <w:szCs w:val="22"/>
        </w:rPr>
        <w:t xml:space="preserve">The cost of this system: one data analyst, access to HRIS data, and the compensation benchmark data you should already be subscribing to. The return: early identification of 30-40% of attrition before it becomes an active resignation, with a 50-60% intervention success rate for high-risk employees who receive proactive attention.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6.4 Succession Depth: The Framework</w:t>
      </w:r>
    </w:p>
    <w:p>
      <w:pPr>
        <w:spacing w:before="0" w:after="100" w:line="288"/>
      </w:pPr>
      <w:r>
        <w:rPr>
          <w:rFonts w:ascii="Calibri" w:cs="Calibri" w:eastAsia="Calibri" w:hAnsi="Calibri"/>
          <w:color w:val="1A1A1A"/>
          <w:sz w:val="22"/>
          <w:szCs w:val="22"/>
        </w:rPr>
        <w:t xml:space="preserve">Leadership succession is the most consequential and most underinvested talent process in GCCs. The failure mode is consistent: a GCC Head, CoE lead, or critical function head departs unexpectedly. The center spends 3-6 months in search, pays a 20-30% premium over the departing leader's compensation, and loses 12-18 months of momentum while the new leader ramps up. This is predictable and largely avoidable.</w:t>
      </w:r>
    </w:p>
    <w:p>
      <w:pPr>
        <w:spacing w:before="120" w:after="60" w:line="276"/>
      </w:pPr>
      <w:r>
        <w:rPr>
          <w:rFonts w:ascii="Calibri" w:cs="Calibri" w:eastAsia="Calibri" w:hAnsi="Calibri"/>
          <w:b/>
          <w:bCs/>
          <w:color w:val="1A1A1A"/>
          <w:sz w:val="22"/>
          <w:szCs w:val="22"/>
        </w:rPr>
        <w:t xml:space="preserve">The Succession Depth Benchmark</w:t>
      </w:r>
    </w:p>
    <w:p>
      <w:pPr>
        <w:spacing w:before="0" w:after="100" w:line="288"/>
      </w:pPr>
      <w:r>
        <w:rPr>
          <w:rFonts w:ascii="Calibri" w:cs="Calibri" w:eastAsia="Calibri" w:hAnsi="Calibri"/>
          <w:color w:val="1A1A1A"/>
          <w:sz w:val="22"/>
          <w:szCs w:val="22"/>
        </w:rPr>
        <w:t xml:space="preserve">For every role above the manager level, a mature GCC maintains a succession plan with three categories: Ready Now (can step into the role within 30 days with acceptable performance), Ready in 12 Months (with targeted development, can be ready in 12 months), and Ready in 24 Months (longer-horizon pipeline).</w:t>
      </w:r>
    </w:p>
    <w:p>
      <w:pPr>
        <w:spacing w:before="0" w:after="100" w:line="288"/>
      </w:pPr>
      <w:r>
        <w:rPr>
          <w:rFonts w:ascii="Calibri" w:cs="Calibri" w:eastAsia="Calibri" w:hAnsi="Calibri"/>
          <w:color w:val="1A1A1A"/>
          <w:sz w:val="22"/>
          <w:szCs w:val="22"/>
        </w:rPr>
        <w:t xml:space="preserve">The minimum viable benchmark by GCC size: Small GCC  -  Ready Now successor for GCC Head role only. Medium GCC  -  Ready Now or Ready in 12 Months for all director-level and above roles. Large GCC  -  three-tier succession for all VP-level and above. Mega GCC  -  three-tier succession for all senior manager and above, with India-based Ready Now successors for at least 60% of roles currently held by expatriates or HQ-based leaders.</w:t>
      </w:r>
    </w:p>
    <w:p>
      <w:pPr>
        <w:spacing w:before="120" w:after="60" w:line="276"/>
      </w:pPr>
      <w:r>
        <w:rPr>
          <w:rFonts w:ascii="Calibri" w:cs="Calibri" w:eastAsia="Calibri" w:hAnsi="Calibri"/>
          <w:b/>
          <w:bCs/>
          <w:color w:val="1A1A1A"/>
          <w:sz w:val="22"/>
          <w:szCs w:val="22"/>
        </w:rPr>
        <w:t xml:space="preserve">The Leadership Pipeline Investment</w:t>
      </w:r>
    </w:p>
    <w:p>
      <w:pPr>
        <w:spacing w:before="0" w:after="100" w:line="288"/>
      </w:pPr>
      <w:r>
        <w:rPr>
          <w:rFonts w:ascii="Calibri" w:cs="Calibri" w:eastAsia="Calibri" w:hAnsi="Calibri"/>
          <w:color w:val="1A1A1A"/>
          <w:sz w:val="22"/>
          <w:szCs w:val="22"/>
        </w:rPr>
        <w:t xml:space="preserve">Succession depth does not emerge without deliberate investment. The three investments that produce the strongest return in India GCCs:</w:t>
      </w:r>
    </w:p>
    <w:p>
      <w:pPr>
        <w:spacing w:before="0" w:after="100" w:line="288"/>
      </w:pPr>
      <w:r>
        <w:rPr>
          <w:rFonts w:ascii="Calibri" w:cs="Calibri" w:eastAsia="Calibri" w:hAnsi="Calibri"/>
          <w:color w:val="1A1A1A"/>
          <w:sz w:val="22"/>
          <w:szCs w:val="22"/>
        </w:rPr>
        <w:t xml:space="preserve">Executive education partnerships: tailored programmes with IIM Ahmedabad, IIM Bangalore, ISB Hyderabad, or global business schools that develop general management capability in strong functional leaders. Cost: INR 15-30 lakh per participant per programme. Impact: measurable improvement in strategic thinking and P&amp;L orientation in 70% of participants within 18 months.</w:t>
      </w:r>
    </w:p>
    <w:p>
      <w:pPr>
        <w:spacing w:before="0" w:after="100" w:line="288"/>
      </w:pPr>
      <w:r>
        <w:rPr>
          <w:rFonts w:ascii="Calibri" w:cs="Calibri" w:eastAsia="Calibri" w:hAnsi="Calibri"/>
          <w:color w:val="1A1A1A"/>
          <w:sz w:val="22"/>
          <w:szCs w:val="22"/>
        </w:rPr>
        <w:t xml:space="preserve">Global rotation: placing high-potential India leaders in HQ or other regional roles for 12-24 months. This is the single most effective development intervention for leaders being prepared for GCC Head or global mandates. The barrier: HQ resistance to "exporting" talent. The counter-argument: every India leader who spends 18 months at HQ returns with relationships and strategic context that creates 5+ years of value.</w:t>
      </w:r>
    </w:p>
    <w:p>
      <w:pPr>
        <w:spacing w:before="0" w:after="100" w:line="288"/>
      </w:pPr>
      <w:r>
        <w:rPr>
          <w:rFonts w:ascii="Calibri" w:cs="Calibri" w:eastAsia="Calibri" w:hAnsi="Calibri"/>
          <w:color w:val="1A1A1A"/>
          <w:sz w:val="22"/>
          <w:szCs w:val="22"/>
        </w:rPr>
        <w:t xml:space="preserve">Board and advisory exposure: placing senior India GCC leaders on external boards, advisory panels, or NASSCOM working groups. External accountability and peer-level relationships accelerate leadership development in ways that internal programs cannot replicate.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6.5 Chapter Summary: Seven Talent Intelligence Principles</w:t>
      </w:r>
    </w:p>
    <w:p>
      <w:pPr>
        <w:pStyle w:val="ListParagraph"/>
        <w:numPr>
          <w:ilvl w:val="0"/>
          <w:numId w:val="2"/>
        </w:numPr>
        <w:spacing w:before="20" w:after="20" w:line="276"/>
      </w:pPr>
      <w:r>
        <w:rPr>
          <w:rFonts w:ascii="Calibri" w:cs="Calibri" w:eastAsia="Calibri" w:hAnsi="Calibri"/>
          <w:color w:val="1A1A1A"/>
          <w:sz w:val="22"/>
          <w:szCs w:val="22"/>
        </w:rPr>
        <w:t xml:space="preserve">Subscribe to Radford or Mercer. Compensation benchmarking based on approximation and competitor gossip is not a system  -  it is organised guessing.</w:t>
      </w:r>
    </w:p>
    <w:p>
      <w:pPr>
        <w:pStyle w:val="ListParagraph"/>
        <w:numPr>
          <w:ilvl w:val="0"/>
          <w:numId w:val="2"/>
        </w:numPr>
        <w:spacing w:before="20" w:after="20" w:line="276"/>
      </w:pPr>
      <w:r>
        <w:rPr>
          <w:rFonts w:ascii="Calibri" w:cs="Calibri" w:eastAsia="Calibri" w:hAnsi="Calibri"/>
          <w:color w:val="1A1A1A"/>
          <w:sz w:val="22"/>
          <w:szCs w:val="22"/>
        </w:rPr>
        <w:t xml:space="preserve">Benchmark every role family annually and adjust quarterly for scarce-skill roles.</w:t>
      </w:r>
    </w:p>
    <w:p>
      <w:pPr>
        <w:pStyle w:val="ListParagraph"/>
        <w:numPr>
          <w:ilvl w:val="0"/>
          <w:numId w:val="2"/>
        </w:numPr>
        <w:spacing w:before="20" w:after="20" w:line="276"/>
      </w:pPr>
      <w:r>
        <w:rPr>
          <w:rFonts w:ascii="Calibri" w:cs="Calibri" w:eastAsia="Calibri" w:hAnsi="Calibri"/>
          <w:color w:val="1A1A1A"/>
          <w:sz w:val="22"/>
          <w:szCs w:val="22"/>
        </w:rPr>
        <w:t xml:space="preserve">Build a predictive attrition model. The five variables are: compensation gap, promotion tenure, manager score, offer history, and market exposure.</w:t>
      </w:r>
    </w:p>
    <w:p>
      <w:pPr>
        <w:pStyle w:val="ListParagraph"/>
        <w:numPr>
          <w:ilvl w:val="0"/>
          <w:numId w:val="2"/>
        </w:numPr>
        <w:spacing w:before="20" w:after="20" w:line="276"/>
      </w:pPr>
      <w:r>
        <w:rPr>
          <w:rFonts w:ascii="Calibri" w:cs="Calibri" w:eastAsia="Calibri" w:hAnsi="Calibri"/>
          <w:color w:val="1A1A1A"/>
          <w:sz w:val="22"/>
          <w:szCs w:val="22"/>
        </w:rPr>
        <w:t xml:space="preserve">Review the high-attrition-risk tier monthly. Proactive intervention on 30-40% of potential departures before resignation is worth more than post-resignation counter-offers.</w:t>
      </w:r>
    </w:p>
    <w:p>
      <w:pPr>
        <w:pStyle w:val="ListParagraph"/>
        <w:numPr>
          <w:ilvl w:val="0"/>
          <w:numId w:val="2"/>
        </w:numPr>
        <w:spacing w:before="20" w:after="20" w:line="276"/>
      </w:pPr>
      <w:r>
        <w:rPr>
          <w:rFonts w:ascii="Calibri" w:cs="Calibri" w:eastAsia="Calibri" w:hAnsi="Calibri"/>
          <w:color w:val="1A1A1A"/>
          <w:sz w:val="22"/>
          <w:szCs w:val="22"/>
        </w:rPr>
        <w:t xml:space="preserve">Maintain succession plans for all roles above manager level. Ready Now successors for director-level and above are the minimum viable standard.</w:t>
      </w:r>
    </w:p>
    <w:p>
      <w:pPr>
        <w:pStyle w:val="ListParagraph"/>
        <w:numPr>
          <w:ilvl w:val="0"/>
          <w:numId w:val="2"/>
        </w:numPr>
        <w:spacing w:before="20" w:after="20" w:line="276"/>
      </w:pPr>
      <w:r>
        <w:rPr>
          <w:rFonts w:ascii="Calibri" w:cs="Calibri" w:eastAsia="Calibri" w:hAnsi="Calibri"/>
          <w:color w:val="1A1A1A"/>
          <w:sz w:val="22"/>
          <w:szCs w:val="22"/>
        </w:rPr>
        <w:t xml:space="preserve">Invest in global rotation for your highest-potential India leaders. It is the most effective development intervention available.</w:t>
      </w:r>
    </w:p>
    <w:p>
      <w:pPr>
        <w:pStyle w:val="ListParagraph"/>
        <w:numPr>
          <w:ilvl w:val="0"/>
          <w:numId w:val="2"/>
        </w:numPr>
        <w:spacing w:before="20" w:after="20" w:line="276"/>
      </w:pPr>
      <w:r>
        <w:rPr>
          <w:rFonts w:ascii="Calibri" w:cs="Calibri" w:eastAsia="Calibri" w:hAnsi="Calibri"/>
          <w:color w:val="1A1A1A"/>
          <w:sz w:val="22"/>
          <w:szCs w:val="22"/>
        </w:rPr>
        <w:t xml:space="preserve">The talent intelligence function pays for itself in reduced attrition cost within 18 months at centers above 300 headcount.</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SEVEN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Legal, Regulatory, and Compliance: The Complete Framework</w:t>
      </w:r>
    </w:p>
    <w:p>
      <w:pPr>
        <w:spacing w:before="40" w:after="40" w:line="276"/>
      </w:pPr>
      <w:r>
        <w:rPr>
          <w:rFonts w:ascii="Calibri" w:cs="Calibri" w:eastAsia="Calibri" w:hAnsi="Calibri"/>
          <w:i/>
          <w:iCs/>
          <w:color w:val="555555"/>
          <w:sz w:val="21"/>
          <w:szCs w:val="21"/>
        </w:rPr>
        <w:t xml:space="preserve">The Four Labour Codes, DPDPA 2023, Transfer Pricing, and Cross-Border Data Governance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7.1 The Regulatory Landscape: What Changed and What Is Changing</w:t>
      </w:r>
    </w:p>
    <w:p>
      <w:pPr>
        <w:spacing w:before="0" w:after="100" w:line="288"/>
      </w:pPr>
      <w:r>
        <w:rPr>
          <w:rFonts w:ascii="Calibri" w:cs="Calibri" w:eastAsia="Calibri" w:hAnsi="Calibri"/>
          <w:color w:val="1A1A1A"/>
          <w:sz w:val="22"/>
          <w:szCs w:val="22"/>
        </w:rPr>
        <w:t xml:space="preserve">India's employment and data law environment underwent its most significant overhaul in a generation between 2019 and 2023. The consolidation of 29 central labour laws into four Labour Codes, combined with the Digital Personal Data Protection Act 2023 (DPDPA), created a compliance architecture that most GCC legal teams are still catching up with as of early 2026.</w:t>
      </w:r>
    </w:p>
    <w:p>
      <w:pPr>
        <w:spacing w:before="0" w:after="100" w:line="288"/>
      </w:pPr>
      <w:r>
        <w:rPr>
          <w:rFonts w:ascii="Calibri" w:cs="Calibri" w:eastAsia="Calibri" w:hAnsi="Calibri"/>
          <w:color w:val="1A1A1A"/>
          <w:sz w:val="22"/>
          <w:szCs w:val="22"/>
        </w:rPr>
        <w:t xml:space="preserve">This chapter does not replace legal counsel. It provides the working knowledge framework that every GCC Head and India CFO needs to have in order to ask the right questions, allocate appropriate resources, and avoid the compliance failures that have created regulatory exposure for multiple India GCCs in 2024-2025.</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7.2 The Four Labour Codes: Working Guide</w:t>
      </w:r>
    </w:p>
    <w:p>
      <w:pPr>
        <w:spacing w:before="0" w:after="100" w:line="288"/>
      </w:pPr>
      <w:r>
        <w:rPr>
          <w:rFonts w:ascii="Calibri" w:cs="Calibri" w:eastAsia="Calibri" w:hAnsi="Calibri"/>
          <w:color w:val="1A1A1A"/>
          <w:sz w:val="22"/>
          <w:szCs w:val="22"/>
        </w:rPr>
        <w:t xml:space="preserve">The four Labour Codes consolidate 29 central labour laws. Their implementation is proceeding in phases, with state-level notification required before they come into force in each state. As of early 2026, most major GCC states (Karnataka, Telangana, Maharashtra, Tamil Nadu) have notified draft rules but full implementation is pending. Every GCC legal team should track the implementation calendar for the states in which they operate.</w:t>
      </w:r>
    </w:p>
    <w:p>
      <w:pPr>
        <w:spacing w:before="120" w:after="60" w:line="276"/>
      </w:pPr>
      <w:r>
        <w:rPr>
          <w:rFonts w:ascii="Calibri" w:cs="Calibri" w:eastAsia="Calibri" w:hAnsi="Calibri"/>
          <w:b/>
          <w:bCs/>
          <w:color w:val="1A1A1A"/>
          <w:sz w:val="22"/>
          <w:szCs w:val="22"/>
        </w:rPr>
        <w:t xml:space="preserve">Code on Wages, 2019</w:t>
      </w:r>
    </w:p>
    <w:p>
      <w:pPr>
        <w:spacing w:before="0" w:after="100" w:line="288"/>
      </w:pPr>
      <w:r>
        <w:rPr>
          <w:rFonts w:ascii="Calibri" w:cs="Calibri" w:eastAsia="Calibri" w:hAnsi="Calibri"/>
          <w:color w:val="1A1A1A"/>
          <w:sz w:val="22"/>
          <w:szCs w:val="22"/>
        </w:rPr>
        <w:t xml:space="preserve">Unifies the Payment of Wages Act, Minimum Wages Act, Payment of Bonus Act, and Equal Remuneration Act. Key change for GCCs: the definition of "wages" for PF, ESI, and gratuity computation is standardised and broadened. Allowances that were previously excluded from PF computation may now be included, increasing the statutory benefit cost base.</w:t>
      </w:r>
    </w:p>
    <w:p>
      <w:pPr>
        <w:spacing w:before="0" w:after="100" w:line="288"/>
      </w:pPr>
      <w:r>
        <w:rPr>
          <w:rFonts w:ascii="Calibri" w:cs="Calibri" w:eastAsia="Calibri" w:hAnsi="Calibri"/>
          <w:color w:val="1A1A1A"/>
          <w:sz w:val="22"/>
          <w:szCs w:val="22"/>
        </w:rPr>
        <w:t xml:space="preserve">Practical impact: GCCs that have structured compensation with high allowance components to reduce PF liability may need to restructure compensation architecture. The increase in PF computation base typically adds 2-4% to total employment cost for affected employees.</w:t>
      </w:r>
    </w:p>
    <w:p>
      <w:pPr>
        <w:spacing w:before="120" w:after="60" w:line="276"/>
      </w:pPr>
      <w:r>
        <w:rPr>
          <w:rFonts w:ascii="Calibri" w:cs="Calibri" w:eastAsia="Calibri" w:hAnsi="Calibri"/>
          <w:b/>
          <w:bCs/>
          <w:color w:val="1A1A1A"/>
          <w:sz w:val="22"/>
          <w:szCs w:val="22"/>
        </w:rPr>
        <w:t xml:space="preserve">Industrial Relations Code, 2020</w:t>
      </w:r>
    </w:p>
    <w:p>
      <w:pPr>
        <w:spacing w:before="0" w:after="100" w:line="288"/>
      </w:pPr>
      <w:r>
        <w:rPr>
          <w:rFonts w:ascii="Calibri" w:cs="Calibri" w:eastAsia="Calibri" w:hAnsi="Calibri"/>
          <w:color w:val="1A1A1A"/>
          <w:sz w:val="22"/>
          <w:szCs w:val="22"/>
        </w:rPr>
        <w:t xml:space="preserve">Unifies the Industrial Disputes Act, Trade Unions Act, and Industrial Employment Standing Orders Act. Key change for GCCs: the threshold for requiring government permission before retrenchment increases from 100 to 300 employees. This reduces retrenchment risk for Small GCCs but does not eliminate it. The Code also requires every establishment with 20+ employees to have a Grievance Redressal Committee.</w:t>
      </w:r>
    </w:p>
    <w:p>
      <w:pPr>
        <w:spacing w:before="0" w:after="100" w:line="288"/>
      </w:pPr>
      <w:r>
        <w:rPr>
          <w:rFonts w:ascii="Calibri" w:cs="Calibri" w:eastAsia="Calibri" w:hAnsi="Calibri"/>
          <w:color w:val="1A1A1A"/>
          <w:sz w:val="22"/>
          <w:szCs w:val="22"/>
        </w:rPr>
        <w:t xml:space="preserve">Practical impact: GCCs with 20-300 employees now require formal grievance infrastructure that was previously optional. Centers above 300 employees have greater flexibility for workforce adjustments but still require Standing Orders specifying employment terms.</w:t>
      </w:r>
    </w:p>
    <w:p>
      <w:pPr>
        <w:spacing w:before="120" w:after="60" w:line="276"/>
      </w:pPr>
      <w:r>
        <w:rPr>
          <w:rFonts w:ascii="Calibri" w:cs="Calibri" w:eastAsia="Calibri" w:hAnsi="Calibri"/>
          <w:b/>
          <w:bCs/>
          <w:color w:val="1A1A1A"/>
          <w:sz w:val="22"/>
          <w:szCs w:val="22"/>
        </w:rPr>
        <w:t xml:space="preserve">Occupational Safety, Health and Working Conditions Code, 2020</w:t>
      </w:r>
    </w:p>
    <w:p>
      <w:pPr>
        <w:spacing w:before="0" w:after="100" w:line="288"/>
      </w:pPr>
      <w:r>
        <w:rPr>
          <w:rFonts w:ascii="Calibri" w:cs="Calibri" w:eastAsia="Calibri" w:hAnsi="Calibri"/>
          <w:color w:val="1A1A1A"/>
          <w:sz w:val="22"/>
          <w:szCs w:val="22"/>
        </w:rPr>
        <w:t xml:space="preserve">Consolidates 13 acts governing workplace safety. Key provisions for GCCs: mandatory health and safety committees for establishments with 500+ employees, defined working hours (maximum 48 hours per week, 12 hours per day with specific conditions), and enhanced obligations for women employees including safe transportation, crèche facilities for establishments with 50+ women employees, and prohibition on requiring overtime beyond defined limits.</w:t>
      </w:r>
    </w:p>
    <w:p>
      <w:pPr>
        <w:spacing w:before="0" w:after="100" w:line="288"/>
      </w:pPr>
      <w:r>
        <w:rPr>
          <w:rFonts w:ascii="Calibri" w:cs="Calibri" w:eastAsia="Calibri" w:hAnsi="Calibri"/>
          <w:color w:val="1A1A1A"/>
          <w:sz w:val="22"/>
          <w:szCs w:val="22"/>
        </w:rPr>
        <w:t xml:space="preserve">Practical impact: technology GCCs with significant on-call or after-hours work requirements need to structure these arrangements carefully against the OSH Code provisions. The crèche requirement is a meaningful cost for centers above 50 women employees that lack proximate crèche infrastructure.</w:t>
      </w:r>
    </w:p>
    <w:p>
      <w:pPr>
        <w:spacing w:before="120" w:after="60" w:line="276"/>
      </w:pPr>
      <w:r>
        <w:rPr>
          <w:rFonts w:ascii="Calibri" w:cs="Calibri" w:eastAsia="Calibri" w:hAnsi="Calibri"/>
          <w:b/>
          <w:bCs/>
          <w:color w:val="1A1A1A"/>
          <w:sz w:val="22"/>
          <w:szCs w:val="22"/>
        </w:rPr>
        <w:t xml:space="preserve">Code on Social Security, 2020</w:t>
      </w:r>
    </w:p>
    <w:p>
      <w:pPr>
        <w:spacing w:before="0" w:after="100" w:line="288"/>
      </w:pPr>
      <w:r>
        <w:rPr>
          <w:rFonts w:ascii="Calibri" w:cs="Calibri" w:eastAsia="Calibri" w:hAnsi="Calibri"/>
          <w:color w:val="1A1A1A"/>
          <w:sz w:val="22"/>
          <w:szCs w:val="22"/>
        </w:rPr>
        <w:t xml:space="preserve">Unifies the Employees' Provident Funds Act, Employees' State Insurance Act, and eight other social security laws. Key change: gig workers and platform workers are brought within the social security framework for the first time. GCCs that use contract labor or gig platforms for any function need to review the social security implications of those arrangements under the new Code.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7.3 DPDPA 2023: What Every GCC Must Do</w:t>
      </w:r>
    </w:p>
    <w:p>
      <w:pPr>
        <w:spacing w:before="0" w:after="100" w:line="288"/>
      </w:pPr>
      <w:r>
        <w:rPr>
          <w:rFonts w:ascii="Calibri" w:cs="Calibri" w:eastAsia="Calibri" w:hAnsi="Calibri"/>
          <w:color w:val="1A1A1A"/>
          <w:sz w:val="22"/>
          <w:szCs w:val="22"/>
        </w:rPr>
        <w:t xml:space="preserve">The Digital Personal Data Protection Act 2023 is India's first comprehensive data protection law. Its implementation  -  through rules that the government notified progressively in 2024-2025  -  creates compliance obligations for every GCC that processes personal data of Indian residents.</w:t>
      </w:r>
    </w:p>
    <w:p>
      <w:pPr>
        <w:spacing w:before="120" w:after="60" w:line="276"/>
      </w:pPr>
      <w:r>
        <w:rPr>
          <w:rFonts w:ascii="Calibri" w:cs="Calibri" w:eastAsia="Calibri" w:hAnsi="Calibri"/>
          <w:b/>
          <w:bCs/>
          <w:color w:val="1A1A1A"/>
          <w:sz w:val="22"/>
          <w:szCs w:val="22"/>
        </w:rPr>
        <w:t xml:space="preserve">Key obligations under DPDPA:</w:t>
      </w:r>
    </w:p>
    <w:p>
      <w:pPr>
        <w:spacing w:before="0" w:after="100" w:line="288"/>
      </w:pPr>
      <w:r>
        <w:rPr>
          <w:rFonts w:ascii="Calibri" w:cs="Calibri" w:eastAsia="Calibri" w:hAnsi="Calibri"/>
          <w:color w:val="1A1A1A"/>
          <w:sz w:val="22"/>
          <w:szCs w:val="22"/>
        </w:rPr>
        <w:t xml:space="preserve">Notice and consent: Data fiduciaries (entities that process personal data) must provide notice in plain language before processing personal data and obtain explicit consent. For GCCs processing employee data, customer data, or user data on behalf of global clients, this requires a review of existing consent architecture.</w:t>
      </w:r>
    </w:p>
    <w:p>
      <w:pPr>
        <w:spacing w:before="0" w:after="100" w:line="288"/>
      </w:pPr>
      <w:r>
        <w:rPr>
          <w:rFonts w:ascii="Calibri" w:cs="Calibri" w:eastAsia="Calibri" w:hAnsi="Calibri"/>
          <w:color w:val="1A1A1A"/>
          <w:sz w:val="22"/>
          <w:szCs w:val="22"/>
        </w:rPr>
        <w:t xml:space="preserve">Data principal rights: Indian residents have the right to access their data, correct inaccuracies, and request erasure. GCCs must have processes to receive and respond to these requests within the timeframes specified in the rules.</w:t>
      </w:r>
    </w:p>
    <w:p>
      <w:pPr>
        <w:spacing w:before="0" w:after="100" w:line="288"/>
      </w:pPr>
      <w:r>
        <w:rPr>
          <w:rFonts w:ascii="Calibri" w:cs="Calibri" w:eastAsia="Calibri" w:hAnsi="Calibri"/>
          <w:color w:val="1A1A1A"/>
          <w:sz w:val="22"/>
          <w:szCs w:val="22"/>
        </w:rPr>
        <w:t xml:space="preserve">Cross-border data transfers: DPDPA permits transfers to countries not specifically restricted by the government. The list of restricted countries has not been finalised as of early 2026, but the framework creates the obligation for GCCs to know where personal data of Indian residents is being transferred and to ensure transfers comply with the approved country list when published.</w:t>
      </w:r>
    </w:p>
    <w:p>
      <w:pPr>
        <w:spacing w:before="0" w:after="100" w:line="288"/>
      </w:pPr>
      <w:r>
        <w:rPr>
          <w:rFonts w:ascii="Calibri" w:cs="Calibri" w:eastAsia="Calibri" w:hAnsi="Calibri"/>
          <w:color w:val="1A1A1A"/>
          <w:sz w:val="22"/>
          <w:szCs w:val="22"/>
        </w:rPr>
        <w:t xml:space="preserve">Data localisation for specific categories: The rules may require certain categories of sensitive personal data (financial, health) to be stored within India. GCCs in BFSI and healthcare must monitor the final rules closely, as localisation requirements would affect infrastructure architecture and cloud deployment models.</w:t>
      </w:r>
    </w:p>
    <w:p>
      <w:pPr>
        <w:spacing w:before="120" w:after="60" w:line="276"/>
      </w:pPr>
      <w:r>
        <w:rPr>
          <w:rFonts w:ascii="Calibri" w:cs="Calibri" w:eastAsia="Calibri" w:hAnsi="Calibri"/>
          <w:b/>
          <w:bCs/>
          <w:color w:val="1A1A1A"/>
          <w:sz w:val="22"/>
          <w:szCs w:val="22"/>
        </w:rPr>
        <w:t xml:space="preserve">The DPDPA Compliance Programme</w:t>
      </w:r>
    </w:p>
    <w:p>
      <w:pPr>
        <w:spacing w:before="0" w:after="100" w:line="288"/>
      </w:pPr>
      <w:r>
        <w:rPr>
          <w:rFonts w:ascii="Calibri" w:cs="Calibri" w:eastAsia="Calibri" w:hAnsi="Calibri"/>
          <w:color w:val="1A1A1A"/>
          <w:sz w:val="22"/>
          <w:szCs w:val="22"/>
        </w:rPr>
        <w:t xml:space="preserve">Every GCC above 100 headcount that processes personal data should implement a DPDPA compliance programme covering: data inventory (what personal data does the center process, where does it sit, how long is it retained), consent management (how is consent obtained and recorded), data principal rights fulfilment (process to handle access, correction, and erasure requests), incident management (breach notification requirements within 72 hours to the Data Protection Board), and vendor management (data processor agreements with all third parties processing personal data on the GCC's behalf).</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7.4 Cross-Border Data Governance for Regulated Industries</w:t>
      </w:r>
    </w:p>
    <w:p>
      <w:pPr>
        <w:spacing w:before="0" w:after="100" w:line="288"/>
      </w:pPr>
      <w:r>
        <w:rPr>
          <w:rFonts w:ascii="Calibri" w:cs="Calibri" w:eastAsia="Calibri" w:hAnsi="Calibri"/>
          <w:color w:val="1A1A1A"/>
          <w:sz w:val="22"/>
          <w:szCs w:val="22"/>
        </w:rPr>
        <w:t xml:space="preserve">BFSI and healthcare GCCs operate under additional data governance obligations that sit alongside DPDPA.</w:t>
      </w:r>
    </w:p>
    <w:p>
      <w:pPr>
        <w:spacing w:before="0" w:after="100" w:line="288"/>
      </w:pPr>
      <w:r>
        <w:rPr>
          <w:rFonts w:ascii="Calibri" w:cs="Calibri" w:eastAsia="Calibri" w:hAnsi="Calibri"/>
          <w:color w:val="1A1A1A"/>
          <w:sz w:val="22"/>
          <w:szCs w:val="22"/>
        </w:rPr>
        <w:t xml:space="preserve">BFSI: RBI Master Directions on IT require that payment system data be stored exclusively in India. SEBI regulations require maintenance of records in India for specified periods. For GCCs processing payment data, market transaction data, or credit information, the localisation obligations are well-established and non-negotiable.</w:t>
      </w:r>
    </w:p>
    <w:p>
      <w:pPr>
        <w:spacing w:before="0" w:after="100" w:line="288"/>
      </w:pPr>
      <w:r>
        <w:rPr>
          <w:rFonts w:ascii="Calibri" w:cs="Calibri" w:eastAsia="Calibri" w:hAnsi="Calibri"/>
          <w:color w:val="1A1A1A"/>
          <w:sz w:val="22"/>
          <w:szCs w:val="22"/>
        </w:rPr>
        <w:t xml:space="preserve">Healthcare: HIPAA compliance for GCCs processing protected health information of US residents requires Business Associate Agreements with all US parent entities, technical safeguards equivalent to US standards, and breach notification protocols aligned with US requirements. The DPDPA health data provisions create an additional Indian-law layer that healthcare GCCs must map against their existing HIPAA framework.</w:t>
      </w:r>
    </w:p>
    <w:p>
      <w:pPr>
        <w:spacing w:before="120" w:after="60" w:line="276"/>
      </w:pPr>
      <w:r>
        <w:rPr>
          <w:rFonts w:ascii="Calibri" w:cs="Calibri" w:eastAsia="Calibri" w:hAnsi="Calibri"/>
          <w:b/>
          <w:bCs/>
          <w:color w:val="1A1A1A"/>
          <w:sz w:val="22"/>
          <w:szCs w:val="22"/>
        </w:rPr>
        <w:t xml:space="preserve">The Practical Governance Model</w:t>
      </w:r>
    </w:p>
    <w:p>
      <w:pPr>
        <w:spacing w:before="0" w:after="100" w:line="288"/>
      </w:pPr>
      <w:r>
        <w:rPr>
          <w:rFonts w:ascii="Calibri" w:cs="Calibri" w:eastAsia="Calibri" w:hAnsi="Calibri"/>
          <w:color w:val="1A1A1A"/>
          <w:sz w:val="22"/>
          <w:szCs w:val="22"/>
        </w:rPr>
        <w:t xml:space="preserve">The data governance model that works for regulated GCCs: appoint a Data Protection Officer (DPO) who owns both DPDPA compliance and sector-specific data governance. Build a data governance committee that meets monthly. Conduct annual data governance audits with external counsel. Maintain a real-time data flow map  -  where every category of regulated data lives, moves, and is retained.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7.5 POSH Act: Compliance Architecture</w:t>
      </w:r>
    </w:p>
    <w:p>
      <w:pPr>
        <w:spacing w:before="0" w:after="100" w:line="288"/>
      </w:pPr>
      <w:r>
        <w:rPr>
          <w:rFonts w:ascii="Calibri" w:cs="Calibri" w:eastAsia="Calibri" w:hAnsi="Calibri"/>
          <w:color w:val="1A1A1A"/>
          <w:sz w:val="22"/>
          <w:szCs w:val="22"/>
        </w:rPr>
        <w:t xml:space="preserve">The Prevention, Prohibition and Redressal of Sexual Harassment of Women at Workplace Act (POSH Act) 2013 requires every establishment with 10 or more employees to constitute an Internal Committee (IC) for handling sexual harassment complaints. Non-compliance attracts fines up to INR 50,000 and, on repeat violation, cancellation of business license.</w:t>
      </w:r>
    </w:p>
    <w:p>
      <w:pPr>
        <w:spacing w:before="0" w:after="100" w:line="288"/>
      </w:pPr>
      <w:r>
        <w:rPr>
          <w:rFonts w:ascii="Calibri" w:cs="Calibri" w:eastAsia="Calibri" w:hAnsi="Calibri"/>
          <w:color w:val="1A1A1A"/>
          <w:sz w:val="22"/>
          <w:szCs w:val="22"/>
        </w:rPr>
        <w:t xml:space="preserve">GCC compliance obligations: constitute a properly structured IC (presiding officer must be a woman employed at a senior level, minimum 50% women members, at least one external member), conduct mandatory POSH training for all employees annually, maintain a complaint register and annual report, and submit the annual report to the District Officer.</w:t>
      </w:r>
    </w:p>
    <w:p>
      <w:pPr>
        <w:spacing w:before="0" w:after="100" w:line="288"/>
      </w:pPr>
      <w:r>
        <w:rPr>
          <w:rFonts w:ascii="Calibri" w:cs="Calibri" w:eastAsia="Calibri" w:hAnsi="Calibri"/>
          <w:color w:val="1A1A1A"/>
          <w:sz w:val="22"/>
          <w:szCs w:val="22"/>
        </w:rPr>
        <w:t xml:space="preserve">The compliance gaps most common in GCCs: IC members who have not been trained in complaint investigation procedures, annual training conducted as a checkbox exercise rather than meaningful engagement, and failure to include contract workers and visiting employees within the POSH framework (they are covered by the Act regardless of employment status).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7.6 Chapter Summary: Eight Compliance Principles</w:t>
      </w:r>
    </w:p>
    <w:p>
      <w:pPr>
        <w:pStyle w:val="ListParagraph"/>
        <w:numPr>
          <w:ilvl w:val="0"/>
          <w:numId w:val="2"/>
        </w:numPr>
        <w:spacing w:before="20" w:after="20" w:line="276"/>
      </w:pPr>
      <w:r>
        <w:rPr>
          <w:rFonts w:ascii="Calibri" w:cs="Calibri" w:eastAsia="Calibri" w:hAnsi="Calibri"/>
          <w:color w:val="1A1A1A"/>
          <w:sz w:val="22"/>
          <w:szCs w:val="22"/>
        </w:rPr>
        <w:t xml:space="preserve">Track the Labour Code implementation calendar for every state in which you operate. The rules are being notified state by state; your obligations depend on your state.</w:t>
      </w:r>
    </w:p>
    <w:p>
      <w:pPr>
        <w:pStyle w:val="ListParagraph"/>
        <w:numPr>
          <w:ilvl w:val="0"/>
          <w:numId w:val="2"/>
        </w:numPr>
        <w:spacing w:before="20" w:after="20" w:line="276"/>
      </w:pPr>
      <w:r>
        <w:rPr>
          <w:rFonts w:ascii="Calibri" w:cs="Calibri" w:eastAsia="Calibri" w:hAnsi="Calibri"/>
          <w:color w:val="1A1A1A"/>
          <w:sz w:val="22"/>
          <w:szCs w:val="22"/>
        </w:rPr>
        <w:t xml:space="preserve">Review compensation architecture against the Code on Wages definition of wages before implementation date. A restructuring now is less disruptive than a forced change after notification.</w:t>
      </w:r>
    </w:p>
    <w:p>
      <w:pPr>
        <w:pStyle w:val="ListParagraph"/>
        <w:numPr>
          <w:ilvl w:val="0"/>
          <w:numId w:val="2"/>
        </w:numPr>
        <w:spacing w:before="20" w:after="20" w:line="276"/>
      </w:pPr>
      <w:r>
        <w:rPr>
          <w:rFonts w:ascii="Calibri" w:cs="Calibri" w:eastAsia="Calibri" w:hAnsi="Calibri"/>
          <w:color w:val="1A1A1A"/>
          <w:sz w:val="22"/>
          <w:szCs w:val="22"/>
        </w:rPr>
        <w:t xml:space="preserve">Build DPDPA compliance infrastructure now. The rules are final; the grace period for implementation is not indefinite.</w:t>
      </w:r>
    </w:p>
    <w:p>
      <w:pPr>
        <w:pStyle w:val="ListParagraph"/>
        <w:numPr>
          <w:ilvl w:val="0"/>
          <w:numId w:val="2"/>
        </w:numPr>
        <w:spacing w:before="20" w:after="20" w:line="276"/>
      </w:pPr>
      <w:r>
        <w:rPr>
          <w:rFonts w:ascii="Calibri" w:cs="Calibri" w:eastAsia="Calibri" w:hAnsi="Calibri"/>
          <w:color w:val="1A1A1A"/>
          <w:sz w:val="22"/>
          <w:szCs w:val="22"/>
        </w:rPr>
        <w:t xml:space="preserve">Every BFSI GCC processing payment data must have India-localised data storage for RBI-regulated data. There are no exceptions.</w:t>
      </w:r>
    </w:p>
    <w:p>
      <w:pPr>
        <w:pStyle w:val="ListParagraph"/>
        <w:numPr>
          <w:ilvl w:val="0"/>
          <w:numId w:val="2"/>
        </w:numPr>
        <w:spacing w:before="20" w:after="20" w:line="276"/>
      </w:pPr>
      <w:r>
        <w:rPr>
          <w:rFonts w:ascii="Calibri" w:cs="Calibri" w:eastAsia="Calibri" w:hAnsi="Calibri"/>
          <w:color w:val="1A1A1A"/>
          <w:sz w:val="22"/>
          <w:szCs w:val="22"/>
        </w:rPr>
        <w:t xml:space="preserve">Every healthcare GCC processing US protected health information must have BAAs with all US parent entities and a documented HIPAA compliance programme.</w:t>
      </w:r>
    </w:p>
    <w:p>
      <w:pPr>
        <w:pStyle w:val="ListParagraph"/>
        <w:numPr>
          <w:ilvl w:val="0"/>
          <w:numId w:val="2"/>
        </w:numPr>
        <w:spacing w:before="20" w:after="20" w:line="276"/>
      </w:pPr>
      <w:r>
        <w:rPr>
          <w:rFonts w:ascii="Calibri" w:cs="Calibri" w:eastAsia="Calibri" w:hAnsi="Calibri"/>
          <w:color w:val="1A1A1A"/>
          <w:sz w:val="22"/>
          <w:szCs w:val="22"/>
        </w:rPr>
        <w:t xml:space="preserve">Appoint a Data Protection Officer. At 300+ headcount with regulated data processing, this is a risk management requirement.</w:t>
      </w:r>
    </w:p>
    <w:p>
      <w:pPr>
        <w:pStyle w:val="ListParagraph"/>
        <w:numPr>
          <w:ilvl w:val="0"/>
          <w:numId w:val="2"/>
        </w:numPr>
        <w:spacing w:before="20" w:after="20" w:line="276"/>
      </w:pPr>
      <w:r>
        <w:rPr>
          <w:rFonts w:ascii="Calibri" w:cs="Calibri" w:eastAsia="Calibri" w:hAnsi="Calibri"/>
          <w:color w:val="1A1A1A"/>
          <w:sz w:val="22"/>
          <w:szCs w:val="22"/>
        </w:rPr>
        <w:t xml:space="preserve">POSH IC members must be trained in complaint investigation, not just complaint receipt. Untrained IC members create legal exposure.</w:t>
      </w:r>
    </w:p>
    <w:p>
      <w:pPr>
        <w:pStyle w:val="ListParagraph"/>
        <w:numPr>
          <w:ilvl w:val="0"/>
          <w:numId w:val="2"/>
        </w:numPr>
        <w:spacing w:before="20" w:after="20" w:line="276"/>
      </w:pPr>
      <w:r>
        <w:rPr>
          <w:rFonts w:ascii="Calibri" w:cs="Calibri" w:eastAsia="Calibri" w:hAnsi="Calibri"/>
          <w:color w:val="1A1A1A"/>
          <w:sz w:val="22"/>
          <w:szCs w:val="22"/>
        </w:rPr>
        <w:t xml:space="preserve">External legal counsel for India employment and data law is not optional from 200 headcount. Retain a firm with GCC-specific practice, not general corporate law.</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EIGHT</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Building the GCC Innovation Engine</w:t>
      </w:r>
    </w:p>
    <w:p>
      <w:pPr>
        <w:spacing w:before="40" w:after="40" w:line="276"/>
      </w:pPr>
      <w:r>
        <w:rPr>
          <w:rFonts w:ascii="Calibri" w:cs="Calibri" w:eastAsia="Calibri" w:hAnsi="Calibri"/>
          <w:i/>
          <w:iCs/>
          <w:color w:val="555555"/>
          <w:sz w:val="21"/>
          <w:szCs w:val="21"/>
        </w:rPr>
        <w:t xml:space="preserve">Patents, R&amp;D Tax Incentives, and the Mechanics of Repeatable Innovation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8.1 The Innovation Rhetoric Gap</w:t>
      </w:r>
    </w:p>
    <w:p>
      <w:pPr>
        <w:spacing w:before="0" w:after="100" w:line="288"/>
      </w:pPr>
      <w:r>
        <w:rPr>
          <w:rFonts w:ascii="Calibri" w:cs="Calibri" w:eastAsia="Calibri" w:hAnsi="Calibri"/>
          <w:color w:val="1A1A1A"/>
          <w:sz w:val="22"/>
          <w:szCs w:val="22"/>
        </w:rPr>
        <w:t xml:space="preserve">Innovation is the most aspirational word in the GCC vocabulary and the most poorly executed function in the GCC operating model. Every GCC strategy document includes innovation as a pillar. Most GCC annual reports cite the number of patents filed and hackathon winners. And yet the EY GCC Pulse Survey 2025 found that only 38% of GCCs have a dedicated innovation budget that is protected from annual cost optimisation. Only 22% have a defined process from idea to deployment. And fewer than 15% track innovation contribution as a formal metric in their KPI framework.</w:t>
      </w:r>
    </w:p>
    <w:p>
      <w:pPr>
        <w:spacing w:before="0" w:after="100" w:line="288"/>
      </w:pPr>
      <w:r>
        <w:rPr>
          <w:rFonts w:ascii="Calibri" w:cs="Calibri" w:eastAsia="Calibri" w:hAnsi="Calibri"/>
          <w:color w:val="1A1A1A"/>
          <w:sz w:val="22"/>
          <w:szCs w:val="22"/>
        </w:rPr>
        <w:t xml:space="preserve">This is the innovation rhetoric gap: the distance between what GCCs say about innovation and what they actually govern and fund. Closing this gap requires building an innovation engine  -  a set of structures, processes, and accountabilities that produce repeatable innovation outcomes rather than occasional innovation events.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8.2 The Innovation Governance Model</w:t>
      </w:r>
    </w:p>
    <w:p>
      <w:pPr>
        <w:spacing w:before="120" w:after="60" w:line="276"/>
      </w:pPr>
      <w:r>
        <w:rPr>
          <w:rFonts w:ascii="Calibri" w:cs="Calibri" w:eastAsia="Calibri" w:hAnsi="Calibri"/>
          <w:b/>
          <w:bCs/>
          <w:color w:val="1A1A1A"/>
          <w:sz w:val="22"/>
          <w:szCs w:val="22"/>
        </w:rPr>
        <w:t xml:space="preserve">Structure 1: The Protected Innovation Budget</w:t>
      </w:r>
    </w:p>
    <w:p>
      <w:pPr>
        <w:spacing w:before="0" w:after="100" w:line="288"/>
      </w:pPr>
      <w:r>
        <w:rPr>
          <w:rFonts w:ascii="Calibri" w:cs="Calibri" w:eastAsia="Calibri" w:hAnsi="Calibri"/>
          <w:color w:val="1A1A1A"/>
          <w:sz w:val="22"/>
          <w:szCs w:val="22"/>
        </w:rPr>
        <w:t xml:space="preserve">The first requirement is a budget line for innovation that cannot be raided for operational priorities. The benchmark for centers that demonstrate consistent innovation output: 8-12% of total GCC operating cost allocated to innovation activities, including dedicated headcount, R&amp;D expenditure, and patent filing costs.</w:t>
      </w:r>
    </w:p>
    <w:p>
      <w:pPr>
        <w:spacing w:before="0" w:after="100" w:line="288"/>
      </w:pPr>
      <w:r>
        <w:rPr>
          <w:rFonts w:ascii="Calibri" w:cs="Calibri" w:eastAsia="Calibri" w:hAnsi="Calibri"/>
          <w:color w:val="1A1A1A"/>
          <w:sz w:val="22"/>
          <w:szCs w:val="22"/>
        </w:rPr>
        <w:t xml:space="preserve">The protected budget principle: innovation investment is approved by the global leadership as a separate line item in the annual budget, not as a discretionary allocation from operational savings. If innovation funding is subject to the same annual renegotiation as headcount and infrastructure, it will consistently lose to operational priorities.</w:t>
      </w:r>
    </w:p>
    <w:p>
      <w:pPr>
        <w:spacing w:before="120" w:after="60" w:line="276"/>
      </w:pPr>
      <w:r>
        <w:rPr>
          <w:rFonts w:ascii="Calibri" w:cs="Calibri" w:eastAsia="Calibri" w:hAnsi="Calibri"/>
          <w:b/>
          <w:bCs/>
          <w:color w:val="1A1A1A"/>
          <w:sz w:val="22"/>
          <w:szCs w:val="22"/>
        </w:rPr>
        <w:t xml:space="preserve">Structure 2: The Idea-to-Deployment Pipeline</w:t>
      </w:r>
    </w:p>
    <w:p>
      <w:pPr>
        <w:spacing w:before="0" w:after="100" w:line="288"/>
      </w:pPr>
      <w:r>
        <w:rPr>
          <w:rFonts w:ascii="Calibri" w:cs="Calibri" w:eastAsia="Calibri" w:hAnsi="Calibri"/>
          <w:color w:val="1A1A1A"/>
          <w:sz w:val="22"/>
          <w:szCs w:val="22"/>
        </w:rPr>
        <w:t xml:space="preserve">A repeatable innovation process has five stages: ideation (structured capture of ideas from across the GCC), evaluation (scoring against feasibility, value, and strategic alignment), incubation (dedicated time and resources for proof of concept development), piloting (production-grade pilot with a defined success metric), and deployment (handoff to engineering for production deployment and scaling).</w:t>
      </w:r>
    </w:p>
    <w:p>
      <w:pPr>
        <w:spacing w:before="0" w:after="100" w:line="288"/>
      </w:pPr>
      <w:r>
        <w:rPr>
          <w:rFonts w:ascii="Calibri" w:cs="Calibri" w:eastAsia="Calibri" w:hAnsi="Calibri"/>
          <w:color w:val="1A1A1A"/>
          <w:sz w:val="22"/>
          <w:szCs w:val="22"/>
        </w:rPr>
        <w:t xml:space="preserve">The failure mode in most GCCs: ideation infrastructure without the rest of the pipeline. Hackathons and innovation challenges produce ideas. Without a funded incubation phase and a deployment pathway, those ideas sit in a backlog and the next hackathon produces the same frustration.</w:t>
      </w:r>
    </w:p>
    <w:p>
      <w:pPr>
        <w:spacing w:before="120" w:after="60" w:line="276"/>
      </w:pPr>
      <w:r>
        <w:rPr>
          <w:rFonts w:ascii="Calibri" w:cs="Calibri" w:eastAsia="Calibri" w:hAnsi="Calibri"/>
          <w:b/>
          <w:bCs/>
          <w:color w:val="1A1A1A"/>
          <w:sz w:val="22"/>
          <w:szCs w:val="22"/>
        </w:rPr>
        <w:t xml:space="preserve">Structure 3: Dedicated Innovation Time</w:t>
      </w:r>
    </w:p>
    <w:p>
      <w:pPr>
        <w:spacing w:before="0" w:after="100" w:line="288"/>
      </w:pPr>
      <w:r>
        <w:rPr>
          <w:rFonts w:ascii="Calibri" w:cs="Calibri" w:eastAsia="Calibri" w:hAnsi="Calibri"/>
          <w:color w:val="1A1A1A"/>
          <w:sz w:val="22"/>
          <w:szCs w:val="22"/>
        </w:rPr>
        <w:t xml:space="preserve">The 20% time model  -  reserving one day per week for innovation work  -  is documented as effective at Google and 3M but is rarely implemented with genuine commitment in GCCs. The version that works: a formally structured innovation sprint programme where engineers are released from project delivery for 8-12 weeks per year for dedicated innovation projects with defined deliverables and executive sponsorship.</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8.3 India Patent Strategy</w:t>
      </w:r>
    </w:p>
    <w:p>
      <w:pPr>
        <w:spacing w:before="0" w:after="100" w:line="288"/>
      </w:pPr>
      <w:r>
        <w:rPr>
          <w:rFonts w:ascii="Calibri" w:cs="Calibri" w:eastAsia="Calibri" w:hAnsi="Calibri"/>
          <w:color w:val="1A1A1A"/>
          <w:sz w:val="22"/>
          <w:szCs w:val="22"/>
        </w:rPr>
        <w:t xml:space="preserve">India's patent filing environment has improved significantly in the last five years. The average time from application to grant for technology patents has reduced from 5-7 years to 2-4 years following the Patent Office reform programme. The cost of filing and prosecuting a patent in India is approximately INR 50,000-2,00,000 for routine technology inventions. Defensive patent filings  -  filing to establish prior art rather than to assert  -  are a standard practice in large GCCs.</w:t>
      </w:r>
    </w:p>
    <w:p>
      <w:pPr>
        <w:spacing w:before="120" w:after="60" w:line="276"/>
      </w:pPr>
      <w:r>
        <w:rPr>
          <w:rFonts w:ascii="Calibri" w:cs="Calibri" w:eastAsia="Calibri" w:hAnsi="Calibri"/>
          <w:b/>
          <w:bCs/>
          <w:color w:val="1A1A1A"/>
          <w:sz w:val="22"/>
          <w:szCs w:val="22"/>
        </w:rPr>
        <w:t xml:space="preserve">The Patent Filing Framework</w:t>
      </w:r>
    </w:p>
    <w:p>
      <w:pPr>
        <w:spacing w:before="0" w:after="100" w:line="288"/>
      </w:pPr>
      <w:r>
        <w:rPr>
          <w:rFonts w:ascii="Calibri" w:cs="Calibri" w:eastAsia="Calibri" w:hAnsi="Calibri"/>
          <w:color w:val="1A1A1A"/>
          <w:sz w:val="22"/>
          <w:szCs w:val="22"/>
        </w:rPr>
        <w:t xml:space="preserve">Every GCC above Stage 3 maturity should have a formal patent programme with: a patent committee that reviews invention disclosures quarterly, a defined threshold for filing (not every disclosure is worth filing  -  the standard filter is commercial relevance and novelty), a relationship with a patent law firm experienced in technology patents, and an IP assignment architecture that clearly establishes the ownership of patents filed by India employees (this must be explicit in employment contracts).</w:t>
      </w:r>
    </w:p>
    <w:p>
      <w:pPr>
        <w:spacing w:before="0" w:after="100" w:line="288"/>
      </w:pPr>
      <w:r>
        <w:rPr>
          <w:rFonts w:ascii="Calibri" w:cs="Calibri" w:eastAsia="Calibri" w:hAnsi="Calibri"/>
          <w:color w:val="1A1A1A"/>
          <w:sz w:val="22"/>
          <w:szCs w:val="22"/>
        </w:rPr>
        <w:t xml:space="preserve">The benchmark for Large GCCs: 2-5 patent applications filed per 100 engineers annually. Mega GCCs with dedicated R&amp;D functions: 8-15 applications per 100 engineers. These benchmarks reflect active innovation programmes, not passive IP creation.</w:t>
      </w:r>
    </w:p>
    <w:p>
      <w:pPr>
        <w:spacing w:before="120" w:after="60" w:line="276"/>
      </w:pPr>
      <w:r>
        <w:rPr>
          <w:rFonts w:ascii="Calibri" w:cs="Calibri" w:eastAsia="Calibri" w:hAnsi="Calibri"/>
          <w:b/>
          <w:bCs/>
          <w:color w:val="1A1A1A"/>
          <w:sz w:val="22"/>
          <w:szCs w:val="22"/>
        </w:rPr>
        <w:t xml:space="preserve">US Patent Strategy for India GCCs</w:t>
      </w:r>
    </w:p>
    <w:p>
      <w:pPr>
        <w:spacing w:before="0" w:after="100" w:line="288"/>
      </w:pPr>
      <w:r>
        <w:rPr>
          <w:rFonts w:ascii="Calibri" w:cs="Calibri" w:eastAsia="Calibri" w:hAnsi="Calibri"/>
          <w:color w:val="1A1A1A"/>
          <w:sz w:val="22"/>
          <w:szCs w:val="22"/>
        </w:rPr>
        <w:t xml:space="preserve">Patents protecting commercially significant innovations should be filed in the US (USPTO) in addition to India, as US patents carry greater commercial value and enforcement options. The cost of a US patent from application to grant: USD 15,000-30,000 in professional fees over the 2-4 year prosecution period. For GCCs whose parent company's primary commercial market is the US, US patent protection for significant innovations is a standard requirement.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8.4 R&amp;D Tax Incentives: The Frameworks Available</w:t>
      </w:r>
    </w:p>
    <w:p>
      <w:pPr>
        <w:spacing w:before="120" w:after="60" w:line="276"/>
      </w:pPr>
      <w:r>
        <w:rPr>
          <w:rFonts w:ascii="Calibri" w:cs="Calibri" w:eastAsia="Calibri" w:hAnsi="Calibri"/>
          <w:b/>
          <w:bCs/>
          <w:color w:val="1A1A1A"/>
          <w:sz w:val="22"/>
          <w:szCs w:val="22"/>
        </w:rPr>
        <w:t xml:space="preserve">Section 35(2AB): Scientific Research Expenditure</w:t>
      </w:r>
    </w:p>
    <w:p>
      <w:pPr>
        <w:spacing w:before="0" w:after="100" w:line="288"/>
      </w:pPr>
      <w:r>
        <w:rPr>
          <w:rFonts w:ascii="Calibri" w:cs="Calibri" w:eastAsia="Calibri" w:hAnsi="Calibri"/>
          <w:color w:val="1A1A1A"/>
          <w:sz w:val="22"/>
          <w:szCs w:val="22"/>
        </w:rPr>
        <w:t xml:space="preserve">India's Income Tax Act Section 35(2AB) provides a 100% deduction (up from 150% pre-2020) for expenditure on scientific research approved by the Department of Scientific and Industrial Research (DSIR). DSIR recognition requires an application, a designated R&amp;D facility, and annual audit of R&amp;D expenditure.</w:t>
      </w:r>
    </w:p>
    <w:p>
      <w:pPr>
        <w:spacing w:before="0" w:after="100" w:line="288"/>
      </w:pPr>
      <w:r>
        <w:rPr>
          <w:rFonts w:ascii="Calibri" w:cs="Calibri" w:eastAsia="Calibri" w:hAnsi="Calibri"/>
          <w:color w:val="1A1A1A"/>
          <w:sz w:val="22"/>
          <w:szCs w:val="22"/>
        </w:rPr>
        <w:t xml:space="preserve">The net benefit: every INR 100 spent on qualifying R&amp;D reduces taxable income by INR 100 (at the standard 25.17% corporate tax rate, this saves INR 25.17 per INR 100 of R&amp;D spend). For GCCs with annual R&amp;D expenditure above INR 10 crore, DSIR recognition and the 35(2AB) deduction deliver material tax savings.</w:t>
      </w:r>
    </w:p>
    <w:p>
      <w:pPr>
        <w:spacing w:before="120" w:after="60" w:line="276"/>
      </w:pPr>
      <w:r>
        <w:rPr>
          <w:rFonts w:ascii="Calibri" w:cs="Calibri" w:eastAsia="Calibri" w:hAnsi="Calibri"/>
          <w:b/>
          <w:bCs/>
          <w:color w:val="1A1A1A"/>
          <w:sz w:val="22"/>
          <w:szCs w:val="22"/>
        </w:rPr>
        <w:t xml:space="preserve">DPIIT Startup Recognition for GCC Subsidiaries</w:t>
      </w:r>
    </w:p>
    <w:p>
      <w:pPr>
        <w:spacing w:before="0" w:after="100" w:line="288"/>
      </w:pPr>
      <w:r>
        <w:rPr>
          <w:rFonts w:ascii="Calibri" w:cs="Calibri" w:eastAsia="Calibri" w:hAnsi="Calibri"/>
          <w:color w:val="1A1A1A"/>
          <w:sz w:val="22"/>
          <w:szCs w:val="22"/>
        </w:rPr>
        <w:t xml:space="preserve">The Department for Promotion of Industry and Internal Trade (DPIIT) startup recognition programme provides recognised entities with: income tax exemption for three consecutive years out of the first ten years, capital gains exemption on investments from recognised funds, and fast-track IP application processing.</w:t>
      </w:r>
    </w:p>
    <w:p>
      <w:pPr>
        <w:spacing w:before="0" w:after="100" w:line="288"/>
      </w:pPr>
      <w:r>
        <w:rPr>
          <w:rFonts w:ascii="Calibri" w:cs="Calibri" w:eastAsia="Calibri" w:hAnsi="Calibri"/>
          <w:color w:val="1A1A1A"/>
          <w:sz w:val="22"/>
          <w:szCs w:val="22"/>
        </w:rPr>
        <w:t xml:space="preserve">GCC subsidiaries that qualify as startups under the DPIIT definition (entity less than 10 years old, annual turnover below INR 100 crore, innovative product or service) can access these benefits. Not all GCCs qualify, but for Nano and Micro GCCs in their first 3-5 years, DPIIT recognition is worth evaluating.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8.5 Chapter Summary: Seven Innovation Engine Principles</w:t>
      </w:r>
    </w:p>
    <w:p>
      <w:pPr>
        <w:pStyle w:val="ListParagraph"/>
        <w:numPr>
          <w:ilvl w:val="0"/>
          <w:numId w:val="2"/>
        </w:numPr>
        <w:spacing w:before="20" w:after="20" w:line="276"/>
      </w:pPr>
      <w:r>
        <w:rPr>
          <w:rFonts w:ascii="Calibri" w:cs="Calibri" w:eastAsia="Calibri" w:hAnsi="Calibri"/>
          <w:color w:val="1A1A1A"/>
          <w:sz w:val="22"/>
          <w:szCs w:val="22"/>
        </w:rPr>
        <w:t xml:space="preserve">Innovation without a protected budget is aspiration, not strategy. The protected budget principle is non-negotiable.</w:t>
      </w:r>
    </w:p>
    <w:p>
      <w:pPr>
        <w:pStyle w:val="ListParagraph"/>
        <w:numPr>
          <w:ilvl w:val="0"/>
          <w:numId w:val="2"/>
        </w:numPr>
        <w:spacing w:before="20" w:after="20" w:line="276"/>
      </w:pPr>
      <w:r>
        <w:rPr>
          <w:rFonts w:ascii="Calibri" w:cs="Calibri" w:eastAsia="Calibri" w:hAnsi="Calibri"/>
          <w:color w:val="1A1A1A"/>
          <w:sz w:val="22"/>
          <w:szCs w:val="22"/>
        </w:rPr>
        <w:t xml:space="preserve">Build the full pipeline: ideation, evaluation, incubation, pilot, deployment. Ideation without deployment infrastructure produces frustration.</w:t>
      </w:r>
    </w:p>
    <w:p>
      <w:pPr>
        <w:pStyle w:val="ListParagraph"/>
        <w:numPr>
          <w:ilvl w:val="0"/>
          <w:numId w:val="2"/>
        </w:numPr>
        <w:spacing w:before="20" w:after="20" w:line="276"/>
      </w:pPr>
      <w:r>
        <w:rPr>
          <w:rFonts w:ascii="Calibri" w:cs="Calibri" w:eastAsia="Calibri" w:hAnsi="Calibri"/>
          <w:color w:val="1A1A1A"/>
          <w:sz w:val="22"/>
          <w:szCs w:val="22"/>
        </w:rPr>
        <w:t xml:space="preserve">Dedicated innovation time (8-12 weeks per engineer per year in structured sprints) outperforms always-on 20% time models in GCC contexts.</w:t>
      </w:r>
    </w:p>
    <w:p>
      <w:pPr>
        <w:pStyle w:val="ListParagraph"/>
        <w:numPr>
          <w:ilvl w:val="0"/>
          <w:numId w:val="2"/>
        </w:numPr>
        <w:spacing w:before="20" w:after="20" w:line="276"/>
      </w:pPr>
      <w:r>
        <w:rPr>
          <w:rFonts w:ascii="Calibri" w:cs="Calibri" w:eastAsia="Calibri" w:hAnsi="Calibri"/>
          <w:color w:val="1A1A1A"/>
          <w:sz w:val="22"/>
          <w:szCs w:val="22"/>
        </w:rPr>
        <w:t xml:space="preserve">Every Stage 3+ GCC should have a formal patent programme with a quarterly review committee.</w:t>
      </w:r>
    </w:p>
    <w:p>
      <w:pPr>
        <w:pStyle w:val="ListParagraph"/>
        <w:numPr>
          <w:ilvl w:val="0"/>
          <w:numId w:val="2"/>
        </w:numPr>
        <w:spacing w:before="20" w:after="20" w:line="276"/>
      </w:pPr>
      <w:r>
        <w:rPr>
          <w:rFonts w:ascii="Calibri" w:cs="Calibri" w:eastAsia="Calibri" w:hAnsi="Calibri"/>
          <w:color w:val="1A1A1A"/>
          <w:sz w:val="22"/>
          <w:szCs w:val="22"/>
        </w:rPr>
        <w:t xml:space="preserve">File patents in the US for commercially significant inventions. India-only patents have limited commercial protection value for enterprises with US market exposure.</w:t>
      </w:r>
    </w:p>
    <w:p>
      <w:pPr>
        <w:pStyle w:val="ListParagraph"/>
        <w:numPr>
          <w:ilvl w:val="0"/>
          <w:numId w:val="2"/>
        </w:numPr>
        <w:spacing w:before="20" w:after="20" w:line="276"/>
      </w:pPr>
      <w:r>
        <w:rPr>
          <w:rFonts w:ascii="Calibri" w:cs="Calibri" w:eastAsia="Calibri" w:hAnsi="Calibri"/>
          <w:color w:val="1A1A1A"/>
          <w:sz w:val="22"/>
          <w:szCs w:val="22"/>
        </w:rPr>
        <w:t xml:space="preserve">Apply for DSIR recognition if annual R&amp;D expenditure exceeds INR 10 crore. The tax saving is material.</w:t>
      </w:r>
    </w:p>
    <w:p>
      <w:pPr>
        <w:pStyle w:val="ListParagraph"/>
        <w:numPr>
          <w:ilvl w:val="0"/>
          <w:numId w:val="2"/>
        </w:numPr>
        <w:spacing w:before="20" w:after="20" w:line="276"/>
      </w:pPr>
      <w:r>
        <w:rPr>
          <w:rFonts w:ascii="Calibri" w:cs="Calibri" w:eastAsia="Calibri" w:hAnsi="Calibri"/>
          <w:color w:val="1A1A1A"/>
          <w:sz w:val="22"/>
          <w:szCs w:val="22"/>
        </w:rPr>
        <w:t xml:space="preserve">Evaluate DPIIT startup recognition for GCC subsidiaries under 10 years old with qualifying innovation activities.</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NINE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ESG and Sustainability in the GCC Context</w:t>
      </w:r>
    </w:p>
    <w:p>
      <w:pPr>
        <w:spacing w:before="40" w:after="40" w:line="276"/>
      </w:pPr>
      <w:r>
        <w:rPr>
          <w:rFonts w:ascii="Calibri" w:cs="Calibri" w:eastAsia="Calibri" w:hAnsi="Calibri"/>
          <w:i/>
          <w:iCs/>
          <w:color w:val="555555"/>
          <w:sz w:val="21"/>
          <w:szCs w:val="21"/>
        </w:rPr>
        <w:t xml:space="preserve">Reporting Obligations, Green Infrastructure, and Embedding ESG into Operations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9.1 Why ESG Has Become a GCC Leadership Priority</w:t>
      </w:r>
    </w:p>
    <w:p>
      <w:pPr>
        <w:spacing w:before="0" w:after="100" w:line="288"/>
      </w:pPr>
      <w:r>
        <w:rPr>
          <w:rFonts w:ascii="Calibri" w:cs="Calibri" w:eastAsia="Calibri" w:hAnsi="Calibri"/>
          <w:color w:val="1A1A1A"/>
          <w:sz w:val="22"/>
          <w:szCs w:val="22"/>
        </w:rPr>
        <w:t xml:space="preserve">Three years ago, ESG in a GCC context meant writing a paragraph in the annual report about volunteer programmes and energy-efficient office lighting. In 2026, it means something materially different. Global parent companies are under mandatory ESG disclosure requirements in multiple jurisdictions: the EU Corporate Sustainability Reporting Directive (CSRD), the SEC climate disclosure rules for US-listed companies, and the UK Sustainability Disclosure Standards. These requirements cascade to subsidiaries. India GCCs that are significant contributors to their parent's global headcount, energy consumption, or carbon footprint are increasingly included in the parent's mandatory ESG reporting scope.</w:t>
      </w:r>
    </w:p>
    <w:p>
      <w:pPr>
        <w:spacing w:before="0" w:after="100" w:line="288"/>
      </w:pPr>
      <w:r>
        <w:rPr>
          <w:rFonts w:ascii="Calibri" w:cs="Calibri" w:eastAsia="Calibri" w:hAnsi="Calibri"/>
          <w:color w:val="1A1A1A"/>
          <w:sz w:val="22"/>
          <w:szCs w:val="22"/>
        </w:rPr>
        <w:t xml:space="preserve">At the same time, India has developed its own ESG reporting infrastructure. The Business Responsibility and Sustainability Reporting (BRSR) framework, mandatory for the top 1,000 listed companies on Indian exchanges from FY 2022-23, is influencing governance standards for unlisted entities including GCC subsidiaries. And India's carbon credit framework, operationalised through the Energy Conservation (Amendment) Act 2022 and the Carbon Credit Trading Scheme (CCTS) launched in 2023, creates market mechanisms that forward-looking GCCs are beginning to engage with.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9.2 ESG Reporting: What India GCCs Must Track</w:t>
      </w:r>
    </w:p>
    <w:p>
      <w:pPr>
        <w:spacing w:before="120" w:after="60" w:line="276"/>
      </w:pPr>
      <w:r>
        <w:rPr>
          <w:rFonts w:ascii="Calibri" w:cs="Calibri" w:eastAsia="Calibri" w:hAnsi="Calibri"/>
          <w:b/>
          <w:bCs/>
          <w:color w:val="1A1A1A"/>
          <w:sz w:val="22"/>
          <w:szCs w:val="22"/>
        </w:rPr>
        <w:t xml:space="preserve">Scope 1, 2, and 3 Emissions</w:t>
      </w:r>
    </w:p>
    <w:p>
      <w:pPr>
        <w:spacing w:before="0" w:after="100" w:line="288"/>
      </w:pPr>
      <w:r>
        <w:rPr>
          <w:rFonts w:ascii="Calibri" w:cs="Calibri" w:eastAsia="Calibri" w:hAnsi="Calibri"/>
          <w:color w:val="1A1A1A"/>
          <w:sz w:val="22"/>
          <w:szCs w:val="22"/>
        </w:rPr>
        <w:t xml:space="preserve">GCC ESG reporting typically covers three emissions scopes. Scope 1: direct emissions from owned sources (diesel generators, owned vehicles). Scope 2: indirect emissions from purchased electricity. Scope 3: value chain emissions including employee commuting, business travel, and the emissions associated with cloud computing infrastructure.</w:t>
      </w:r>
    </w:p>
    <w:p>
      <w:pPr>
        <w:spacing w:before="0" w:after="100" w:line="288"/>
      </w:pPr>
      <w:r>
        <w:rPr>
          <w:rFonts w:ascii="Calibri" w:cs="Calibri" w:eastAsia="Calibri" w:hAnsi="Calibri"/>
          <w:color w:val="1A1A1A"/>
          <w:sz w:val="22"/>
          <w:szCs w:val="22"/>
        </w:rPr>
        <w:t xml:space="preserve">For most GCCs, Scope 2 is the largest reportable emission category. India's electricity grid carbon intensity varies significantly by state: Telangana and Andhra Pradesh have high coal dependency; Tamil Nadu and Karnataka have higher renewable penetration. GCCs in Bengaluru and Chennai have lower Scope 2 emissions per unit of electricity consumed than equivalent centers in Hyderabad, purely due to grid mix.</w:t>
      </w:r>
    </w:p>
    <w:p>
      <w:pPr>
        <w:spacing w:before="120" w:after="60" w:line="276"/>
      </w:pPr>
      <w:r>
        <w:rPr>
          <w:rFonts w:ascii="Calibri" w:cs="Calibri" w:eastAsia="Calibri" w:hAnsi="Calibri"/>
          <w:b/>
          <w:bCs/>
          <w:color w:val="1A1A1A"/>
          <w:sz w:val="22"/>
          <w:szCs w:val="22"/>
        </w:rPr>
        <w:t xml:space="preserve">The BRSR Core Indicators for GCC Subsidiaries</w:t>
      </w:r>
    </w:p>
    <w:p>
      <w:pPr>
        <w:spacing w:before="0" w:after="100" w:line="288"/>
      </w:pPr>
      <w:r>
        <w:rPr>
          <w:rFonts w:ascii="Calibri" w:cs="Calibri" w:eastAsia="Calibri" w:hAnsi="Calibri"/>
          <w:color w:val="1A1A1A"/>
          <w:sz w:val="22"/>
          <w:szCs w:val="22"/>
        </w:rPr>
        <w:t xml:space="preserve">While BRSR is mandatory only for listed Indian companies, the BRSR framework provides the most practical ESG reporting template for GCC subsidiaries preparing their first sustainability disclosure. The nine BRSR principles cover: ethics and transparency, product sustainability, employee wellbeing, stakeholder engagement, human rights, environmental impact, policy advocacy responsibility, inclusive growth, and customer value. For GCCs, principles 3 (employee wellbeing), 5 (human rights in supply chain), and 6 (environmental impact) are the most material.</w:t>
      </w:r>
    </w:p>
    <w:p>
      <w:pPr>
        <w:spacing w:before="120" w:after="60" w:line="276"/>
      </w:pPr>
      <w:r>
        <w:rPr>
          <w:rFonts w:ascii="Calibri" w:cs="Calibri" w:eastAsia="Calibri" w:hAnsi="Calibri"/>
          <w:b/>
          <w:bCs/>
          <w:color w:val="1A1A1A"/>
          <w:sz w:val="22"/>
          <w:szCs w:val="22"/>
        </w:rPr>
        <w:t xml:space="preserve">Social Impact Metrics</w:t>
      </w:r>
    </w:p>
    <w:p>
      <w:pPr>
        <w:spacing w:before="0" w:after="100" w:line="288"/>
      </w:pPr>
      <w:r>
        <w:rPr>
          <w:rFonts w:ascii="Calibri" w:cs="Calibri" w:eastAsia="Calibri" w:hAnsi="Calibri"/>
          <w:color w:val="1A1A1A"/>
          <w:sz w:val="22"/>
          <w:szCs w:val="22"/>
        </w:rPr>
        <w:t xml:space="preserve">ESG social reporting for GCCs covers: workforce composition (gender, age, diversity metrics), employee health and safety (LTIFR, medical coverage, mental health programmes), community investment (CSR spend and outcomes under Companies Act Section 135), and supply chain labour standards.</w:t>
      </w:r>
    </w:p>
    <w:p>
      <w:pPr>
        <w:spacing w:before="0" w:after="100" w:line="288"/>
      </w:pPr>
      <w:r>
        <w:rPr>
          <w:rFonts w:ascii="Calibri" w:cs="Calibri" w:eastAsia="Calibri" w:hAnsi="Calibri"/>
          <w:color w:val="1A1A1A"/>
          <w:sz w:val="22"/>
          <w:szCs w:val="22"/>
        </w:rPr>
        <w:t xml:space="preserve">India's Companies Act 2013 requires companies with net profit above INR 5 crore to spend 2% of three-year average net profit on CSR activities. Most Large and Mega GCCs meet this threshold. The CSR programme design  -  what activities are funded, in which communities, and with what measurable outcomes  -  is both a compliance obligation and a brand and community engagement opportunity.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9.3 Green Building and Campus Sustainability</w:t>
      </w:r>
    </w:p>
    <w:p>
      <w:pPr>
        <w:spacing w:before="120" w:after="60" w:line="276"/>
      </w:pPr>
      <w:r>
        <w:rPr>
          <w:rFonts w:ascii="Calibri" w:cs="Calibri" w:eastAsia="Calibri" w:hAnsi="Calibri"/>
          <w:b/>
          <w:bCs/>
          <w:color w:val="1A1A1A"/>
          <w:sz w:val="22"/>
          <w:szCs w:val="22"/>
        </w:rPr>
        <w:t xml:space="preserve">LEED and IGBC Certification</w:t>
      </w:r>
    </w:p>
    <w:p>
      <w:pPr>
        <w:spacing w:before="0" w:after="100" w:line="288"/>
      </w:pPr>
      <w:r>
        <w:rPr>
          <w:rFonts w:ascii="Calibri" w:cs="Calibri" w:eastAsia="Calibri" w:hAnsi="Calibri"/>
          <w:color w:val="1A1A1A"/>
          <w:sz w:val="22"/>
          <w:szCs w:val="22"/>
        </w:rPr>
        <w:t xml:space="preserve">The most widely recognised green building standards for GCC office space are LEED (Leadership in Energy and Environmental Design) and IGBC (Indian Green Building Council). LEED certification is the global standard recognised by multinational parent companies. IGBC is the India-specific standard with comparable rigour.</w:t>
      </w:r>
    </w:p>
    <w:p>
      <w:pPr>
        <w:spacing w:before="0" w:after="100" w:line="288"/>
      </w:pPr>
      <w:r>
        <w:rPr>
          <w:rFonts w:ascii="Calibri" w:cs="Calibri" w:eastAsia="Calibri" w:hAnsi="Calibri"/>
          <w:color w:val="1A1A1A"/>
          <w:sz w:val="22"/>
          <w:szCs w:val="22"/>
        </w:rPr>
        <w:t xml:space="preserve">GCCs occupying landlord-owned buildings in Grade A parks  -  which is the majority of India's Large and Mega GCC real estate  -  are typically in LEED or IGBC certified buildings. The certification is the landlord's responsibility for the building shell; the tenant's responsibility is to operate within the building in ways consistent with the certification (waste separation, energy management, water conservation).</w:t>
      </w:r>
    </w:p>
    <w:p>
      <w:pPr>
        <w:spacing w:before="0" w:after="100" w:line="288"/>
      </w:pPr>
      <w:r>
        <w:rPr>
          <w:rFonts w:ascii="Calibri" w:cs="Calibri" w:eastAsia="Calibri" w:hAnsi="Calibri"/>
          <w:color w:val="1A1A1A"/>
          <w:sz w:val="22"/>
          <w:szCs w:val="22"/>
        </w:rPr>
        <w:t xml:space="preserve">GCCs with company-owned or long-term leased campuses have a direct responsibility for building certification and sustainable operations. The certification process for a new campus takes 12-18 months and adds 3-8% to construction cost. The return: lower operating costs (energy and water savings of 20-30% compared to non-certified buildings), landlord positioning in competitive talent markets where sustainability matters to candidates, and compliance with parent company green campus policies.</w:t>
      </w:r>
    </w:p>
    <w:p>
      <w:pPr>
        <w:spacing w:before="120" w:after="60" w:line="276"/>
      </w:pPr>
      <w:r>
        <w:rPr>
          <w:rFonts w:ascii="Calibri" w:cs="Calibri" w:eastAsia="Calibri" w:hAnsi="Calibri"/>
          <w:b/>
          <w:bCs/>
          <w:color w:val="1A1A1A"/>
          <w:sz w:val="22"/>
          <w:szCs w:val="22"/>
        </w:rPr>
        <w:t xml:space="preserve">Renewable Energy Procurement</w:t>
      </w:r>
    </w:p>
    <w:p>
      <w:pPr>
        <w:spacing w:before="0" w:after="100" w:line="288"/>
      </w:pPr>
      <w:r>
        <w:rPr>
          <w:rFonts w:ascii="Calibri" w:cs="Calibri" w:eastAsia="Calibri" w:hAnsi="Calibri"/>
          <w:color w:val="1A1A1A"/>
          <w:sz w:val="22"/>
          <w:szCs w:val="22"/>
        </w:rPr>
        <w:t xml:space="preserve">India's Renewable Energy Certificate (REC) market and the Green Energy Open Access framework (effective from June 2022) allow commercial consumers to procure renewable electricity directly from renewable energy generators, bypassing the state electricity board supply. For GCCs with annual electricity consumption above 500 kWh, renewable energy procurement via open access or power purchase agreements (PPAs) is both cost-competitive and material for Scope 2 reporting.</w:t>
      </w:r>
    </w:p>
    <w:p>
      <w:pPr>
        <w:spacing w:before="0" w:after="100" w:line="288"/>
      </w:pPr>
      <w:r>
        <w:rPr>
          <w:rFonts w:ascii="Calibri" w:cs="Calibri" w:eastAsia="Calibri" w:hAnsi="Calibri"/>
          <w:color w:val="1A1A1A"/>
          <w:sz w:val="22"/>
          <w:szCs w:val="22"/>
        </w:rPr>
        <w:t xml:space="preserve">The practical path for most GCCs: renewable energy procurement via RECs for immediate compliance reporting, with a transition plan to direct PPAs for large campuses where the economics support it.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9.4 ESG and the Employer Brand</w:t>
      </w:r>
    </w:p>
    <w:p>
      <w:pPr>
        <w:spacing w:before="0" w:after="100" w:line="288"/>
      </w:pPr>
      <w:r>
        <w:rPr>
          <w:rFonts w:ascii="Calibri" w:cs="Calibri" w:eastAsia="Calibri" w:hAnsi="Calibri"/>
          <w:color w:val="1A1A1A"/>
          <w:sz w:val="22"/>
          <w:szCs w:val="22"/>
        </w:rPr>
        <w:t xml:space="preserve">ESG performance is increasingly a factor in talent attraction and retention, particularly for the under-35 professional segment that represents the majority of GCC hiring. Candidates evaluate employer ESG credentials as part of their employment decision. This is not a fringe concern  -  LinkedIn data from India shows that job seekers who screen for ESG criteria are disproportionately from the technology and analytics talent segments that GCCs compete hardest for.</w:t>
      </w:r>
    </w:p>
    <w:p>
      <w:pPr>
        <w:spacing w:before="0" w:after="100" w:line="288"/>
      </w:pPr>
      <w:r>
        <w:rPr>
          <w:rFonts w:ascii="Calibri" w:cs="Calibri" w:eastAsia="Calibri" w:hAnsi="Calibri"/>
          <w:color w:val="1A1A1A"/>
          <w:sz w:val="22"/>
          <w:szCs w:val="22"/>
        </w:rPr>
        <w:t xml:space="preserve">The ESG-employer brand connection is most powerful when it is specific and verifiable. "We are committed to sustainability" produces no competitive differentiation. "Our Bengaluru campus runs 80% on renewable energy, we have filed 12 patents on energy-efficient computing, and we planted 25,000 trees as part of our 2025 CSR programme" is verifiable, specific, and differentiating.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9.5 Chapter Summary: Six ESG Principles for GCC Leaders</w:t>
      </w:r>
    </w:p>
    <w:p>
      <w:pPr>
        <w:pStyle w:val="ListParagraph"/>
        <w:numPr>
          <w:ilvl w:val="0"/>
          <w:numId w:val="2"/>
        </w:numPr>
        <w:spacing w:before="20" w:after="20" w:line="276"/>
      </w:pPr>
      <w:r>
        <w:rPr>
          <w:rFonts w:ascii="Calibri" w:cs="Calibri" w:eastAsia="Calibri" w:hAnsi="Calibri"/>
          <w:color w:val="1A1A1A"/>
          <w:sz w:val="22"/>
          <w:szCs w:val="22"/>
        </w:rPr>
        <w:t xml:space="preserve">Map your parent company's ESG reporting obligations. If the parent is subject to CSRD, SEC climate rules, or UK SDS, your India operations are likely in scope.</w:t>
      </w:r>
    </w:p>
    <w:p>
      <w:pPr>
        <w:pStyle w:val="ListParagraph"/>
        <w:numPr>
          <w:ilvl w:val="0"/>
          <w:numId w:val="2"/>
        </w:numPr>
        <w:spacing w:before="20" w:after="20" w:line="276"/>
      </w:pPr>
      <w:r>
        <w:rPr>
          <w:rFonts w:ascii="Calibri" w:cs="Calibri" w:eastAsia="Calibri" w:hAnsi="Calibri"/>
          <w:color w:val="1A1A1A"/>
          <w:sz w:val="22"/>
          <w:szCs w:val="22"/>
        </w:rPr>
        <w:t xml:space="preserve">Track Scope 1 and Scope 2 emissions. Start with electricity consumption and fuel use. Add Scope 3 (commuting, travel, cloud) in year two.</w:t>
      </w:r>
    </w:p>
    <w:p>
      <w:pPr>
        <w:pStyle w:val="ListParagraph"/>
        <w:numPr>
          <w:ilvl w:val="0"/>
          <w:numId w:val="2"/>
        </w:numPr>
        <w:spacing w:before="20" w:after="20" w:line="276"/>
      </w:pPr>
      <w:r>
        <w:rPr>
          <w:rFonts w:ascii="Calibri" w:cs="Calibri" w:eastAsia="Calibri" w:hAnsi="Calibri"/>
          <w:color w:val="1A1A1A"/>
          <w:sz w:val="22"/>
          <w:szCs w:val="22"/>
        </w:rPr>
        <w:t xml:space="preserve">Use BRSR as your reporting template even if you are not legally required to file it. It is the most practical ESG framework for India operations.</w:t>
      </w:r>
    </w:p>
    <w:p>
      <w:pPr>
        <w:pStyle w:val="ListParagraph"/>
        <w:numPr>
          <w:ilvl w:val="0"/>
          <w:numId w:val="2"/>
        </w:numPr>
        <w:spacing w:before="20" w:after="20" w:line="276"/>
      </w:pPr>
      <w:r>
        <w:rPr>
          <w:rFonts w:ascii="Calibri" w:cs="Calibri" w:eastAsia="Calibri" w:hAnsi="Calibri"/>
          <w:color w:val="1A1A1A"/>
          <w:sz w:val="22"/>
          <w:szCs w:val="22"/>
        </w:rPr>
        <w:t xml:space="preserve">Procure renewable energy via RECs or open access for significant electricity consumers. The cost is competitive and the Scope 2 reporting benefit is immediate.</w:t>
      </w:r>
    </w:p>
    <w:p>
      <w:pPr>
        <w:pStyle w:val="ListParagraph"/>
        <w:numPr>
          <w:ilvl w:val="0"/>
          <w:numId w:val="2"/>
        </w:numPr>
        <w:spacing w:before="20" w:after="20" w:line="276"/>
      </w:pPr>
      <w:r>
        <w:rPr>
          <w:rFonts w:ascii="Calibri" w:cs="Calibri" w:eastAsia="Calibri" w:hAnsi="Calibri"/>
          <w:color w:val="1A1A1A"/>
          <w:sz w:val="22"/>
          <w:szCs w:val="22"/>
        </w:rPr>
        <w:t xml:space="preserve">Design CSR programmes for verifiable community outcomes, not compliance expenditure. Specific, measurable outcomes strengthen employer brand and community relationships simultaneously.</w:t>
      </w:r>
    </w:p>
    <w:p>
      <w:pPr>
        <w:pStyle w:val="ListParagraph"/>
        <w:numPr>
          <w:ilvl w:val="0"/>
          <w:numId w:val="2"/>
        </w:numPr>
        <w:spacing w:before="20" w:after="20" w:line="276"/>
      </w:pPr>
      <w:r>
        <w:rPr>
          <w:rFonts w:ascii="Calibri" w:cs="Calibri" w:eastAsia="Calibri" w:hAnsi="Calibri"/>
          <w:color w:val="1A1A1A"/>
          <w:sz w:val="22"/>
          <w:szCs w:val="22"/>
        </w:rPr>
        <w:t xml:space="preserve">ESG is a talent attraction variable for the technology talent segment. Make your ESG credentials specific, verifiable, and visible in the employer brand.</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GCC Leader's Career Architecture</w:t>
      </w:r>
    </w:p>
    <w:p>
      <w:pPr>
        <w:spacing w:before="40" w:after="40" w:line="276"/>
      </w:pPr>
      <w:r>
        <w:rPr>
          <w:rFonts w:ascii="Calibri" w:cs="Calibri" w:eastAsia="Calibri" w:hAnsi="Calibri"/>
          <w:i/>
          <w:iCs/>
          <w:color w:val="555555"/>
          <w:sz w:val="21"/>
          <w:szCs w:val="21"/>
        </w:rPr>
        <w:t xml:space="preserve">From Functional Lead to India MD to Global CXO: Mapping the Path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10.1 The Most Underdocumented Career Path in Indian Business</w:t>
      </w:r>
    </w:p>
    <w:p>
      <w:pPr>
        <w:spacing w:before="0" w:after="100" w:line="288"/>
      </w:pPr>
      <w:r>
        <w:rPr>
          <w:rFonts w:ascii="Calibri" w:cs="Calibri" w:eastAsia="Calibri" w:hAnsi="Calibri"/>
          <w:color w:val="1A1A1A"/>
          <w:sz w:val="22"/>
          <w:szCs w:val="22"/>
        </w:rPr>
        <w:t xml:space="preserve">India's GCC ecosystem employs roughly 2 million professionals and is led by approximately 2,000 senior GCC leaders  -  GCC Heads, MDs, Country Heads, and VP-level site leaders. The career path that produces these leaders is almost completely undocumented. Unlike consulting, investment banking, or product management  -  where career ladders, milestone roles, and transition playbooks are well articulated  -  GCC leadership development happens largely through informal apprenticeship, NASSCOM community relationships, and the occasional external executive coach.</w:t>
      </w:r>
    </w:p>
    <w:p>
      <w:pPr>
        <w:spacing w:before="0" w:after="100" w:line="288"/>
      </w:pPr>
      <w:r>
        <w:rPr>
          <w:rFonts w:ascii="Calibri" w:cs="Calibri" w:eastAsia="Calibri" w:hAnsi="Calibri"/>
          <w:color w:val="1A1A1A"/>
          <w:sz w:val="22"/>
          <w:szCs w:val="22"/>
        </w:rPr>
        <w:t xml:space="preserve">This matters because the supply of qualified GCC leaders is not keeping pace with the ecosystem's growth. As India's GCC count grows from 2,000 toward the 2030 target of 2,800-3,000, the demand for capable GCC Heads grows with it. But the pipeline of professionals who have the combination of domain depth, operational leadership, and HQ translation skills that the role requires is thin. Documenting the career architecture is not an academic exercise  -  it is a supply-chain problem for the ecosystem.</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10.2 The Four Career Stages</w:t>
      </w:r>
    </w:p>
    <w:p>
      <w:pPr>
        <w:spacing w:before="120" w:after="60" w:line="276"/>
      </w:pPr>
      <w:r>
        <w:rPr>
          <w:rFonts w:ascii="Calibri" w:cs="Calibri" w:eastAsia="Calibri" w:hAnsi="Calibri"/>
          <w:b/>
          <w:bCs/>
          <w:color w:val="1A1A1A"/>
          <w:sz w:val="22"/>
          <w:szCs w:val="22"/>
        </w:rPr>
        <w:t xml:space="preserve">Stage 1: The Domain Expert (Years 0-10)</w:t>
      </w:r>
    </w:p>
    <w:p>
      <w:pPr>
        <w:spacing w:before="0" w:after="100" w:line="288"/>
      </w:pPr>
      <w:r>
        <w:rPr>
          <w:rFonts w:ascii="Calibri" w:cs="Calibri" w:eastAsia="Calibri" w:hAnsi="Calibri"/>
          <w:color w:val="1A1A1A"/>
          <w:sz w:val="22"/>
          <w:szCs w:val="22"/>
        </w:rPr>
        <w:t xml:space="preserve">The GCC Head almost never starts as a general manager. The profile that produces the best GCC leaders begins with deep domain expertise: 8-12 years in a specific function (software engineering, financial services technology, data science, operations management) that gives the leader credibility in the technical and domain conversations that GCC leadership requires. Leaders who arrive in GCC leadership without this foundation consistently struggle to command the technical respect of their teams and the functional respect of global stakeholders.</w:t>
      </w:r>
    </w:p>
    <w:p>
      <w:pPr>
        <w:spacing w:before="0" w:after="100" w:line="288"/>
      </w:pPr>
      <w:r>
        <w:rPr>
          <w:rFonts w:ascii="Calibri" w:cs="Calibri" w:eastAsia="Calibri" w:hAnsi="Calibri"/>
          <w:color w:val="1A1A1A"/>
          <w:sz w:val="22"/>
          <w:szCs w:val="22"/>
        </w:rPr>
        <w:t xml:space="preserve">The critical investment at Stage 1: choose a domain and go deep. The generalist path  -  moving across functions every 2-3 years  -  produces breadth without credibility. The GCC leaders who advance fastest are those who become genuinely expert in something before they broaden.</w:t>
      </w:r>
    </w:p>
    <w:p>
      <w:pPr>
        <w:spacing w:before="120" w:after="60" w:line="276"/>
      </w:pPr>
      <w:r>
        <w:rPr>
          <w:rFonts w:ascii="Calibri" w:cs="Calibri" w:eastAsia="Calibri" w:hAnsi="Calibri"/>
          <w:b/>
          <w:bCs/>
          <w:color w:val="1A1A1A"/>
          <w:sz w:val="22"/>
          <w:szCs w:val="22"/>
        </w:rPr>
        <w:t xml:space="preserve">Stage 2: The Operational Leader (Years 10-16)</w:t>
      </w:r>
    </w:p>
    <w:p>
      <w:pPr>
        <w:spacing w:before="0" w:after="100" w:line="288"/>
      </w:pPr>
      <w:r>
        <w:rPr>
          <w:rFonts w:ascii="Calibri" w:cs="Calibri" w:eastAsia="Calibri" w:hAnsi="Calibri"/>
          <w:color w:val="1A1A1A"/>
          <w:sz w:val="22"/>
          <w:szCs w:val="22"/>
        </w:rPr>
        <w:t xml:space="preserve">The transition from domain expert to operational leader is the first significant career inflection point. It requires developing skills that are not domain-specific: P&amp;L accountability, large team management, cross-functional stakeholder management, and the HQ translation capability that is the defining skill of effective GCC leadership.</w:t>
      </w:r>
    </w:p>
    <w:p>
      <w:pPr>
        <w:spacing w:before="0" w:after="100" w:line="288"/>
      </w:pPr>
      <w:r>
        <w:rPr>
          <w:rFonts w:ascii="Calibri" w:cs="Calibri" w:eastAsia="Calibri" w:hAnsi="Calibri"/>
          <w:color w:val="1A1A1A"/>
          <w:sz w:val="22"/>
          <w:szCs w:val="22"/>
        </w:rPr>
        <w:t xml:space="preserve">This stage typically includes: a first people management role of 20-100 direct and indirect reports, a first significant HQ engagement responsibility (presenting to global leadership, participating in global strategy processes), and a first governance accountability (running a function or a CoE with defined delivery obligations and budget responsibility).</w:t>
      </w:r>
    </w:p>
    <w:p>
      <w:pPr>
        <w:spacing w:before="0" w:after="100" w:line="288"/>
      </w:pPr>
      <w:r>
        <w:rPr>
          <w:rFonts w:ascii="Calibri" w:cs="Calibri" w:eastAsia="Calibri" w:hAnsi="Calibri"/>
          <w:color w:val="1A1A1A"/>
          <w:sz w:val="22"/>
          <w:szCs w:val="22"/>
        </w:rPr>
        <w:t xml:space="preserve">The investment that accelerates this stage: an external leadership development programme  -  IIM, ISB, or a global executive MBA  -  that builds general management and financial fluency alongside the operational role. GCC leaders who have formal management education alongside their domain expertise have measurably higher upward mobility than those with domain expertise alone.</w:t>
      </w:r>
    </w:p>
    <w:p>
      <w:pPr>
        <w:spacing w:before="120" w:after="60" w:line="276"/>
      </w:pPr>
      <w:r>
        <w:rPr>
          <w:rFonts w:ascii="Calibri" w:cs="Calibri" w:eastAsia="Calibri" w:hAnsi="Calibri"/>
          <w:b/>
          <w:bCs/>
          <w:color w:val="1A1A1A"/>
          <w:sz w:val="22"/>
          <w:szCs w:val="22"/>
        </w:rPr>
        <w:t xml:space="preserve">Stage 3: The GCC Leader (Years 16-24)</w:t>
      </w:r>
    </w:p>
    <w:p>
      <w:pPr>
        <w:spacing w:before="0" w:after="100" w:line="288"/>
      </w:pPr>
      <w:r>
        <w:rPr>
          <w:rFonts w:ascii="Calibri" w:cs="Calibri" w:eastAsia="Calibri" w:hAnsi="Calibri"/>
          <w:color w:val="1A1A1A"/>
          <w:sz w:val="22"/>
          <w:szCs w:val="22"/>
        </w:rPr>
        <w:t xml:space="preserve">The first GCC Head or India MD role typically comes between year 16 and year 24 of a career, following a progression through functional leadership to a role that carries the full center's P&amp;L, governance, and external stakeholder responsibilities. This is the role most aspired to in the ecosystem and the one where the failure rate is highest.</w:t>
      </w:r>
    </w:p>
    <w:p>
      <w:pPr>
        <w:spacing w:before="0" w:after="100" w:line="288"/>
      </w:pPr>
      <w:r>
        <w:rPr>
          <w:rFonts w:ascii="Calibri" w:cs="Calibri" w:eastAsia="Calibri" w:hAnsi="Calibri"/>
          <w:color w:val="1A1A1A"/>
          <w:sz w:val="22"/>
          <w:szCs w:val="22"/>
        </w:rPr>
        <w:t xml:space="preserve">The failure modes at Stage 3 are specific. First: the transition from functional leader to enterprise leader. A GCC Head who continues to manage as a senior functional leader  -  going deep into engineering problems, dominating the analytics strategy, driving HR decisions personally  -  fails to develop the leadership layer below them and creates a bottleneck. The shift is from doing to enabling: the GCC Head's primary accountability is the health of the organization, not the quality of any individual function.</w:t>
      </w:r>
    </w:p>
    <w:p>
      <w:pPr>
        <w:spacing w:before="0" w:after="100" w:line="288"/>
      </w:pPr>
      <w:r>
        <w:rPr>
          <w:rFonts w:ascii="Calibri" w:cs="Calibri" w:eastAsia="Calibri" w:hAnsi="Calibri"/>
          <w:color w:val="1A1A1A"/>
          <w:sz w:val="22"/>
          <w:szCs w:val="22"/>
        </w:rPr>
        <w:t xml:space="preserve">Second: the HQ relationship. GCC Heads who fail to invest in their relationship with global leadership  -  who are excellent India operators but invisible at the enterprise strategy table  -  find themselves executing instructions rather than shaping direction. The most effective GCC leaders spend 20-25% of their time on the HQ relationship: quarterly business reviews, strategy offsites, global leadership team participation, and informal stakeholder management.</w:t>
      </w:r>
    </w:p>
    <w:p>
      <w:pPr>
        <w:spacing w:before="0" w:after="100" w:line="288"/>
      </w:pPr>
      <w:r>
        <w:rPr>
          <w:rFonts w:ascii="Calibri" w:cs="Calibri" w:eastAsia="Calibri" w:hAnsi="Calibri"/>
          <w:color w:val="1A1A1A"/>
          <w:sz w:val="22"/>
          <w:szCs w:val="22"/>
        </w:rPr>
        <w:t xml:space="preserve">Third: the external community. GCC Heads who operate in isolation  -  who do not participate in NASSCOM working groups, sector forums, or peer networks  -  miss the intelligence, the talent network access, and the reputation capital that the external community provides. The AIM Top 25 data is instructive: 72% of recognised GCC leaders hold external board or advisory roles. This is not a coincidence.</w:t>
      </w:r>
    </w:p>
    <w:p>
      <w:pPr>
        <w:spacing w:before="120" w:after="60" w:line="276"/>
      </w:pPr>
      <w:r>
        <w:rPr>
          <w:rFonts w:ascii="Calibri" w:cs="Calibri" w:eastAsia="Calibri" w:hAnsi="Calibri"/>
          <w:b/>
          <w:bCs/>
          <w:color w:val="1A1A1A"/>
          <w:sz w:val="22"/>
          <w:szCs w:val="22"/>
        </w:rPr>
        <w:t xml:space="preserve">Stage 4: The Global Executive (Years 24+)</w:t>
      </w:r>
    </w:p>
    <w:p>
      <w:pPr>
        <w:spacing w:before="0" w:after="100" w:line="288"/>
      </w:pPr>
      <w:r>
        <w:rPr>
          <w:rFonts w:ascii="Calibri" w:cs="Calibri" w:eastAsia="Calibri" w:hAnsi="Calibri"/>
          <w:color w:val="1A1A1A"/>
          <w:sz w:val="22"/>
          <w:szCs w:val="22"/>
        </w:rPr>
        <w:t xml:space="preserve">A growing number of India GCC leaders are transitioning to global executive roles: global CTO, global COO, regional P&amp;L owner, or board positions. This transition was rare before 2018 and is increasingly common as the GCC ecosystem matures and global enterprises recognise that their most operationally experienced leaders are in India.</w:t>
      </w:r>
    </w:p>
    <w:p>
      <w:pPr>
        <w:spacing w:before="0" w:after="100" w:line="288"/>
      </w:pPr>
      <w:r>
        <w:rPr>
          <w:rFonts w:ascii="Calibri" w:cs="Calibri" w:eastAsia="Calibri" w:hAnsi="Calibri"/>
          <w:color w:val="1A1A1A"/>
          <w:sz w:val="22"/>
          <w:szCs w:val="22"/>
        </w:rPr>
        <w:t xml:space="preserve">The prerequisites for the global transition: at least one 12-24 month rotation in a non-India role during the career (HQ, another regional office, or a strategic initiative with global scope), board or advisory experience that demonstrates governance capability beyond India operations, and a global stakeholder network that the individual maintains actively through external community engagement.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10.3 Compensation Benchmarks: What the Role Pays</w:t>
      </w:r>
    </w:p>
    <w:p>
      <w:pPr>
        <w:spacing w:before="0" w:after="100" w:line="288"/>
      </w:pPr>
      <w:r>
        <w:rPr>
          <w:rFonts w:ascii="Calibri" w:cs="Calibri" w:eastAsia="Calibri" w:hAnsi="Calibri"/>
          <w:color w:val="1A1A1A"/>
          <w:sz w:val="22"/>
          <w:szCs w:val="22"/>
        </w:rPr>
        <w:t xml:space="preserve">GCC leadership compensation in India is not publicly disclosed in the way that public company executive compensation is. The following benchmarks are drawn from Radford, Mercer, and NASSCOM community data, calibrated for 2025-2026 market conditions.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Base Salary Range (INR per annum)</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Total Compensation (Base + Variable + ESOP)</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Small GCC Head (300-1,000)</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1.5 - 2.5 crore</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2 - 4 crore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Medium GCC Head (1,000-3,000)</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2.5 - 4 crore</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4 - 7 crore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 GCC Head (3,000-10,000)</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4 - 7 crore</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7 - 15 crore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Mega GCC Head (10,000+)</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6 - 12 crore</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12 - 25 crore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Portfolio GCC Director</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4 - 8 crore</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8 - 18 crore</w:t>
            </w:r>
          </w:p>
        </w:tc>
      </w:tr>
    </w:tbl>
    <w:p>
      <w:pPr>
        <w:spacing w:before="120" w:after="0"/>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Variable compensation for GCC Heads is typically 25-40% of total compensation, tied to a combination of center growth, delivery quality, talent metrics, and strategic objective achievement. ESOP allocation for India GCC Heads of listed parent companies is common for Large and Mega GCCs and increasingly offered at Medium GCC scale.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10.4 Building Career Capital: The NASSCOM and AIM Playbook</w:t>
      </w:r>
    </w:p>
    <w:p>
      <w:pPr>
        <w:spacing w:before="0" w:after="100" w:line="288"/>
      </w:pPr>
      <w:r>
        <w:rPr>
          <w:rFonts w:ascii="Calibri" w:cs="Calibri" w:eastAsia="Calibri" w:hAnsi="Calibri"/>
          <w:color w:val="1A1A1A"/>
          <w:sz w:val="22"/>
          <w:szCs w:val="22"/>
        </w:rPr>
        <w:t xml:space="preserve">Career capital in the GCC ecosystem is built through community engagement. This is not networking for its own sake  -  it is the systematic development of reputation, relationships, and recognition that creates professional optionality.</w:t>
      </w:r>
    </w:p>
    <w:p>
      <w:pPr>
        <w:spacing w:before="0" w:after="100" w:line="288"/>
      </w:pPr>
      <w:r>
        <w:rPr>
          <w:rFonts w:ascii="Calibri" w:cs="Calibri" w:eastAsia="Calibri" w:hAnsi="Calibri"/>
          <w:color w:val="1A1A1A"/>
          <w:sz w:val="22"/>
          <w:szCs w:val="22"/>
        </w:rPr>
        <w:t xml:space="preserve">The practical playbook: contribute to the NASSCOM GCC community platform with substantive content (published research, case studies, opinion pieces) rather than promotional announcements. Participate in NASSCOM working groups  -  the GCC community working group, the talent and diversity working group, or sector-specific groups. Apply for AIM recognition programmes with a genuine, well-documented case. Speak at NASSCOM events, CII forums, and sector conferences with content that provides genuine value to peers.</w:t>
      </w:r>
    </w:p>
    <w:p>
      <w:pPr>
        <w:spacing w:before="0" w:after="100" w:line="288"/>
      </w:pPr>
      <w:r>
        <w:rPr>
          <w:rFonts w:ascii="Calibri" w:cs="Calibri" w:eastAsia="Calibri" w:hAnsi="Calibri"/>
          <w:color w:val="1A1A1A"/>
          <w:sz w:val="22"/>
          <w:szCs w:val="22"/>
        </w:rPr>
        <w:t xml:space="preserve">The return on community investment is measured over 3-5 year cycles, not quarterly. Leaders who invest consistently in the community for five years build reputation and relationship assets that create career opportunities, talent access, and stakeholder influence that cannot be purchased or shortcut.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10.5 Chapter Summary: Seven Career Architecture Principles</w:t>
      </w:r>
    </w:p>
    <w:p>
      <w:pPr>
        <w:pStyle w:val="ListParagraph"/>
        <w:numPr>
          <w:ilvl w:val="0"/>
          <w:numId w:val="2"/>
        </w:numPr>
        <w:spacing w:before="20" w:after="20" w:line="276"/>
      </w:pPr>
      <w:r>
        <w:rPr>
          <w:rFonts w:ascii="Calibri" w:cs="Calibri" w:eastAsia="Calibri" w:hAnsi="Calibri"/>
          <w:color w:val="1A1A1A"/>
          <w:sz w:val="22"/>
          <w:szCs w:val="22"/>
        </w:rPr>
        <w:t xml:space="preserve">Go deep in a domain before broadening. The GCC leaders who advance fastest are those who became genuinely expert in something in their first decade.</w:t>
      </w:r>
    </w:p>
    <w:p>
      <w:pPr>
        <w:pStyle w:val="ListParagraph"/>
        <w:numPr>
          <w:ilvl w:val="0"/>
          <w:numId w:val="2"/>
        </w:numPr>
        <w:spacing w:before="20" w:after="20" w:line="276"/>
      </w:pPr>
      <w:r>
        <w:rPr>
          <w:rFonts w:ascii="Calibri" w:cs="Calibri" w:eastAsia="Calibri" w:hAnsi="Calibri"/>
          <w:color w:val="1A1A1A"/>
          <w:sz w:val="22"/>
          <w:szCs w:val="22"/>
        </w:rPr>
        <w:t xml:space="preserve">The transition from domain expert to operational leader is the first critical inflection. Develop P&amp;L, large team management, and HQ translation skills explicitly.</w:t>
      </w:r>
    </w:p>
    <w:p>
      <w:pPr>
        <w:pStyle w:val="ListParagraph"/>
        <w:numPr>
          <w:ilvl w:val="0"/>
          <w:numId w:val="2"/>
        </w:numPr>
        <w:spacing w:before="20" w:after="20" w:line="276"/>
      </w:pPr>
      <w:r>
        <w:rPr>
          <w:rFonts w:ascii="Calibri" w:cs="Calibri" w:eastAsia="Calibri" w:hAnsi="Calibri"/>
          <w:color w:val="1A1A1A"/>
          <w:sz w:val="22"/>
          <w:szCs w:val="22"/>
        </w:rPr>
        <w:t xml:space="preserve">Invest in formal management education alongside the operational role. IIM, ISB, or a global executive MBA accelerates Stage 2 to Stage 3 transition.</w:t>
      </w:r>
    </w:p>
    <w:p>
      <w:pPr>
        <w:pStyle w:val="ListParagraph"/>
        <w:numPr>
          <w:ilvl w:val="0"/>
          <w:numId w:val="2"/>
        </w:numPr>
        <w:spacing w:before="20" w:after="20" w:line="276"/>
      </w:pPr>
      <w:r>
        <w:rPr>
          <w:rFonts w:ascii="Calibri" w:cs="Calibri" w:eastAsia="Calibri" w:hAnsi="Calibri"/>
          <w:color w:val="1A1A1A"/>
          <w:sz w:val="22"/>
          <w:szCs w:val="22"/>
        </w:rPr>
        <w:t xml:space="preserve">At Stage 3 (GCC Head), the primary shift is from doing to enabling. GCC Heads who continue to operate as senior functional leaders create bottlenecks and cap their own advancement.</w:t>
      </w:r>
    </w:p>
    <w:p>
      <w:pPr>
        <w:pStyle w:val="ListParagraph"/>
        <w:numPr>
          <w:ilvl w:val="0"/>
          <w:numId w:val="2"/>
        </w:numPr>
        <w:spacing w:before="20" w:after="20" w:line="276"/>
      </w:pPr>
      <w:r>
        <w:rPr>
          <w:rFonts w:ascii="Calibri" w:cs="Calibri" w:eastAsia="Calibri" w:hAnsi="Calibri"/>
          <w:color w:val="1A1A1A"/>
          <w:sz w:val="22"/>
          <w:szCs w:val="22"/>
        </w:rPr>
        <w:t xml:space="preserve">Spend 20-25% of time on the HQ relationship. GCC leaders who are invisible at the global strategy table execute instructions; those who are present shape direction.</w:t>
      </w:r>
    </w:p>
    <w:p>
      <w:pPr>
        <w:pStyle w:val="ListParagraph"/>
        <w:numPr>
          <w:ilvl w:val="0"/>
          <w:numId w:val="2"/>
        </w:numPr>
        <w:spacing w:before="20" w:after="20" w:line="276"/>
      </w:pPr>
      <w:r>
        <w:rPr>
          <w:rFonts w:ascii="Calibri" w:cs="Calibri" w:eastAsia="Calibri" w:hAnsi="Calibri"/>
          <w:color w:val="1A1A1A"/>
          <w:sz w:val="22"/>
          <w:szCs w:val="22"/>
        </w:rPr>
        <w:t xml:space="preserve">Community investment produces career capital over 3-5 year cycles. Start early and invest consistently.</w:t>
      </w:r>
    </w:p>
    <w:p>
      <w:pPr>
        <w:pStyle w:val="ListParagraph"/>
        <w:numPr>
          <w:ilvl w:val="0"/>
          <w:numId w:val="2"/>
        </w:numPr>
        <w:spacing w:before="20" w:after="20" w:line="276"/>
      </w:pPr>
      <w:r>
        <w:rPr>
          <w:rFonts w:ascii="Calibri" w:cs="Calibri" w:eastAsia="Calibri" w:hAnsi="Calibri"/>
          <w:color w:val="1A1A1A"/>
          <w:sz w:val="22"/>
          <w:szCs w:val="22"/>
        </w:rPr>
        <w:t xml:space="preserve">For the global transition, a non-India rotation during the career is near-mandatory. Build it into your development plan before year 20.</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ELEVEN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2030: Scenarios and Strategic Inflection Points</w:t>
      </w:r>
    </w:p>
    <w:p>
      <w:pPr>
        <w:spacing w:before="40" w:after="40" w:line="276"/>
      </w:pPr>
      <w:r>
        <w:rPr>
          <w:rFonts w:ascii="Calibri" w:cs="Calibri" w:eastAsia="Calibri" w:hAnsi="Calibri"/>
          <w:i/>
          <w:iCs/>
          <w:color w:val="555555"/>
          <w:sz w:val="21"/>
          <w:szCs w:val="21"/>
        </w:rPr>
        <w:t xml:space="preserve">Three Futures for India's Global Capability Centre Ecosystem</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11.1 Why Scenario Planning Matters for GCC Leaders</w:t>
      </w:r>
    </w:p>
    <w:p>
      <w:pPr>
        <w:spacing w:before="0" w:after="100" w:line="288"/>
      </w:pPr>
      <w:r>
        <w:rPr>
          <w:rFonts w:ascii="Calibri" w:cs="Calibri" w:eastAsia="Calibri" w:hAnsi="Calibri"/>
          <w:color w:val="1A1A1A"/>
          <w:sz w:val="22"/>
          <w:szCs w:val="22"/>
        </w:rPr>
        <w:t xml:space="preserve">The standard approach to GCC strategy is extrapolation: take the current growth rate, project it forward, and plan for linear expansion. This approach produces sensible plans for stable environments. The 2026-2030 period is not a stable environment. AI is restructuring the economics of knowledge work. Geopolitical uncertainty is creating location risk that did not exist in 2020. The talent market is being reshaped by demographic, technological, and competitive forces simultaneously. In this environment, single-point planning produces strategies that are optimised for a future that is unlikely to occur.</w:t>
      </w:r>
    </w:p>
    <w:p>
      <w:pPr>
        <w:spacing w:before="0" w:after="100" w:line="288"/>
      </w:pPr>
      <w:r>
        <w:rPr>
          <w:rFonts w:ascii="Calibri" w:cs="Calibri" w:eastAsia="Calibri" w:hAnsi="Calibri"/>
          <w:color w:val="1A1A1A"/>
          <w:sz w:val="22"/>
          <w:szCs w:val="22"/>
        </w:rPr>
        <w:t xml:space="preserve">Scenario planning  -  building and stress-testing strategy against multiple plausible futures  -  is not an academic exercise. It is the tool that allows GCC leaders to make decisions that are robust across a range of outcomes rather than optimised for one outcome that may not materialise.</w:t>
      </w:r>
    </w:p>
    <w:p>
      <w:pPr>
        <w:spacing w:before="0" w:after="100" w:line="288"/>
      </w:pPr>
      <w:r>
        <w:rPr>
          <w:rFonts w:ascii="Calibri" w:cs="Calibri" w:eastAsia="Calibri" w:hAnsi="Calibri"/>
          <w:color w:val="1A1A1A"/>
          <w:sz w:val="22"/>
          <w:szCs w:val="22"/>
        </w:rPr>
        <w:t xml:space="preserve">The three scenarios below are not predictions. They are coherent, internally consistent futures that bracket the realistic range of outcomes for India's GCC ecosystem in 2030. Every GCC leader should know which scenario they are in 18 months before the data makes it obvious.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11.2 Scenario One: Acceleration</w:t>
      </w:r>
    </w:p>
    <w:p>
      <w:pPr>
        <w:spacing w:before="120" w:after="60" w:line="276"/>
      </w:pPr>
      <w:r>
        <w:rPr>
          <w:rFonts w:ascii="Calibri" w:cs="Calibri" w:eastAsia="Calibri" w:hAnsi="Calibri"/>
          <w:b/>
          <w:bCs/>
          <w:color w:val="1A1A1A"/>
          <w:sz w:val="22"/>
          <w:szCs w:val="22"/>
        </w:rPr>
        <w:t xml:space="preserve">The World: India reaches USD 120B in GCC revenue by 2030, growing at 13-15% annually.</w:t>
      </w:r>
    </w:p>
    <w:p>
      <w:pPr>
        <w:spacing w:before="0" w:after="100" w:line="288"/>
      </w:pPr>
      <w:r>
        <w:rPr>
          <w:rFonts w:ascii="Calibri" w:cs="Calibri" w:eastAsia="Calibri" w:hAnsi="Calibri"/>
          <w:color w:val="1A1A1A"/>
          <w:sz w:val="22"/>
          <w:szCs w:val="22"/>
        </w:rPr>
        <w:t xml:space="preserve">In the Acceleration scenario, India's structural advantages compound faster than the headwinds. AI deployment in GCCs increases output per employee by 25-35%, allowing centers to deliver more without proportional headcount growth  -  making the GCC model more attractive to global enterprises, not less. The government's GCC National Framework, backed by the Union Budget 2025 allocation of INR 10,000 crore, successfully catalyses mid-market enterprise entry: 500-600 new GCCs open between 2026 and 2030, most of them in the USD 100M-5B revenue segment. Tier-2 cities  -  Ahmedabad, Coimbatore, Kochi, Jaipur, Indore  -  emerge as genuine alternatives to the four primary cities, absorbing 20-25% of new GCC formation and relieving Bengaluru's talent concentration pressure.</w:t>
      </w:r>
    </w:p>
    <w:p>
      <w:pPr>
        <w:spacing w:before="0" w:after="100" w:line="288"/>
      </w:pPr>
      <w:r>
        <w:rPr>
          <w:rFonts w:ascii="Calibri" w:cs="Calibri" w:eastAsia="Calibri" w:hAnsi="Calibri"/>
          <w:color w:val="1A1A1A"/>
          <w:sz w:val="22"/>
          <w:szCs w:val="22"/>
        </w:rPr>
        <w:t xml:space="preserve">In this scenario, the defining competitive dynamic is capability, not cost. GCCs that have invested in AI governance, innovation infrastructure, and leadership pipeline during 2024-2026 pull ahead of those that managed for efficiency. The Dual-HQ model becomes the dominant operating architecture for Large and Mega GCCs. India's GCC leaders hold global executive roles in more than 100 Fortune 500 companies by 2030.</w:t>
      </w:r>
    </w:p>
    <w:p>
      <w:pPr>
        <w:spacing w:before="120" w:after="60" w:line="276"/>
      </w:pPr>
      <w:r>
        <w:rPr>
          <w:rFonts w:ascii="Calibri" w:cs="Calibri" w:eastAsia="Calibri" w:hAnsi="Calibri"/>
          <w:b/>
          <w:bCs/>
          <w:color w:val="1A1A1A"/>
          <w:sz w:val="22"/>
          <w:szCs w:val="22"/>
        </w:rPr>
        <w:t xml:space="preserve">What GCC leaders must do to be in position for Scenario One:</w:t>
      </w:r>
    </w:p>
    <w:p>
      <w:pPr>
        <w:pStyle w:val="ListParagraph"/>
        <w:numPr>
          <w:ilvl w:val="0"/>
          <w:numId w:val="3"/>
        </w:numPr>
        <w:spacing w:before="20" w:after="20" w:line="276"/>
      </w:pPr>
      <w:r>
        <w:rPr>
          <w:rFonts w:ascii="Calibri" w:cs="Calibri" w:eastAsia="Calibri" w:hAnsi="Calibri"/>
          <w:color w:val="1A1A1A"/>
          <w:sz w:val="22"/>
          <w:szCs w:val="22"/>
        </w:rPr>
        <w:t xml:space="preserve">Invest in AI operating model transformation now, before the capability gap between leaders and laggards widens.</w:t>
      </w:r>
    </w:p>
    <w:p>
      <w:pPr>
        <w:pStyle w:val="ListParagraph"/>
        <w:numPr>
          <w:ilvl w:val="0"/>
          <w:numId w:val="3"/>
        </w:numPr>
        <w:spacing w:before="20" w:after="20" w:line="276"/>
      </w:pPr>
      <w:r>
        <w:rPr>
          <w:rFonts w:ascii="Calibri" w:cs="Calibri" w:eastAsia="Calibri" w:hAnsi="Calibri"/>
          <w:color w:val="1A1A1A"/>
          <w:sz w:val="22"/>
          <w:szCs w:val="22"/>
        </w:rPr>
        <w:t xml:space="preserve">Build leadership depth systematically. The talent to run a 2030 GCC ecosystem three times its current scale does not exist yet.</w:t>
      </w:r>
    </w:p>
    <w:p>
      <w:pPr>
        <w:pStyle w:val="ListParagraph"/>
        <w:numPr>
          <w:ilvl w:val="0"/>
          <w:numId w:val="3"/>
        </w:numPr>
        <w:spacing w:before="20" w:after="20" w:line="276"/>
      </w:pPr>
      <w:r>
        <w:rPr>
          <w:rFonts w:ascii="Calibri" w:cs="Calibri" w:eastAsia="Calibri" w:hAnsi="Calibri"/>
          <w:color w:val="1A1A1A"/>
          <w:sz w:val="22"/>
          <w:szCs w:val="22"/>
        </w:rPr>
        <w:t xml:space="preserve">Develop your Tier-2 city strategy. The centers that plant their flag in Ahmedabad or Coimbatore in 2026-2027 will have a 3-5 year talent advantage over those who arrive in 2029.</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11.3 Scenario Two: Plateau</w:t>
      </w:r>
    </w:p>
    <w:p>
      <w:pPr>
        <w:spacing w:before="120" w:after="60" w:line="276"/>
      </w:pPr>
      <w:r>
        <w:rPr>
          <w:rFonts w:ascii="Calibri" w:cs="Calibri" w:eastAsia="Calibri" w:hAnsi="Calibri"/>
          <w:b/>
          <w:bCs/>
          <w:color w:val="1A1A1A"/>
          <w:sz w:val="22"/>
          <w:szCs w:val="22"/>
        </w:rPr>
        <w:t xml:space="preserve">The World: India reaches USD 82-88B in GCC revenue by 2030, growing at 7-9% annually.</w:t>
      </w:r>
    </w:p>
    <w:p>
      <w:pPr>
        <w:spacing w:before="0" w:after="100" w:line="288"/>
      </w:pPr>
      <w:r>
        <w:rPr>
          <w:rFonts w:ascii="Calibri" w:cs="Calibri" w:eastAsia="Calibri" w:hAnsi="Calibri"/>
          <w:color w:val="1A1A1A"/>
          <w:sz w:val="22"/>
          <w:szCs w:val="22"/>
        </w:rPr>
        <w:t xml:space="preserve">In the Plateau scenario, the tailwinds and headwinds roughly balance. AI deployment increases productivity but simultaneously triggers a reevaluation of headcount needs at some large GCCs, slowing the linear growth assumption. Compensation inflation in Bengaluru and Hyderabad  -  running at 10-12% annually in this scenario  -  erodes the cost advantage for the work categories most exposed to AI substitution (junior engineering, data processing, routine business analysis). Mid-market enterprise GCC formation continues but more slowly than projected, as the BOT and GCCaaS models prove slower to scale than anticipated.</w:t>
      </w:r>
    </w:p>
    <w:p>
      <w:pPr>
        <w:spacing w:before="0" w:after="100" w:line="288"/>
      </w:pPr>
      <w:r>
        <w:rPr>
          <w:rFonts w:ascii="Calibri" w:cs="Calibri" w:eastAsia="Calibri" w:hAnsi="Calibri"/>
          <w:color w:val="1A1A1A"/>
          <w:sz w:val="22"/>
          <w:szCs w:val="22"/>
        </w:rPr>
        <w:t xml:space="preserve">The GCC ecosystem still grows in this scenario. But the growth is concentrated in capability-intensive segments  -  chip design, AI research, clinical analytics, ER&amp;D  -  rather than distributed across all function types. Centers that remain in cost-arbitrage mode at Stage 1-2 maturity face real pressure: the cost advantage no longer justifies the overhead, and the AI tools that HQ is deploying make local delivery in some functions more efficient than outsourcing to India.</w:t>
      </w:r>
    </w:p>
    <w:p>
      <w:pPr>
        <w:spacing w:before="120" w:after="60" w:line="276"/>
      </w:pPr>
      <w:r>
        <w:rPr>
          <w:rFonts w:ascii="Calibri" w:cs="Calibri" w:eastAsia="Calibri" w:hAnsi="Calibri"/>
          <w:b/>
          <w:bCs/>
          <w:color w:val="1A1A1A"/>
          <w:sz w:val="22"/>
          <w:szCs w:val="22"/>
        </w:rPr>
        <w:t xml:space="preserve">What GCC leaders must do to be positioned for Scenario Two:</w:t>
      </w:r>
    </w:p>
    <w:p>
      <w:pPr>
        <w:pStyle w:val="ListParagraph"/>
        <w:numPr>
          <w:ilvl w:val="0"/>
          <w:numId w:val="3"/>
        </w:numPr>
        <w:spacing w:before="20" w:after="20" w:line="276"/>
      </w:pPr>
      <w:r>
        <w:rPr>
          <w:rFonts w:ascii="Calibri" w:cs="Calibri" w:eastAsia="Calibri" w:hAnsi="Calibri"/>
          <w:color w:val="1A1A1A"/>
          <w:sz w:val="22"/>
          <w:szCs w:val="22"/>
        </w:rPr>
        <w:t xml:space="preserve">Accelerate maturity stage progression now. Stage 3 GCCs are defensible in the Plateau scenario; Stage 1-2 are not.</w:t>
      </w:r>
    </w:p>
    <w:p>
      <w:pPr>
        <w:pStyle w:val="ListParagraph"/>
        <w:numPr>
          <w:ilvl w:val="0"/>
          <w:numId w:val="3"/>
        </w:numPr>
        <w:spacing w:before="20" w:after="20" w:line="276"/>
      </w:pPr>
      <w:r>
        <w:rPr>
          <w:rFonts w:ascii="Calibri" w:cs="Calibri" w:eastAsia="Calibri" w:hAnsi="Calibri"/>
          <w:color w:val="1A1A1A"/>
          <w:sz w:val="22"/>
          <w:szCs w:val="22"/>
        </w:rPr>
        <w:t xml:space="preserve">Diversify the work portfolio. Centers with 60%+ of work in routine operational delivery are most exposed. Centers with 40%+ in CoE/R&amp;D/innovation work are most resilient.</w:t>
      </w:r>
    </w:p>
    <w:p>
      <w:pPr>
        <w:pStyle w:val="ListParagraph"/>
        <w:numPr>
          <w:ilvl w:val="0"/>
          <w:numId w:val="3"/>
        </w:numPr>
        <w:spacing w:before="20" w:after="20" w:line="276"/>
      </w:pPr>
      <w:r>
        <w:rPr>
          <w:rFonts w:ascii="Calibri" w:cs="Calibri" w:eastAsia="Calibri" w:hAnsi="Calibri"/>
          <w:color w:val="1A1A1A"/>
          <w:sz w:val="22"/>
          <w:szCs w:val="22"/>
        </w:rPr>
        <w:t xml:space="preserve">Build the productivity argument explicitly. In a world where AI is enabling 20-30% productivity improvement, GCC leaders who cannot quantify their AI productivity gains will face headcount pressure.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11.4 Scenario Three: Disruption</w:t>
      </w:r>
    </w:p>
    <w:p>
      <w:pPr>
        <w:spacing w:before="120" w:after="60" w:line="276"/>
      </w:pPr>
      <w:r>
        <w:rPr>
          <w:rFonts w:ascii="Calibri" w:cs="Calibri" w:eastAsia="Calibri" w:hAnsi="Calibri"/>
          <w:b/>
          <w:bCs/>
          <w:color w:val="1A1A1A"/>
          <w:sz w:val="22"/>
          <w:szCs w:val="22"/>
        </w:rPr>
        <w:t xml:space="preserve">The World: India reaches USD 50-60B in GCC revenue by 2030  -  lower than today's trajectory, but the ecosystem is fundamentally restructured rather than reduced.</w:t>
      </w:r>
    </w:p>
    <w:p>
      <w:pPr>
        <w:spacing w:before="0" w:after="100" w:line="288"/>
      </w:pPr>
      <w:r>
        <w:rPr>
          <w:rFonts w:ascii="Calibri" w:cs="Calibri" w:eastAsia="Calibri" w:hAnsi="Calibri"/>
          <w:color w:val="1A1A1A"/>
          <w:sz w:val="22"/>
          <w:szCs w:val="22"/>
        </w:rPr>
        <w:t xml:space="preserve">In the Disruption scenario, two forces reshape the ecosystem more rapidly than most current strategies account for. First: AI agent deployment at scale. By 2028-2029, agentic AI systems can complete multi-step knowledge work tasks  -  software feature development, financial analysis, customer resolution, data preparation  -  without human supervision for the routine cases. At a GCC operating primarily in routine work categories, 30-40% of current headcount is performing work that agents handle by 2029. This is not a prediction of mass job loss  -  it is a scenario in which the economics of value creation shift, and GCCs that are not repositioned are exposed.</w:t>
      </w:r>
    </w:p>
    <w:p>
      <w:pPr>
        <w:spacing w:before="0" w:after="100" w:line="288"/>
      </w:pPr>
      <w:r>
        <w:rPr>
          <w:rFonts w:ascii="Calibri" w:cs="Calibri" w:eastAsia="Calibri" w:hAnsi="Calibri"/>
          <w:color w:val="1A1A1A"/>
          <w:sz w:val="22"/>
          <w:szCs w:val="22"/>
        </w:rPr>
        <w:t xml:space="preserve">Second: geopolitical complexity. US technology export controls affecting India-China supply chains, data sovereignty mandates that prevent certain cross-border data flows, and potential trade friction create a more fragmented operating environment. Some global enterprises restructure their GCC footprint in response, consolidating into fewer locations or moving specific functions closer to their primary markets.</w:t>
      </w:r>
    </w:p>
    <w:p>
      <w:pPr>
        <w:spacing w:before="0" w:after="100" w:line="288"/>
      </w:pPr>
      <w:r>
        <w:rPr>
          <w:rFonts w:ascii="Calibri" w:cs="Calibri" w:eastAsia="Calibri" w:hAnsi="Calibri"/>
          <w:color w:val="1A1A1A"/>
          <w:sz w:val="22"/>
          <w:szCs w:val="22"/>
        </w:rPr>
        <w:t xml:space="preserve">The GCCs that survive and grow in the Disruption scenario are those that have moved farthest up the value chain: they are innovation hubs, R&amp;D centers, AI research labs, and co-headquarters. The routine delivery functions have been either automated or moved to lower-cost locations. India's GCC ecosystem in this scenario is smaller in headcount but higher in value per person.</w:t>
      </w:r>
    </w:p>
    <w:p>
      <w:pPr>
        <w:spacing w:before="120" w:after="60" w:line="276"/>
      </w:pPr>
      <w:r>
        <w:rPr>
          <w:rFonts w:ascii="Calibri" w:cs="Calibri" w:eastAsia="Calibri" w:hAnsi="Calibri"/>
          <w:b/>
          <w:bCs/>
          <w:color w:val="1A1A1A"/>
          <w:sz w:val="22"/>
          <w:szCs w:val="22"/>
        </w:rPr>
        <w:t xml:space="preserve">What GCC leaders must do to be positioned for Scenario Three:</w:t>
      </w:r>
    </w:p>
    <w:p>
      <w:pPr>
        <w:pStyle w:val="ListParagraph"/>
        <w:numPr>
          <w:ilvl w:val="0"/>
          <w:numId w:val="3"/>
        </w:numPr>
        <w:spacing w:before="20" w:after="20" w:line="276"/>
      </w:pPr>
      <w:r>
        <w:rPr>
          <w:rFonts w:ascii="Calibri" w:cs="Calibri" w:eastAsia="Calibri" w:hAnsi="Calibri"/>
          <w:color w:val="1A1A1A"/>
          <w:sz w:val="22"/>
          <w:szCs w:val="22"/>
        </w:rPr>
        <w:t xml:space="preserve">Begin the portfolio repositioning now, before the disruption forces are visible to global leadership. Reducing exposure to routine work categories is a 3-5 year programme.</w:t>
      </w:r>
    </w:p>
    <w:p>
      <w:pPr>
        <w:pStyle w:val="ListParagraph"/>
        <w:numPr>
          <w:ilvl w:val="0"/>
          <w:numId w:val="3"/>
        </w:numPr>
        <w:spacing w:before="20" w:after="20" w:line="276"/>
      </w:pPr>
      <w:r>
        <w:rPr>
          <w:rFonts w:ascii="Calibri" w:cs="Calibri" w:eastAsia="Calibri" w:hAnsi="Calibri"/>
          <w:color w:val="1A1A1A"/>
          <w:sz w:val="22"/>
          <w:szCs w:val="22"/>
        </w:rPr>
        <w:t xml:space="preserve">Build the IP and patent portfolio. In a disrupted ecosystem, the GCCs that own IP  -  code, research, models, designs  -  have assets. Centers that deliver only services have none.</w:t>
      </w:r>
    </w:p>
    <w:p>
      <w:pPr>
        <w:pStyle w:val="ListParagraph"/>
        <w:numPr>
          <w:ilvl w:val="0"/>
          <w:numId w:val="3"/>
        </w:numPr>
        <w:spacing w:before="20" w:after="20" w:line="276"/>
      </w:pPr>
      <w:r>
        <w:rPr>
          <w:rFonts w:ascii="Calibri" w:cs="Calibri" w:eastAsia="Calibri" w:hAnsi="Calibri"/>
          <w:color w:val="1A1A1A"/>
          <w:sz w:val="22"/>
          <w:szCs w:val="22"/>
        </w:rPr>
        <w:t xml:space="preserve">Develop the policy engagement. Export controls and data sovereignty mandates are policy decisions. GCC leaders with policy relationships and ecosystem voice can influence these decisions in ways that passive operators cannot.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11.5 Chapter Summary: The Strategic Implications Across All Scenarios</w:t>
      </w:r>
    </w:p>
    <w:p>
      <w:pPr>
        <w:spacing w:before="0" w:after="100" w:line="288"/>
      </w:pPr>
      <w:r>
        <w:rPr>
          <w:rFonts w:ascii="Calibri" w:cs="Calibri" w:eastAsia="Calibri" w:hAnsi="Calibri"/>
          <w:color w:val="1A1A1A"/>
          <w:sz w:val="22"/>
          <w:szCs w:val="22"/>
        </w:rPr>
        <w:t xml:space="preserve">Three conclusions hold regardless of which scenario materialises:</w:t>
      </w:r>
    </w:p>
    <w:p>
      <w:pPr>
        <w:pStyle w:val="ListParagraph"/>
        <w:numPr>
          <w:ilvl w:val="0"/>
          <w:numId w:val="2"/>
        </w:numPr>
        <w:spacing w:before="20" w:after="20" w:line="276"/>
      </w:pPr>
      <w:r>
        <w:rPr>
          <w:rFonts w:ascii="Calibri" w:cs="Calibri" w:eastAsia="Calibri" w:hAnsi="Calibri"/>
          <w:color w:val="1A1A1A"/>
          <w:sz w:val="22"/>
          <w:szCs w:val="22"/>
        </w:rPr>
        <w:t xml:space="preserve">AI operating model transformation is not optional in any scenario. In Acceleration, it accelerates growth. In Plateau, it maintains competitiveness. In Disruption, it is the survival mechanism. Begin now.</w:t>
      </w:r>
    </w:p>
    <w:p>
      <w:pPr>
        <w:pStyle w:val="ListParagraph"/>
        <w:numPr>
          <w:ilvl w:val="0"/>
          <w:numId w:val="2"/>
        </w:numPr>
        <w:spacing w:before="20" w:after="20" w:line="276"/>
      </w:pPr>
      <w:r>
        <w:rPr>
          <w:rFonts w:ascii="Calibri" w:cs="Calibri" w:eastAsia="Calibri" w:hAnsi="Calibri"/>
          <w:color w:val="1A1A1A"/>
          <w:sz w:val="22"/>
          <w:szCs w:val="22"/>
        </w:rPr>
        <w:t xml:space="preserve">Maturity stage progression is the most reliable hedge against uncertainty. Every investment in governance, talent depth, innovation infrastructure, and leadership pipeline creates value in all three scenarios.</w:t>
      </w:r>
    </w:p>
    <w:p>
      <w:pPr>
        <w:pStyle w:val="ListParagraph"/>
        <w:numPr>
          <w:ilvl w:val="0"/>
          <w:numId w:val="2"/>
        </w:numPr>
        <w:spacing w:before="20" w:after="20" w:line="276"/>
      </w:pPr>
      <w:r>
        <w:rPr>
          <w:rFonts w:ascii="Calibri" w:cs="Calibri" w:eastAsia="Calibri" w:hAnsi="Calibri"/>
          <w:color w:val="1A1A1A"/>
          <w:sz w:val="22"/>
          <w:szCs w:val="22"/>
        </w:rPr>
        <w:t xml:space="preserve">The work portfolio must shift toward complexity and value creation. This is the single most consequential strategic decision for GCC leaders in 2026-2028: deliberate repositioning of the center's work mix toward higher-complexity, higher-value work, executed with sufficient lead time to avoid the disruption of being forced to reposition under pressure.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TWELVE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Women in GCC Leadership</w:t>
      </w:r>
    </w:p>
    <w:p>
      <w:pPr>
        <w:spacing w:before="40" w:after="40" w:line="276"/>
      </w:pPr>
      <w:r>
        <w:rPr>
          <w:rFonts w:ascii="Calibri" w:cs="Calibri" w:eastAsia="Calibri" w:hAnsi="Calibri"/>
          <w:i/>
          <w:iCs/>
          <w:color w:val="555555"/>
          <w:sz w:val="21"/>
          <w:szCs w:val="21"/>
        </w:rPr>
        <w:t xml:space="preserve">Programme Architectures, Benchmark Data, and Governance That Produces Results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12.1 The State of the Data: Better Than Most Sectors, Not Good Enough</w:t>
      </w:r>
    </w:p>
    <w:p>
      <w:pPr>
        <w:spacing w:before="0" w:after="100" w:line="288"/>
      </w:pPr>
      <w:r>
        <w:rPr>
          <w:rFonts w:ascii="Calibri" w:cs="Calibri" w:eastAsia="Calibri" w:hAnsi="Calibri"/>
          <w:color w:val="1A1A1A"/>
          <w:sz w:val="22"/>
          <w:szCs w:val="22"/>
        </w:rPr>
        <w:t xml:space="preserve">India's GCC ecosystem has a stronger representation of women in senior leadership than the broader Indian technology industry. The 2025 AIM Top 25 GCC Heads list includes a notably higher proportion of women than equivalent technology leadership lists. The NASSCOM-Zinnov research found that GCCs with formal diversity governance programmes have 2.3x higher women's representation at director level and above compared to GCCs without structured programmes.</w:t>
      </w:r>
    </w:p>
    <w:p>
      <w:pPr>
        <w:spacing w:before="0" w:after="100" w:line="288"/>
      </w:pPr>
      <w:r>
        <w:rPr>
          <w:rFonts w:ascii="Calibri" w:cs="Calibri" w:eastAsia="Calibri" w:hAnsi="Calibri"/>
          <w:color w:val="1A1A1A"/>
          <w:sz w:val="22"/>
          <w:szCs w:val="22"/>
        </w:rPr>
        <w:t xml:space="preserve">The data at entry level is strong  -  women represent approximately 40-45% of GCC hires at the 0-3 year experience level in most large centers. The attrition pattern is the problem: by the 8-12 year experience mark (the band from which future senior leaders are drawn), women's representation in most GCCs has fallen to 20-28%. The pipeline leaks, and it leaks consistently at the same career stages across multiple centers.</w:t>
      </w:r>
    </w:p>
    <w:p>
      <w:pPr>
        <w:spacing w:before="0" w:after="100" w:line="288"/>
      </w:pPr>
      <w:r>
        <w:rPr>
          <w:rFonts w:ascii="Calibri" w:cs="Calibri" w:eastAsia="Calibri" w:hAnsi="Calibri"/>
          <w:color w:val="1A1A1A"/>
          <w:sz w:val="22"/>
          <w:szCs w:val="22"/>
        </w:rPr>
        <w:t xml:space="preserve">Understanding where the pipeline leaks, why it leaks, and what governance interventions close the leak is the practical work of women in leadership strategy. Aspiration statements and target-setting without this analysis produce reports, not outcomes.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12.2 Where the Pipeline Leaks: Three Inflection Points</w:t>
      </w:r>
    </w:p>
    <w:p>
      <w:pPr>
        <w:spacing w:before="120" w:after="60" w:line="276"/>
      </w:pPr>
      <w:r>
        <w:rPr>
          <w:rFonts w:ascii="Calibri" w:cs="Calibri" w:eastAsia="Calibri" w:hAnsi="Calibri"/>
          <w:b/>
          <w:bCs/>
          <w:color w:val="1A1A1A"/>
          <w:sz w:val="22"/>
          <w:szCs w:val="22"/>
        </w:rPr>
        <w:t xml:space="preserve">Inflection Point 1: The First Management Role (4-7 years experience)</w:t>
      </w:r>
    </w:p>
    <w:p>
      <w:pPr>
        <w:spacing w:before="0" w:after="100" w:line="288"/>
      </w:pPr>
      <w:r>
        <w:rPr>
          <w:rFonts w:ascii="Calibri" w:cs="Calibri" w:eastAsia="Calibri" w:hAnsi="Calibri"/>
          <w:color w:val="1A1A1A"/>
          <w:sz w:val="22"/>
          <w:szCs w:val="22"/>
        </w:rPr>
        <w:t xml:space="preserve">The transition from individual contributor to first-line manager is the first significant attrition point for women in GCCs. The drivers are well-documented: the manager role in most GCCs requires significant overtime and weekend availability, creates a visible accountability structure that can feel exposed to those who have experienced bias in performance evaluation, and coincides with a life stage where personal and family responsibilities are often increasing.</w:t>
      </w:r>
    </w:p>
    <w:p>
      <w:pPr>
        <w:spacing w:before="0" w:after="100" w:line="288"/>
      </w:pPr>
      <w:r>
        <w:rPr>
          <w:rFonts w:ascii="Calibri" w:cs="Calibri" w:eastAsia="Calibri" w:hAnsi="Calibri"/>
          <w:color w:val="1A1A1A"/>
          <w:sz w:val="22"/>
          <w:szCs w:val="22"/>
        </w:rPr>
        <w:t xml:space="preserve">The interventions that work: flexible first-line management structures (not all management roles need to be full-time, full-availability commitments), structured manager development programmes that are accessible on flexible schedules, and active sponsorship  -  senior leaders who advocate for specific high-potential women with first-line management ability.</w:t>
      </w:r>
    </w:p>
    <w:p>
      <w:pPr>
        <w:spacing w:before="120" w:after="60" w:line="276"/>
      </w:pPr>
      <w:r>
        <w:rPr>
          <w:rFonts w:ascii="Calibri" w:cs="Calibri" w:eastAsia="Calibri" w:hAnsi="Calibri"/>
          <w:b/>
          <w:bCs/>
          <w:color w:val="1A1A1A"/>
          <w:sz w:val="22"/>
          <w:szCs w:val="22"/>
        </w:rPr>
        <w:t xml:space="preserve">Inflection Point 2: The Career Break (8-12 years experience)</w:t>
      </w:r>
    </w:p>
    <w:p>
      <w:pPr>
        <w:spacing w:before="0" w:after="100" w:line="288"/>
      </w:pPr>
      <w:r>
        <w:rPr>
          <w:rFonts w:ascii="Calibri" w:cs="Calibri" w:eastAsia="Calibri" w:hAnsi="Calibri"/>
          <w:color w:val="1A1A1A"/>
          <w:sz w:val="22"/>
          <w:szCs w:val="22"/>
        </w:rPr>
        <w:t xml:space="preserve">Career breaks for family responsibilities remain more common for women than for men in India's professional workforce. The return-to-work experience at most GCCs is unstructured: returning employees find themselves in roles below their pre-break level, with peers who have progressed significantly, in a technology environment that has changed materially during a 12-24 month absence.</w:t>
      </w:r>
    </w:p>
    <w:p>
      <w:pPr>
        <w:spacing w:before="0" w:after="100" w:line="288"/>
      </w:pPr>
      <w:r>
        <w:rPr>
          <w:rFonts w:ascii="Calibri" w:cs="Calibri" w:eastAsia="Calibri" w:hAnsi="Calibri"/>
          <w:color w:val="1A1A1A"/>
          <w:sz w:val="22"/>
          <w:szCs w:val="22"/>
        </w:rPr>
        <w:t xml:space="preserve">The returnship programme model  -  a structured 3-6 month re-entry programme with dedicated mentoring, skills refreshment, and explicit commitment to appropriate role placement  -  is documented as effective. Multiple large GCCs including Optum India, Intuit India, and CBA India have published returnship programme outcomes showing 80-90% conversion to permanent roles and attrition rates in the 18 months post-return that are comparable to or better than direct hires.</w:t>
      </w:r>
    </w:p>
    <w:p>
      <w:pPr>
        <w:spacing w:before="120" w:after="60" w:line="276"/>
      </w:pPr>
      <w:r>
        <w:rPr>
          <w:rFonts w:ascii="Calibri" w:cs="Calibri" w:eastAsia="Calibri" w:hAnsi="Calibri"/>
          <w:b/>
          <w:bCs/>
          <w:color w:val="1A1A1A"/>
          <w:sz w:val="22"/>
          <w:szCs w:val="22"/>
        </w:rPr>
        <w:t xml:space="preserve">Inflection Point 3: The Director-to-VP Transition (15-20 years experience)</w:t>
      </w:r>
    </w:p>
    <w:p>
      <w:pPr>
        <w:spacing w:before="0" w:after="100" w:line="288"/>
      </w:pPr>
      <w:r>
        <w:rPr>
          <w:rFonts w:ascii="Calibri" w:cs="Calibri" w:eastAsia="Calibri" w:hAnsi="Calibri"/>
          <w:color w:val="1A1A1A"/>
          <w:sz w:val="22"/>
          <w:szCs w:val="22"/>
        </w:rPr>
        <w:t xml:space="preserve">The final significant attrition point is the transition from director to VP level  -  the step that leads eventually to GCC Head consideration. At this stage, the barriers are structural rather than programme-related: limited sponsorship from the most influential global stakeholders, limited visibility in global forums where VP-level consideration decisions are made, and compensation packages that in some cases have not kept pace with market due to interrupted progression.</w:t>
      </w:r>
    </w:p>
    <w:p>
      <w:pPr>
        <w:spacing w:before="0" w:after="100" w:line="288"/>
      </w:pPr>
      <w:r>
        <w:rPr>
          <w:rFonts w:ascii="Calibri" w:cs="Calibri" w:eastAsia="Calibri" w:hAnsi="Calibri"/>
          <w:color w:val="1A1A1A"/>
          <w:sz w:val="22"/>
          <w:szCs w:val="22"/>
        </w:rPr>
        <w:t xml:space="preserve">The intervention at this stage is not a programme. It is deliberate sponsorship by the GCC Head and global executive stakeholders  -  active advocacy in talent review processes, visibility in global leadership forums, and compensation parity audits that correct accumulated gaps.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12.3 Programme Architectures That Work</w:t>
      </w:r>
    </w:p>
    <w:p>
      <w:pPr>
        <w:spacing w:before="120" w:after="60" w:line="276"/>
      </w:pPr>
      <w:r>
        <w:rPr>
          <w:rFonts w:ascii="Calibri" w:cs="Calibri" w:eastAsia="Calibri" w:hAnsi="Calibri"/>
          <w:b/>
          <w:bCs/>
          <w:color w:val="1A1A1A"/>
          <w:sz w:val="22"/>
          <w:szCs w:val="22"/>
        </w:rPr>
        <w:t xml:space="preserve">The Mentoring-to-Sponsorship Transition</w:t>
      </w:r>
    </w:p>
    <w:p>
      <w:pPr>
        <w:spacing w:before="0" w:after="100" w:line="288"/>
      </w:pPr>
      <w:r>
        <w:rPr>
          <w:rFonts w:ascii="Calibri" w:cs="Calibri" w:eastAsia="Calibri" w:hAnsi="Calibri"/>
          <w:color w:val="1A1A1A"/>
          <w:sz w:val="22"/>
          <w:szCs w:val="22"/>
        </w:rPr>
        <w:t xml:space="preserve">Mentoring (advice and guidance from senior leaders) is widely available in India's GCC ecosystem. Sponsorship (active advocacy by senior leaders in talent decisions) is rare. The research is clear: mentoring produces career satisfaction and skill development; sponsorship produces promotions and senior role appointments. Women in the GCC ecosystem are over-mentored and under-sponsored. The programme design shift: explicitly convert mentoring relationships into sponsorship commitments by having sponsors identify specific opportunities, make specific recommendations, and take specific accountability for the development of the leaders they sponsor.</w:t>
      </w:r>
    </w:p>
    <w:p>
      <w:pPr>
        <w:spacing w:before="120" w:after="60" w:line="276"/>
      </w:pPr>
      <w:r>
        <w:rPr>
          <w:rFonts w:ascii="Calibri" w:cs="Calibri" w:eastAsia="Calibri" w:hAnsi="Calibri"/>
          <w:b/>
          <w:bCs/>
          <w:color w:val="1A1A1A"/>
          <w:sz w:val="22"/>
          <w:szCs w:val="22"/>
        </w:rPr>
        <w:t xml:space="preserve">The Women's Leadership Forum</w:t>
      </w:r>
    </w:p>
    <w:p>
      <w:pPr>
        <w:spacing w:before="0" w:after="100" w:line="288"/>
      </w:pPr>
      <w:r>
        <w:rPr>
          <w:rFonts w:ascii="Calibri" w:cs="Calibri" w:eastAsia="Calibri" w:hAnsi="Calibri"/>
          <w:color w:val="1A1A1A"/>
          <w:sz w:val="22"/>
          <w:szCs w:val="22"/>
        </w:rPr>
        <w:t xml:space="preserve">The most effective internal programme model: a structured Women's Leadership Forum with three characteristics. First, executive sponsorship that is genuine  -  the GCC Head is visibly and actively involved, not nominally associated. Second, a programme agenda that addresses the actual barriers (compensation parity, sponsorship access, flexible work governance) rather than soft skills development. Third, an external component  -  bringing in peer GCC leaders and external executives  -  that provides network access alongside internal development.</w:t>
      </w:r>
    </w:p>
    <w:p>
      <w:pPr>
        <w:spacing w:before="120" w:after="60" w:line="276"/>
      </w:pPr>
      <w:r>
        <w:rPr>
          <w:rFonts w:ascii="Calibri" w:cs="Calibri" w:eastAsia="Calibri" w:hAnsi="Calibri"/>
          <w:b/>
          <w:bCs/>
          <w:color w:val="1A1A1A"/>
          <w:sz w:val="22"/>
          <w:szCs w:val="22"/>
        </w:rPr>
        <w:t xml:space="preserve">Flexible Work as Governance, Not Policy</w:t>
      </w:r>
    </w:p>
    <w:p>
      <w:pPr>
        <w:spacing w:before="0" w:after="100" w:line="288"/>
      </w:pPr>
      <w:r>
        <w:rPr>
          <w:rFonts w:ascii="Calibri" w:cs="Calibri" w:eastAsia="Calibri" w:hAnsi="Calibri"/>
          <w:color w:val="1A1A1A"/>
          <w:sz w:val="22"/>
          <w:szCs w:val="22"/>
        </w:rPr>
        <w:t xml:space="preserve">Flexible work arrangements are the single most impactful retention mechanism for women at the 4-12 year experience band. But "flexible work" as a general policy aspiration fails in practice when it is not backed by explicit governance: a clear definition of what flexible means for each role type, a documented process for requesting and approving flexible arrangements, and explicit protection against career penalty for using flexibility.</w:t>
      </w:r>
    </w:p>
    <w:p>
      <w:pPr>
        <w:spacing w:before="0" w:after="100" w:line="288"/>
      </w:pPr>
      <w:r>
        <w:rPr>
          <w:rFonts w:ascii="Calibri" w:cs="Calibri" w:eastAsia="Calibri" w:hAnsi="Calibri"/>
          <w:color w:val="1A1A1A"/>
          <w:sz w:val="22"/>
          <w:szCs w:val="22"/>
        </w:rPr>
        <w:t xml:space="preserve">The governance test: if flexible work is available in policy but not used because employees believe (correctly or incorrectly) that it will affect their performance rating, the policy is not working. Track flexible work usage rates, track performance rating distribution for flexible work users versus non-users, and address any documented correlation between flexible work use and performance rating outcomes.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12.4 The POSH Act: Beyond Compliance</w:t>
      </w:r>
    </w:p>
    <w:p>
      <w:pPr>
        <w:spacing w:before="0" w:after="100" w:line="288"/>
      </w:pPr>
      <w:r>
        <w:rPr>
          <w:rFonts w:ascii="Calibri" w:cs="Calibri" w:eastAsia="Calibri" w:hAnsi="Calibri"/>
          <w:color w:val="1A1A1A"/>
          <w:sz w:val="22"/>
          <w:szCs w:val="22"/>
        </w:rPr>
        <w:t xml:space="preserve">The POSH Act creates a compliance floor. Above that floor, GCCs that lead the ecosystem on gender inclusion have built an environment where the POSH Act is the last line of defence rather than the primary protection  -  because the cultural and governance architecture addresses gender-based conduct issues before they reach the formal complaint stage.</w:t>
      </w:r>
    </w:p>
    <w:p>
      <w:pPr>
        <w:spacing w:before="0" w:after="100" w:line="288"/>
      </w:pPr>
      <w:r>
        <w:rPr>
          <w:rFonts w:ascii="Calibri" w:cs="Calibri" w:eastAsia="Calibri" w:hAnsi="Calibri"/>
          <w:color w:val="1A1A1A"/>
          <w:sz w:val="22"/>
          <w:szCs w:val="22"/>
        </w:rPr>
        <w:t xml:space="preserve">The architecture: unconscious bias training for all managers annually (not one-time onboarding training), explicit anti-harassment norms in team charters and operating agreements, a confidential reporting mechanism with a guaranteed response timeline, and regular culture surveys that specifically measure perceived safety and inclusion.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12.5 Chapter Summary: Seven Principles for Women in GCC Leadership</w:t>
      </w:r>
    </w:p>
    <w:p>
      <w:pPr>
        <w:pStyle w:val="ListParagraph"/>
        <w:numPr>
          <w:ilvl w:val="0"/>
          <w:numId w:val="2"/>
        </w:numPr>
        <w:spacing w:before="20" w:after="20" w:line="276"/>
      </w:pPr>
      <w:r>
        <w:rPr>
          <w:rFonts w:ascii="Calibri" w:cs="Calibri" w:eastAsia="Calibri" w:hAnsi="Calibri"/>
          <w:color w:val="1A1A1A"/>
          <w:sz w:val="22"/>
          <w:szCs w:val="22"/>
        </w:rPr>
        <w:t xml:space="preserve">Track the pipeline attrition data. You cannot address a leak you have not measured. The three inflection points are: first management role, career break re-entry, and director-to-VP transition.</w:t>
      </w:r>
    </w:p>
    <w:p>
      <w:pPr>
        <w:pStyle w:val="ListParagraph"/>
        <w:numPr>
          <w:ilvl w:val="0"/>
          <w:numId w:val="2"/>
        </w:numPr>
        <w:spacing w:before="20" w:after="20" w:line="276"/>
      </w:pPr>
      <w:r>
        <w:rPr>
          <w:rFonts w:ascii="Calibri" w:cs="Calibri" w:eastAsia="Calibri" w:hAnsi="Calibri"/>
          <w:color w:val="1A1A1A"/>
          <w:sz w:val="22"/>
          <w:szCs w:val="22"/>
        </w:rPr>
        <w:t xml:space="preserve">Shift from mentoring to sponsorship. Sponsorship produces promotion outcomes; mentoring produces career satisfaction. Both matter, but sponsorship is the scarcer resource.</w:t>
      </w:r>
    </w:p>
    <w:p>
      <w:pPr>
        <w:pStyle w:val="ListParagraph"/>
        <w:numPr>
          <w:ilvl w:val="0"/>
          <w:numId w:val="2"/>
        </w:numPr>
        <w:spacing w:before="20" w:after="20" w:line="276"/>
      </w:pPr>
      <w:r>
        <w:rPr>
          <w:rFonts w:ascii="Calibri" w:cs="Calibri" w:eastAsia="Calibri" w:hAnsi="Calibri"/>
          <w:color w:val="1A1A1A"/>
          <w:sz w:val="22"/>
          <w:szCs w:val="22"/>
        </w:rPr>
        <w:t xml:space="preserve">Build a formal returnship programme. The conversion rate and post-return retention data from documented programmes is compelling enough to make the business case straightforwardly.</w:t>
      </w:r>
    </w:p>
    <w:p>
      <w:pPr>
        <w:pStyle w:val="ListParagraph"/>
        <w:numPr>
          <w:ilvl w:val="0"/>
          <w:numId w:val="2"/>
        </w:numPr>
        <w:spacing w:before="20" w:after="20" w:line="276"/>
      </w:pPr>
      <w:r>
        <w:rPr>
          <w:rFonts w:ascii="Calibri" w:cs="Calibri" w:eastAsia="Calibri" w:hAnsi="Calibri"/>
          <w:color w:val="1A1A1A"/>
          <w:sz w:val="22"/>
          <w:szCs w:val="22"/>
        </w:rPr>
        <w:t xml:space="preserve">Conduct annual compensation parity audits. Accumulated compensation gaps at the director-to-VP transition band are a measurable problem with a tractable solution.</w:t>
      </w:r>
    </w:p>
    <w:p>
      <w:pPr>
        <w:pStyle w:val="ListParagraph"/>
        <w:numPr>
          <w:ilvl w:val="0"/>
          <w:numId w:val="2"/>
        </w:numPr>
        <w:spacing w:before="20" w:after="20" w:line="276"/>
      </w:pPr>
      <w:r>
        <w:rPr>
          <w:rFonts w:ascii="Calibri" w:cs="Calibri" w:eastAsia="Calibri" w:hAnsi="Calibri"/>
          <w:color w:val="1A1A1A"/>
          <w:sz w:val="22"/>
          <w:szCs w:val="22"/>
        </w:rPr>
        <w:t xml:space="preserve">Make flexible work a governance commitment, not a policy statement. Track usage and performance rating correlation. Address any documented penalty effect immediately.</w:t>
      </w:r>
    </w:p>
    <w:p>
      <w:pPr>
        <w:pStyle w:val="ListParagraph"/>
        <w:numPr>
          <w:ilvl w:val="0"/>
          <w:numId w:val="2"/>
        </w:numPr>
        <w:spacing w:before="20" w:after="20" w:line="276"/>
      </w:pPr>
      <w:r>
        <w:rPr>
          <w:rFonts w:ascii="Calibri" w:cs="Calibri" w:eastAsia="Calibri" w:hAnsi="Calibri"/>
          <w:color w:val="1A1A1A"/>
          <w:sz w:val="22"/>
          <w:szCs w:val="22"/>
        </w:rPr>
        <w:t xml:space="preserve">The GCC Head's visible, active sponsorship is the single most powerful signal. Nominal association with women's programmes is not sponsorship.</w:t>
      </w:r>
    </w:p>
    <w:p>
      <w:pPr>
        <w:pStyle w:val="ListParagraph"/>
        <w:numPr>
          <w:ilvl w:val="0"/>
          <w:numId w:val="2"/>
        </w:numPr>
        <w:spacing w:before="20" w:after="20" w:line="276"/>
      </w:pPr>
      <w:r>
        <w:rPr>
          <w:rFonts w:ascii="Calibri" w:cs="Calibri" w:eastAsia="Calibri" w:hAnsi="Calibri"/>
          <w:color w:val="1A1A1A"/>
          <w:sz w:val="22"/>
          <w:szCs w:val="22"/>
        </w:rPr>
        <w:t xml:space="preserve">POSH compliance is the floor, not the ceiling. Build the cultural architecture that makes formal complaints rare.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THIRTEEN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Mid-Market GCC Playbook</w:t>
      </w:r>
    </w:p>
    <w:p>
      <w:pPr>
        <w:spacing w:before="40" w:after="40" w:line="276"/>
      </w:pPr>
      <w:r>
        <w:rPr>
          <w:rFonts w:ascii="Calibri" w:cs="Calibri" w:eastAsia="Calibri" w:hAnsi="Calibri"/>
          <w:i/>
          <w:iCs/>
          <w:color w:val="555555"/>
          <w:sz w:val="21"/>
          <w:szCs w:val="21"/>
        </w:rPr>
        <w:t xml:space="preserve">The USD 100M-5B Enterprise Building Its First GCC</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13.1 The Most Underserved Segment in the GCC Ecosystem</w:t>
      </w:r>
    </w:p>
    <w:p>
      <w:pPr>
        <w:spacing w:before="0" w:after="100" w:line="288"/>
      </w:pPr>
      <w:r>
        <w:rPr>
          <w:rFonts w:ascii="Calibri" w:cs="Calibri" w:eastAsia="Calibri" w:hAnsi="Calibri"/>
          <w:color w:val="1A1A1A"/>
          <w:sz w:val="22"/>
          <w:szCs w:val="22"/>
        </w:rPr>
        <w:t xml:space="preserve">Parts I and II address the full GCC size spectrum, but the most practically underserved segment in the ecosystem literature is the mid-market enterprise: a global company with USD 100M-5B in annual revenue, building its first India GCC with a target of 50-500 people over a 3-5 year period.</w:t>
      </w:r>
    </w:p>
    <w:p>
      <w:pPr>
        <w:spacing w:before="0" w:after="100" w:line="288"/>
      </w:pPr>
      <w:r>
        <w:rPr>
          <w:rFonts w:ascii="Calibri" w:cs="Calibri" w:eastAsia="Calibri" w:hAnsi="Calibri"/>
          <w:color w:val="1A1A1A"/>
          <w:sz w:val="22"/>
          <w:szCs w:val="22"/>
        </w:rPr>
        <w:t xml:space="preserve">This enterprise cannot afford the full-time dedicated GCC team that a Fortune 500 builds. It cannot wait 3 years to prove business case before committing. It needs a faster path from concept to operating center with lower upfront investment and more flexible governance. And it faces a talent market that was primarily designed for either startups or large enterprises  -  not for the company that is substantial enough to be credible to senior India talent, but not prominent enough to attract talent through brand recognition alone.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13.2 The Right Operating Model for Mid-Market Entry</w:t>
      </w:r>
    </w:p>
    <w:p>
      <w:pPr>
        <w:spacing w:before="120" w:after="60" w:line="276"/>
      </w:pPr>
      <w:r>
        <w:rPr>
          <w:rFonts w:ascii="Calibri" w:cs="Calibri" w:eastAsia="Calibri" w:hAnsi="Calibri"/>
          <w:b/>
          <w:bCs/>
          <w:color w:val="1A1A1A"/>
          <w:sz w:val="22"/>
          <w:szCs w:val="22"/>
        </w:rPr>
        <w:t xml:space="preserve">BOT as the Default</w:t>
      </w:r>
    </w:p>
    <w:p>
      <w:pPr>
        <w:spacing w:before="0" w:after="100" w:line="288"/>
      </w:pPr>
      <w:r>
        <w:rPr>
          <w:rFonts w:ascii="Calibri" w:cs="Calibri" w:eastAsia="Calibri" w:hAnsi="Calibri"/>
          <w:color w:val="1A1A1A"/>
          <w:sz w:val="22"/>
          <w:szCs w:val="22"/>
        </w:rPr>
        <w:t xml:space="preserve">The Build-Operate-Transfer model was designed for exactly this use case. A specialist India GCC partner builds the team, establishes operations, and manages the center during the early phase, transferring ownership to the enterprise at an agreed point. For a mid-market enterprise without India operating experience, this dramatically reduces setup risk.</w:t>
      </w:r>
    </w:p>
    <w:p>
      <w:pPr>
        <w:spacing w:before="0" w:after="100" w:line="288"/>
      </w:pPr>
      <w:r>
        <w:rPr>
          <w:rFonts w:ascii="Calibri" w:cs="Calibri" w:eastAsia="Calibri" w:hAnsi="Calibri"/>
          <w:color w:val="1A1A1A"/>
          <w:sz w:val="22"/>
          <w:szCs w:val="22"/>
        </w:rPr>
        <w:t xml:space="preserve">The mid-market BOT structure typically covers: entity setup and regulatory compliance, founding team hire (the first 10-20 people), workspace setup in a managed office or shared coworking facility, HR, payroll, and compliance infrastructure, and operational management for the first 18-24 months.</w:t>
      </w:r>
    </w:p>
    <w:p>
      <w:pPr>
        <w:spacing w:before="0" w:after="100" w:line="288"/>
      </w:pPr>
      <w:r>
        <w:rPr>
          <w:rFonts w:ascii="Calibri" w:cs="Calibri" w:eastAsia="Calibri" w:hAnsi="Calibri"/>
          <w:color w:val="1A1A1A"/>
          <w:sz w:val="22"/>
          <w:szCs w:val="22"/>
        </w:rPr>
        <w:t xml:space="preserve">Cost of a BOT arrangement for a 50-person center in Bengaluru in 2026: approximately USD 1.5-2.5 million in the first year, including BOT partner fees, infrastructure, and employment costs. This compares to USD 800K-1.2 million for a fully captive setup  -  the BOT premium of 40-70% buys risk reduction, operational expertise, and 6-12 months faster to productive operation.</w:t>
      </w:r>
    </w:p>
    <w:p>
      <w:pPr>
        <w:spacing w:before="120" w:after="60" w:line="276"/>
      </w:pPr>
      <w:r>
        <w:rPr>
          <w:rFonts w:ascii="Calibri" w:cs="Calibri" w:eastAsia="Calibri" w:hAnsi="Calibri"/>
          <w:b/>
          <w:bCs/>
          <w:color w:val="1A1A1A"/>
          <w:sz w:val="22"/>
          <w:szCs w:val="22"/>
        </w:rPr>
        <w:t xml:space="preserve">The BOOT Alternative</w:t>
      </w:r>
    </w:p>
    <w:p>
      <w:pPr>
        <w:spacing w:before="0" w:after="100" w:line="288"/>
      </w:pPr>
      <w:r>
        <w:rPr>
          <w:rFonts w:ascii="Calibri" w:cs="Calibri" w:eastAsia="Calibri" w:hAnsi="Calibri"/>
          <w:color w:val="1A1A1A"/>
          <w:sz w:val="22"/>
          <w:szCs w:val="22"/>
        </w:rPr>
        <w:t xml:space="preserve">For enterprises that are risk-averse about legal entity ownership from day one, the BOOT (Build-Own-Operate-Transfer) model removes balance sheet ownership during the operate phase. The partner owns the India entity during build and operation; ownership transfers at the agreed trigger point. This structure is appropriate for enterprises where the CFO is unwilling to consolidate an India subsidiary until the business case is proven at 12-18 months of operation.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13.3 City Selection for Mid-Market GCCs</w:t>
      </w:r>
    </w:p>
    <w:p>
      <w:pPr>
        <w:spacing w:before="0" w:after="100" w:line="288"/>
      </w:pPr>
      <w:r>
        <w:rPr>
          <w:rFonts w:ascii="Calibri" w:cs="Calibri" w:eastAsia="Calibri" w:hAnsi="Calibri"/>
          <w:color w:val="1A1A1A"/>
          <w:sz w:val="22"/>
          <w:szCs w:val="22"/>
        </w:rPr>
        <w:t xml:space="preserve">The mid-market enterprise faces a different city selection decision than a Fortune 500. For a Fortune 500, talent access at scale drives the decision toward Bengaluru. For a mid-market GCC targeting 50-200 people in a specific domain, the cost and competition dynamics of Bengaluru may not be optimal.</w:t>
      </w:r>
    </w:p>
    <w:p>
      <w:pPr>
        <w:spacing w:before="120" w:after="60" w:line="276"/>
      </w:pPr>
      <w:r>
        <w:rPr>
          <w:rFonts w:ascii="Calibri" w:cs="Calibri" w:eastAsia="Calibri" w:hAnsi="Calibri"/>
          <w:b/>
          <w:bCs/>
          <w:color w:val="1A1A1A"/>
          <w:sz w:val="22"/>
          <w:szCs w:val="22"/>
        </w:rPr>
        <w:t xml:space="preserve">Pune: The Mid-Market Default</w:t>
      </w:r>
    </w:p>
    <w:p>
      <w:pPr>
        <w:spacing w:before="0" w:after="100" w:line="288"/>
      </w:pPr>
      <w:r>
        <w:rPr>
          <w:rFonts w:ascii="Calibri" w:cs="Calibri" w:eastAsia="Calibri" w:hAnsi="Calibri"/>
          <w:color w:val="1A1A1A"/>
          <w:sz w:val="22"/>
          <w:szCs w:val="22"/>
        </w:rPr>
        <w:t xml:space="preserve">Pune has emerged as the most practical default city for mid-market GCCs. The rationale: lower compensation benchmarks than Bengaluru (15-20% lower for equivalent roles), a strong engineering university base (Pune University, College of Engineering Pune, COEP), mature technology infrastructure, and lower competition for talent than Bengaluru's saturated market. The Hinjewadi IT Park and Kharadi corridor provide GCC-grade office infrastructure at significantly lower cost than Bengaluru's ORR corridor.</w:t>
      </w:r>
    </w:p>
    <w:p>
      <w:pPr>
        <w:spacing w:before="120" w:after="60" w:line="276"/>
      </w:pPr>
      <w:r>
        <w:rPr>
          <w:rFonts w:ascii="Calibri" w:cs="Calibri" w:eastAsia="Calibri" w:hAnsi="Calibri"/>
          <w:b/>
          <w:bCs/>
          <w:color w:val="1A1A1A"/>
          <w:sz w:val="22"/>
          <w:szCs w:val="22"/>
        </w:rPr>
        <w:t xml:space="preserve">Hyderabad: The Second Option</w:t>
      </w:r>
    </w:p>
    <w:p>
      <w:pPr>
        <w:spacing w:before="0" w:after="100" w:line="288"/>
      </w:pPr>
      <w:r>
        <w:rPr>
          <w:rFonts w:ascii="Calibri" w:cs="Calibri" w:eastAsia="Calibri" w:hAnsi="Calibri"/>
          <w:color w:val="1A1A1A"/>
          <w:sz w:val="22"/>
          <w:szCs w:val="22"/>
        </w:rPr>
        <w:t xml:space="preserve">Hyderabad offers similar cost advantages to Pune with a larger talent pool. HITEC City and the Financial District provide world-class infrastructure. The HYSEA community is actively supportive of mid-market GCC entrants. For enterprises in BFSI, healthcare, or general technology, Hyderabad is a strong second option.</w:t>
      </w:r>
    </w:p>
    <w:p>
      <w:pPr>
        <w:spacing w:before="120" w:after="60" w:line="276"/>
      </w:pPr>
      <w:r>
        <w:rPr>
          <w:rFonts w:ascii="Calibri" w:cs="Calibri" w:eastAsia="Calibri" w:hAnsi="Calibri"/>
          <w:b/>
          <w:bCs/>
          <w:color w:val="1A1A1A"/>
          <w:sz w:val="22"/>
          <w:szCs w:val="22"/>
        </w:rPr>
        <w:t xml:space="preserve">Chennai: For Engineering Depth</w:t>
      </w:r>
    </w:p>
    <w:p>
      <w:pPr>
        <w:spacing w:before="0" w:after="100" w:line="288"/>
      </w:pPr>
      <w:r>
        <w:rPr>
          <w:rFonts w:ascii="Calibri" w:cs="Calibri" w:eastAsia="Calibri" w:hAnsi="Calibri"/>
          <w:color w:val="1A1A1A"/>
          <w:sz w:val="22"/>
          <w:szCs w:val="22"/>
        </w:rPr>
        <w:t xml:space="preserve">Chennai's engineering heritage  -  Cognizant, Zoho, TCS, Ford India, Caterpillar  -  makes it the best option for mid-market GCCs in manufacturing technology, automotive ER&amp;D, and hardware engineering. Compensation benchmarks are 20-25% lower than Bengaluru for equivalent roles.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13.4 Talent Strategy for Mid-Market GCCs</w:t>
      </w:r>
    </w:p>
    <w:p>
      <w:pPr>
        <w:spacing w:before="120" w:after="60" w:line="276"/>
      </w:pPr>
      <w:r>
        <w:rPr>
          <w:rFonts w:ascii="Calibri" w:cs="Calibri" w:eastAsia="Calibri" w:hAnsi="Calibri"/>
          <w:b/>
          <w:bCs/>
          <w:color w:val="1A1A1A"/>
          <w:sz w:val="22"/>
          <w:szCs w:val="22"/>
        </w:rPr>
        <w:t xml:space="preserve">The Founding Hire Is Everything</w:t>
      </w:r>
    </w:p>
    <w:p>
      <w:pPr>
        <w:spacing w:before="0" w:after="100" w:line="288"/>
      </w:pPr>
      <w:r>
        <w:rPr>
          <w:rFonts w:ascii="Calibri" w:cs="Calibri" w:eastAsia="Calibri" w:hAnsi="Calibri"/>
          <w:color w:val="1A1A1A"/>
          <w:sz w:val="22"/>
          <w:szCs w:val="22"/>
        </w:rPr>
        <w:t xml:space="preserve">The founding hire for a mid-market GCC must have three qualities that are difficult to find simultaneously: domain expertise in the function the center is being built for, GCC setup experience (having done this before), and enough leadership credibility to attract the first 10-20 hires without the benefit of a strong employer brand. The market for people who genuinely combine all three is thin, and the cost of a wrong founding hire is 18-24 months of lost progress.</w:t>
      </w:r>
    </w:p>
    <w:p>
      <w:pPr>
        <w:spacing w:before="120" w:after="60" w:line="276"/>
      </w:pPr>
      <w:r>
        <w:rPr>
          <w:rFonts w:ascii="Calibri" w:cs="Calibri" w:eastAsia="Calibri" w:hAnsi="Calibri"/>
          <w:b/>
          <w:bCs/>
          <w:color w:val="1A1A1A"/>
          <w:sz w:val="22"/>
          <w:szCs w:val="22"/>
        </w:rPr>
        <w:t xml:space="preserve">Building Employer Brand from Zero</w:t>
      </w:r>
    </w:p>
    <w:p>
      <w:pPr>
        <w:spacing w:before="0" w:after="100" w:line="288"/>
      </w:pPr>
      <w:r>
        <w:rPr>
          <w:rFonts w:ascii="Calibri" w:cs="Calibri" w:eastAsia="Calibri" w:hAnsi="Calibri"/>
          <w:color w:val="1A1A1A"/>
          <w:sz w:val="22"/>
          <w:szCs w:val="22"/>
        </w:rPr>
        <w:t xml:space="preserve">Mid-market enterprises face the employer brand challenge starkly: India's best talent can choose from hundreds of well-known GCCs. Why join an unfamiliar brand? The answer cannot be "because we are a great company"  -  every employer says that. The answer must be specific: the quality and complexity of the work, the visibility and accountability of the role, the leadership team's personal credibility, and the career development pathway.</w:t>
      </w:r>
    </w:p>
    <w:p>
      <w:pPr>
        <w:spacing w:before="0" w:after="100" w:line="288"/>
      </w:pPr>
      <w:r>
        <w:rPr>
          <w:rFonts w:ascii="Calibri" w:cs="Calibri" w:eastAsia="Calibri" w:hAnsi="Calibri"/>
          <w:color w:val="1A1A1A"/>
          <w:sz w:val="22"/>
          <w:szCs w:val="22"/>
        </w:rPr>
        <w:t xml:space="preserve">The tactic that works: the GCC Head and founding team's personal reputation and network carry the employer brand in the first 18-24 months. Hire a founding team whose networks in the specific talent segment you are targeting are strong enough to attract the first cohort without institutional brand recognition. The institutional brand is built from that cohort's experience and endorsement.</w:t>
      </w:r>
    </w:p>
    <w:p>
      <w:pPr>
        <w:spacing w:before="120" w:after="60" w:line="276"/>
      </w:pPr>
      <w:r>
        <w:rPr>
          <w:rFonts w:ascii="Calibri" w:cs="Calibri" w:eastAsia="Calibri" w:hAnsi="Calibri"/>
          <w:b/>
          <w:bCs/>
          <w:color w:val="1A1A1A"/>
          <w:sz w:val="22"/>
          <w:szCs w:val="22"/>
        </w:rPr>
        <w:t xml:space="preserve">The Compensation Premium</w:t>
      </w:r>
    </w:p>
    <w:p>
      <w:pPr>
        <w:spacing w:before="0" w:after="100" w:line="288"/>
      </w:pPr>
      <w:r>
        <w:rPr>
          <w:rFonts w:ascii="Calibri" w:cs="Calibri" w:eastAsia="Calibri" w:hAnsi="Calibri"/>
          <w:color w:val="1A1A1A"/>
          <w:sz w:val="22"/>
          <w:szCs w:val="22"/>
        </w:rPr>
        <w:t xml:space="preserve">Mid-market GCCs must pay a premium to attract talent away from the certainty of a known large GCC employer. The benchmark: 15-20% above P50 market compensation for the first 30 hires. This premium reduces as the employer brand develops  -  most mid-market GCCs find that by hire 50-60, they can compete at P50-P60 for most roles. The upfront premium is a brand-building investment.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13.5 Governance for 50-500 Headcount</w:t>
      </w:r>
    </w:p>
    <w:p>
      <w:pPr>
        <w:spacing w:before="0" w:after="100" w:line="288"/>
      </w:pPr>
      <w:r>
        <w:rPr>
          <w:rFonts w:ascii="Calibri" w:cs="Calibri" w:eastAsia="Calibri" w:hAnsi="Calibri"/>
          <w:color w:val="1A1A1A"/>
          <w:sz w:val="22"/>
          <w:szCs w:val="22"/>
        </w:rPr>
        <w:t xml:space="preserve">The mid-market GCC at 50-200 headcount cannot afford the governance infrastructure of a Large GCC. But under-governance is the failure mode most associated with early-stage center dissolution. The minimum viable governance architecture for a mid-market GCC:</w:t>
      </w:r>
    </w:p>
    <w:p>
      <w:pPr>
        <w:spacing w:before="0" w:after="100" w:line="288"/>
      </w:pPr>
      <w:r>
        <w:rPr>
          <w:rFonts w:ascii="Calibri" w:cs="Calibri" w:eastAsia="Calibri" w:hAnsi="Calibri"/>
          <w:color w:val="1A1A1A"/>
          <w:sz w:val="22"/>
          <w:szCs w:val="22"/>
        </w:rPr>
        <w:t xml:space="preserve">A monthly operating review between the India GCC Head and the primary global sponsor, covering: headcount, attrition, delivery metrics, financial performance, and top 3 risks.</w:t>
      </w:r>
    </w:p>
    <w:p>
      <w:pPr>
        <w:spacing w:before="0" w:after="100" w:line="288"/>
      </w:pPr>
      <w:r>
        <w:rPr>
          <w:rFonts w:ascii="Calibri" w:cs="Calibri" w:eastAsia="Calibri" w:hAnsi="Calibri"/>
          <w:color w:val="1A1A1A"/>
          <w:sz w:val="22"/>
          <w:szCs w:val="22"/>
        </w:rPr>
        <w:t xml:space="preserve">A quarterly business review with the global leadership team (not just the sponsor), covering: strategic alignment, maturity progression, market position, and 12-month forecast.</w:t>
      </w:r>
    </w:p>
    <w:p>
      <w:pPr>
        <w:spacing w:before="0" w:after="100" w:line="288"/>
      </w:pPr>
      <w:r>
        <w:rPr>
          <w:rFonts w:ascii="Calibri" w:cs="Calibri" w:eastAsia="Calibri" w:hAnsi="Calibri"/>
          <w:color w:val="1A1A1A"/>
          <w:sz w:val="22"/>
          <w:szCs w:val="22"/>
        </w:rPr>
        <w:t xml:space="preserve">A defined escalation protocol for compliance events, talent crises, and operational disruptions  -  who calls whom, within what timeframe, with what information.</w:t>
      </w:r>
    </w:p>
    <w:p>
      <w:pPr>
        <w:spacing w:before="0" w:after="100" w:line="288"/>
      </w:pPr>
      <w:r>
        <w:rPr>
          <w:rFonts w:ascii="Calibri" w:cs="Calibri" w:eastAsia="Calibri" w:hAnsi="Calibri"/>
          <w:color w:val="1A1A1A"/>
          <w:sz w:val="22"/>
          <w:szCs w:val="22"/>
        </w:rPr>
        <w:t xml:space="preserve">An annual external governance review: a one-day facilitated review with an independent GCC governance advisor to assess the center's maturity, identify governance gaps, and prioritise the next year's governance investments.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13.6 Chapter Summary: Seven Mid-Market GCC Principles</w:t>
      </w:r>
    </w:p>
    <w:p>
      <w:pPr>
        <w:pStyle w:val="ListParagraph"/>
        <w:numPr>
          <w:ilvl w:val="0"/>
          <w:numId w:val="2"/>
        </w:numPr>
        <w:spacing w:before="20" w:after="20" w:line="276"/>
      </w:pPr>
      <w:r>
        <w:rPr>
          <w:rFonts w:ascii="Calibri" w:cs="Calibri" w:eastAsia="Calibri" w:hAnsi="Calibri"/>
          <w:color w:val="1A1A1A"/>
          <w:sz w:val="22"/>
          <w:szCs w:val="22"/>
        </w:rPr>
        <w:t xml:space="preserve">BOT is the right model for most mid-market entrants. The 40-70% cost premium over captive setup buys risk reduction and speed that justify the premium.</w:t>
      </w:r>
    </w:p>
    <w:p>
      <w:pPr>
        <w:pStyle w:val="ListParagraph"/>
        <w:numPr>
          <w:ilvl w:val="0"/>
          <w:numId w:val="2"/>
        </w:numPr>
        <w:spacing w:before="20" w:after="20" w:line="276"/>
      </w:pPr>
      <w:r>
        <w:rPr>
          <w:rFonts w:ascii="Calibri" w:cs="Calibri" w:eastAsia="Calibri" w:hAnsi="Calibri"/>
          <w:color w:val="1A1A1A"/>
          <w:sz w:val="22"/>
          <w:szCs w:val="22"/>
        </w:rPr>
        <w:t xml:space="preserve">Pune or Hyderabad before Bengaluru. The cost, competition, and talent access dynamics of Bengaluru do not favour mid-market GCCs in most function types.</w:t>
      </w:r>
    </w:p>
    <w:p>
      <w:pPr>
        <w:pStyle w:val="ListParagraph"/>
        <w:numPr>
          <w:ilvl w:val="0"/>
          <w:numId w:val="2"/>
        </w:numPr>
        <w:spacing w:before="20" w:after="20" w:line="276"/>
      </w:pPr>
      <w:r>
        <w:rPr>
          <w:rFonts w:ascii="Calibri" w:cs="Calibri" w:eastAsia="Calibri" w:hAnsi="Calibri"/>
          <w:color w:val="1A1A1A"/>
          <w:sz w:val="22"/>
          <w:szCs w:val="22"/>
        </w:rPr>
        <w:t xml:space="preserve">The founding hire is the most important single decision. The cost of a wrong founding hire is 18-24 months. Pay the market premium to get it right.</w:t>
      </w:r>
    </w:p>
    <w:p>
      <w:pPr>
        <w:pStyle w:val="ListParagraph"/>
        <w:numPr>
          <w:ilvl w:val="0"/>
          <w:numId w:val="2"/>
        </w:numPr>
        <w:spacing w:before="20" w:after="20" w:line="276"/>
      </w:pPr>
      <w:r>
        <w:rPr>
          <w:rFonts w:ascii="Calibri" w:cs="Calibri" w:eastAsia="Calibri" w:hAnsi="Calibri"/>
          <w:color w:val="1A1A1A"/>
          <w:sz w:val="22"/>
          <w:szCs w:val="22"/>
        </w:rPr>
        <w:t xml:space="preserve">Plan for a 15-20% compensation premium on the first 30 hires. This is brand-building investment, not excessive cost.</w:t>
      </w:r>
    </w:p>
    <w:p>
      <w:pPr>
        <w:pStyle w:val="ListParagraph"/>
        <w:numPr>
          <w:ilvl w:val="0"/>
          <w:numId w:val="2"/>
        </w:numPr>
        <w:spacing w:before="20" w:after="20" w:line="276"/>
      </w:pPr>
      <w:r>
        <w:rPr>
          <w:rFonts w:ascii="Calibri" w:cs="Calibri" w:eastAsia="Calibri" w:hAnsi="Calibri"/>
          <w:color w:val="1A1A1A"/>
          <w:sz w:val="22"/>
          <w:szCs w:val="22"/>
        </w:rPr>
        <w:t xml:space="preserve">Minimum viable governance: monthly operating review, quarterly business review, compliance escalation protocol, and annual external governance assessment.</w:t>
      </w:r>
    </w:p>
    <w:p>
      <w:pPr>
        <w:pStyle w:val="ListParagraph"/>
        <w:numPr>
          <w:ilvl w:val="0"/>
          <w:numId w:val="2"/>
        </w:numPr>
        <w:spacing w:before="20" w:after="20" w:line="276"/>
      </w:pPr>
      <w:r>
        <w:rPr>
          <w:rFonts w:ascii="Calibri" w:cs="Calibri" w:eastAsia="Calibri" w:hAnsi="Calibri"/>
          <w:color w:val="1A1A1A"/>
          <w:sz w:val="22"/>
          <w:szCs w:val="22"/>
        </w:rPr>
        <w:t xml:space="preserve">Build the employer brand through the founding team's personal network and reputation in the first 18-24 months. Institutional brand follows performance and tenure.</w:t>
      </w:r>
    </w:p>
    <w:p>
      <w:pPr>
        <w:pStyle w:val="ListParagraph"/>
        <w:numPr>
          <w:ilvl w:val="0"/>
          <w:numId w:val="2"/>
        </w:numPr>
        <w:spacing w:before="20" w:after="20" w:line="276"/>
      </w:pPr>
      <w:r>
        <w:rPr>
          <w:rFonts w:ascii="Calibri" w:cs="Calibri" w:eastAsia="Calibri" w:hAnsi="Calibri"/>
          <w:color w:val="1A1A1A"/>
          <w:sz w:val="22"/>
          <w:szCs w:val="22"/>
        </w:rPr>
        <w:t xml:space="preserve">Manage the 50-person governance transition explicitly. It is the most common failure point for mid-market GCCs: the informal setup that works at 30 breaks at 60.</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FOURTEEN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Mental Health and Workforce Wellbeing</w:t>
      </w:r>
    </w:p>
    <w:p>
      <w:pPr>
        <w:spacing w:before="40" w:after="40" w:line="276"/>
      </w:pPr>
      <w:r>
        <w:rPr>
          <w:rFonts w:ascii="Calibri" w:cs="Calibri" w:eastAsia="Calibri" w:hAnsi="Calibri"/>
          <w:i/>
          <w:iCs/>
          <w:color w:val="555555"/>
          <w:sz w:val="21"/>
          <w:szCs w:val="21"/>
        </w:rPr>
        <w:t xml:space="preserve">Governance, Infrastructure, and the Attrition Connection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14.1 The Conversation the Ecosystem Has Not Had</w:t>
      </w:r>
    </w:p>
    <w:p>
      <w:pPr>
        <w:spacing w:before="0" w:after="100" w:line="288"/>
      </w:pPr>
      <w:r>
        <w:rPr>
          <w:rFonts w:ascii="Calibri" w:cs="Calibri" w:eastAsia="Calibri" w:hAnsi="Calibri"/>
          <w:color w:val="1A1A1A"/>
          <w:sz w:val="22"/>
          <w:szCs w:val="22"/>
        </w:rPr>
        <w:t xml:space="preserve">Mental health and workforce wellbeing are discussed in GCC annual reports and NASSCOM community presentations with increasing frequency. They are governed with the same rigour as attrition management or governance architecture at very few centers. The gap between acknowledgment and governance is a practical failure: the wellbeing conditions that drive the highest-return-investment attrition reduction are known, measurable, and addressable. They are simply not being addressed systematically.</w:t>
      </w:r>
    </w:p>
    <w:p>
      <w:pPr>
        <w:spacing w:before="0" w:after="100" w:line="288"/>
      </w:pPr>
      <w:r>
        <w:rPr>
          <w:rFonts w:ascii="Calibri" w:cs="Calibri" w:eastAsia="Calibri" w:hAnsi="Calibri"/>
          <w:color w:val="1A1A1A"/>
          <w:sz w:val="22"/>
          <w:szCs w:val="22"/>
        </w:rPr>
        <w:t xml:space="preserve">The data is direct. The 2025 SRKay Survey of 301 GCC leaders found that workforce burnout is cited as a top-three operational challenge by 44% of respondents  -  a higher proportion than technology infrastructure, compliance burden, or HQ relationship complexity. The same survey found that fewer than 30% of GCCs have a structured Employee Assistance Programme (EAP) accessible to all employees. And the Mercer India Workforce Report 2025 found that employees who rate their wellbeing infrastructure as poor are 2.4x more likely to be actively seeking alternative employment than those who rate it as good.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14.2 The Burnout Architecture: What Is Driving It</w:t>
      </w:r>
    </w:p>
    <w:p>
      <w:pPr>
        <w:spacing w:before="0" w:after="100" w:line="288"/>
      </w:pPr>
      <w:r>
        <w:rPr>
          <w:rFonts w:ascii="Calibri" w:cs="Calibri" w:eastAsia="Calibri" w:hAnsi="Calibri"/>
          <w:color w:val="1A1A1A"/>
          <w:sz w:val="22"/>
          <w:szCs w:val="22"/>
        </w:rPr>
        <w:t xml:space="preserve">Burnout in GCC contexts has three primary structural drivers that differ from burnout in standard corporate environments.</w:t>
      </w:r>
    </w:p>
    <w:p>
      <w:pPr>
        <w:spacing w:before="0" w:after="100" w:line="288"/>
      </w:pPr>
      <w:r>
        <w:rPr>
          <w:rFonts w:ascii="Calibri" w:cs="Calibri" w:eastAsia="Calibri" w:hAnsi="Calibri"/>
          <w:color w:val="1A1A1A"/>
          <w:sz w:val="22"/>
          <w:szCs w:val="22"/>
        </w:rPr>
        <w:t xml:space="preserve">Time zone pressure. GCCs supporting US or European headquarters operate in a stretched time zone context. A Bengaluru team supporting US East Coast headquarters is effectively working a 2-10 PM India shift for collaboration hours. Sustained time zone stretch  -  more than 30% of working time outside core hours over an extended period  -  is a documented burnout precursor. This is not about individual inability to handle the workload; it is about structural work design that is incompatible with sustainable performance.</w:t>
      </w:r>
    </w:p>
    <w:p>
      <w:pPr>
        <w:spacing w:before="0" w:after="100" w:line="288"/>
      </w:pPr>
      <w:r>
        <w:rPr>
          <w:rFonts w:ascii="Calibri" w:cs="Calibri" w:eastAsia="Calibri" w:hAnsi="Calibri"/>
          <w:color w:val="1A1A1A"/>
          <w:sz w:val="22"/>
          <w:szCs w:val="22"/>
        </w:rPr>
        <w:t xml:space="preserve">Role ambiguity at the HQ interface. India teams that are unclear about their authority, their mandate, and the criteria by which their work will be evaluated by global stakeholders are in a chronic state of ambiguity that is cognitively and emotionally draining. The governance designs in Parts I and II address this structurally. But many GCCs have adequate governance documentation that is not operationalised  -  the governance framework exists but the day-to-day experience of employees is still characterised by ambiguity.</w:t>
      </w:r>
    </w:p>
    <w:p>
      <w:pPr>
        <w:spacing w:before="0" w:after="100" w:line="288"/>
      </w:pPr>
      <w:r>
        <w:rPr>
          <w:rFonts w:ascii="Calibri" w:cs="Calibri" w:eastAsia="Calibri" w:hAnsi="Calibri"/>
          <w:color w:val="1A1A1A"/>
          <w:sz w:val="22"/>
          <w:szCs w:val="22"/>
        </w:rPr>
        <w:t xml:space="preserve">Rapid growth without infrastructure investment. GCCs that scale from 200 to 800 people in 24 months are frequently doing so with people management infrastructure (HR business partners, management capability, career development systems) designed for 200 people. The managers being asked to run teams of 30 at 800-person scale received the same management development as the managers running teams of 8 at 200-person scale. Rapid growth without proportional investment in people management capability is a predictable wellbeing risk.</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14.3 The Wellbeing Infrastructure Architecture</w:t>
      </w:r>
    </w:p>
    <w:p>
      <w:pPr>
        <w:spacing w:before="120" w:after="60" w:line="276"/>
      </w:pPr>
      <w:r>
        <w:rPr>
          <w:rFonts w:ascii="Calibri" w:cs="Calibri" w:eastAsia="Calibri" w:hAnsi="Calibri"/>
          <w:b/>
          <w:bCs/>
          <w:color w:val="1A1A1A"/>
          <w:sz w:val="22"/>
          <w:szCs w:val="22"/>
        </w:rPr>
        <w:t xml:space="preserve">Layer 1: The Employee Assistance Programme (EAP)</w:t>
      </w:r>
    </w:p>
    <w:p>
      <w:pPr>
        <w:spacing w:before="0" w:after="100" w:line="288"/>
      </w:pPr>
      <w:r>
        <w:rPr>
          <w:rFonts w:ascii="Calibri" w:cs="Calibri" w:eastAsia="Calibri" w:hAnsi="Calibri"/>
          <w:color w:val="1A1A1A"/>
          <w:sz w:val="22"/>
          <w:szCs w:val="22"/>
        </w:rPr>
        <w:t xml:space="preserve">An EAP provides confidential professional support  -  counselling, financial guidance, legal helpline, crisis intervention  -  to all employees and their immediate family members. Cost: INR 800-1,500 per employee per year for a full-service EAP through providers including Optum Health, 1to1help, or Mpower. For a 500-person GCC, the annual cost is INR 40-75 lakh  -  roughly equivalent to the cost of replacing two mid-level engineers.</w:t>
      </w:r>
    </w:p>
    <w:p>
      <w:pPr>
        <w:spacing w:before="0" w:after="100" w:line="288"/>
      </w:pPr>
      <w:r>
        <w:rPr>
          <w:rFonts w:ascii="Calibri" w:cs="Calibri" w:eastAsia="Calibri" w:hAnsi="Calibri"/>
          <w:color w:val="1A1A1A"/>
          <w:sz w:val="22"/>
          <w:szCs w:val="22"/>
        </w:rPr>
        <w:t xml:space="preserve">EAP utilisation rates in India GCCs are low by global standards  -  typically 2-5% of eligible employees use the service in any given year. Low utilisation is not evidence that the programme is unnecessary; it is evidence of stigma reduction requirements. GCCs with low EAP utilisation need active de-stigmatisation campaigns: manager training, leadership communication about EAP use as a strength rather than a sign of struggle, and specific promotion of the financial guidance and legal services (which carry less stigma than mental health services and create an entry point to the broader programme).</w:t>
      </w:r>
    </w:p>
    <w:p>
      <w:pPr>
        <w:spacing w:before="120" w:after="60" w:line="276"/>
      </w:pPr>
      <w:r>
        <w:rPr>
          <w:rFonts w:ascii="Calibri" w:cs="Calibri" w:eastAsia="Calibri" w:hAnsi="Calibri"/>
          <w:b/>
          <w:bCs/>
          <w:color w:val="1A1A1A"/>
          <w:sz w:val="22"/>
          <w:szCs w:val="22"/>
        </w:rPr>
        <w:t xml:space="preserve">Layer 2: Manager Capability for Psychological Safety</w:t>
      </w:r>
    </w:p>
    <w:p>
      <w:pPr>
        <w:spacing w:before="0" w:after="100" w:line="288"/>
      </w:pPr>
      <w:r>
        <w:rPr>
          <w:rFonts w:ascii="Calibri" w:cs="Calibri" w:eastAsia="Calibri" w:hAnsi="Calibri"/>
          <w:color w:val="1A1A1A"/>
          <w:sz w:val="22"/>
          <w:szCs w:val="22"/>
        </w:rPr>
        <w:t xml:space="preserve">The quality of an employee's relationship with their immediate manager is the strongest predictor of wellbeing at work. Managers who create psychologically safe environments  -  where team members can raise concerns, admit uncertainty, and challenge decisions without fear of negative consequences  -  have teams with measurably better wellbeing outcomes.</w:t>
      </w:r>
    </w:p>
    <w:p>
      <w:pPr>
        <w:spacing w:before="0" w:after="100" w:line="288"/>
      </w:pPr>
      <w:r>
        <w:rPr>
          <w:rFonts w:ascii="Calibri" w:cs="Calibri" w:eastAsia="Calibri" w:hAnsi="Calibri"/>
          <w:color w:val="1A1A1A"/>
          <w:sz w:val="22"/>
          <w:szCs w:val="22"/>
        </w:rPr>
        <w:t xml:space="preserve">Manager training for psychological safety is distinct from general leadership training. It focuses on specific behaviours: active listening, non-defensive response to challenge, explicit acknowledgment of uncertainty, and the handling of distress disclosures (when a team member signals that they are struggling). This training has a measurable impact on team-level wellbeing and attrition within 12-18 months of implementation.</w:t>
      </w:r>
    </w:p>
    <w:p>
      <w:pPr>
        <w:spacing w:before="120" w:after="60" w:line="276"/>
      </w:pPr>
      <w:r>
        <w:rPr>
          <w:rFonts w:ascii="Calibri" w:cs="Calibri" w:eastAsia="Calibri" w:hAnsi="Calibri"/>
          <w:b/>
          <w:bCs/>
          <w:color w:val="1A1A1A"/>
          <w:sz w:val="22"/>
          <w:szCs w:val="22"/>
        </w:rPr>
        <w:t xml:space="preserve">Layer 3: Workload Governance</w:t>
      </w:r>
    </w:p>
    <w:p>
      <w:pPr>
        <w:spacing w:before="0" w:after="100" w:line="288"/>
      </w:pPr>
      <w:r>
        <w:rPr>
          <w:rFonts w:ascii="Calibri" w:cs="Calibri" w:eastAsia="Calibri" w:hAnsi="Calibri"/>
          <w:color w:val="1A1A1A"/>
          <w:sz w:val="22"/>
          <w:szCs w:val="22"/>
        </w:rPr>
        <w:t xml:space="preserve">Sustained overwork is the primary burnout driver. Workload governance requires: a defined normal working week (45-50 hours in most GCC contexts), a monitoring mechanism for systematic overtime (not occasional deadline sprints, but chronic overwork embedded in the operational model), an escalation path for managers who identify teams working unsustainably, and explicit accountability for GCC leaders when chronic overwork is normalised.</w:t>
      </w:r>
    </w:p>
    <w:p>
      <w:pPr>
        <w:spacing w:before="0" w:after="100" w:line="288"/>
      </w:pPr>
      <w:r>
        <w:rPr>
          <w:rFonts w:ascii="Calibri" w:cs="Calibri" w:eastAsia="Calibri" w:hAnsi="Calibri"/>
          <w:color w:val="1A1A1A"/>
          <w:sz w:val="22"/>
          <w:szCs w:val="22"/>
        </w:rPr>
        <w:t xml:space="preserve">The monitoring mechanism that works: quarterly workload pulse surveys, supplemented by managers reporting teams exceeding defined hours thresholds for more than four consecutive weeks. The data is used operationally, not punitively  -  if a team is consistently overworked, the response is workload review and resource planning, not performance management.</w:t>
      </w:r>
    </w:p>
    <w:p>
      <w:pPr>
        <w:spacing w:before="120" w:after="60" w:line="276"/>
      </w:pPr>
      <w:r>
        <w:rPr>
          <w:rFonts w:ascii="Calibri" w:cs="Calibri" w:eastAsia="Calibri" w:hAnsi="Calibri"/>
          <w:b/>
          <w:bCs/>
          <w:color w:val="1A1A1A"/>
          <w:sz w:val="22"/>
          <w:szCs w:val="22"/>
        </w:rPr>
        <w:t xml:space="preserve">Layer 4: Flexible Work Governance</w:t>
      </w:r>
    </w:p>
    <w:p>
      <w:pPr>
        <w:spacing w:before="0" w:after="100" w:line="288"/>
      </w:pPr>
      <w:r>
        <w:rPr>
          <w:rFonts w:ascii="Calibri" w:cs="Calibri" w:eastAsia="Calibri" w:hAnsi="Calibri"/>
          <w:color w:val="1A1A1A"/>
          <w:sz w:val="22"/>
          <w:szCs w:val="22"/>
        </w:rPr>
        <w:t xml:space="preserve">Covered in Chapter 12 from a gender lens; the broader principle applies to all employees. Flexible work  -  flexible start and end times, hybrid work arrangements, compressed work weeks  -  is a significant wellbeing investment when it is genuinely available rather than policy-stated but culturally unavailable.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14.4 Wellbeing Metrics: What to Track</w:t>
      </w:r>
    </w:p>
    <w:p>
      <w:pPr>
        <w:spacing w:before="0" w:after="100" w:line="288"/>
      </w:pPr>
      <w:r>
        <w:rPr>
          <w:rFonts w:ascii="Calibri" w:cs="Calibri" w:eastAsia="Calibri" w:hAnsi="Calibri"/>
          <w:color w:val="1A1A1A"/>
          <w:sz w:val="22"/>
          <w:szCs w:val="22"/>
        </w:rPr>
        <w:t xml:space="preserve">The wellbeing metrics that matter most for GCC leadership decision-making:</w:t>
      </w:r>
    </w:p>
    <w:p>
      <w:pPr>
        <w:spacing w:before="0" w:after="100" w:line="288"/>
      </w:pPr>
      <w:r>
        <w:rPr>
          <w:rFonts w:ascii="Calibri" w:cs="Calibri" w:eastAsia="Calibri" w:hAnsi="Calibri"/>
          <w:color w:val="1A1A1A"/>
          <w:sz w:val="22"/>
          <w:szCs w:val="22"/>
        </w:rPr>
        <w:t xml:space="preserve">Wellbeing Index: a composite quarterly pulse survey score measuring employee-reported wellbeing across four dimensions: workload, relationships at work, sense of purpose, and access to support. Benchmark: 70+ out of 100 is the threshold associated with low wellbeing-driven attrition. Below 60 is an early warning signal.</w:t>
      </w:r>
    </w:p>
    <w:p>
      <w:pPr>
        <w:spacing w:before="0" w:after="100" w:line="288"/>
      </w:pPr>
      <w:r>
        <w:rPr>
          <w:rFonts w:ascii="Calibri" w:cs="Calibri" w:eastAsia="Calibri" w:hAnsi="Calibri"/>
          <w:color w:val="1A1A1A"/>
          <w:sz w:val="22"/>
          <w:szCs w:val="22"/>
        </w:rPr>
        <w:t xml:space="preserve">EAP utilisation rate: 5-8% per year is the target range for a well-functioning, de-stigmatised EAP.</w:t>
      </w:r>
    </w:p>
    <w:p>
      <w:pPr>
        <w:spacing w:before="0" w:after="100" w:line="288"/>
      </w:pPr>
      <w:r>
        <w:rPr>
          <w:rFonts w:ascii="Calibri" w:cs="Calibri" w:eastAsia="Calibri" w:hAnsi="Calibri"/>
          <w:color w:val="1A1A1A"/>
          <w:sz w:val="22"/>
          <w:szCs w:val="22"/>
        </w:rPr>
        <w:t xml:space="preserve">Burnout risk tier distribution: the percentage of employees classified as high, medium, and low burnout risk based on pulse survey data. High-risk tier above 15% of total workforce requires operational intervention.</w:t>
      </w:r>
    </w:p>
    <w:p>
      <w:pPr>
        <w:spacing w:before="0" w:after="100" w:line="288"/>
      </w:pPr>
      <w:r>
        <w:rPr>
          <w:rFonts w:ascii="Calibri" w:cs="Calibri" w:eastAsia="Calibri" w:hAnsi="Calibri"/>
          <w:color w:val="1A1A1A"/>
          <w:sz w:val="22"/>
          <w:szCs w:val="22"/>
        </w:rPr>
        <w:t xml:space="preserve">Attrition by wellbeing segment: comparing attrition rates between high and low wellbeing scorers. This metric makes the financial case for wellbeing investment in terms that CFOs respond to.</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14.5 Chapter Summary: Seven Wellbeing Governance Principles</w:t>
      </w:r>
    </w:p>
    <w:p>
      <w:pPr>
        <w:pStyle w:val="ListParagraph"/>
        <w:numPr>
          <w:ilvl w:val="0"/>
          <w:numId w:val="2"/>
        </w:numPr>
        <w:spacing w:before="20" w:after="20" w:line="276"/>
      </w:pPr>
      <w:r>
        <w:rPr>
          <w:rFonts w:ascii="Calibri" w:cs="Calibri" w:eastAsia="Calibri" w:hAnsi="Calibri"/>
          <w:color w:val="1A1A1A"/>
          <w:sz w:val="22"/>
          <w:szCs w:val="22"/>
        </w:rPr>
        <w:t xml:space="preserve">An EAP is the minimum viable wellbeing infrastructure from 100 headcount. At INR 800-1,500 per employee per year, it costs less than replacing one engineer.</w:t>
      </w:r>
    </w:p>
    <w:p>
      <w:pPr>
        <w:pStyle w:val="ListParagraph"/>
        <w:numPr>
          <w:ilvl w:val="0"/>
          <w:numId w:val="2"/>
        </w:numPr>
        <w:spacing w:before="20" w:after="20" w:line="276"/>
      </w:pPr>
      <w:r>
        <w:rPr>
          <w:rFonts w:ascii="Calibri" w:cs="Calibri" w:eastAsia="Calibri" w:hAnsi="Calibri"/>
          <w:color w:val="1A1A1A"/>
          <w:sz w:val="22"/>
          <w:szCs w:val="22"/>
        </w:rPr>
        <w:t xml:space="preserve">Low EAP utilisation is a stigma signal, not a wellness signal. Active de-stigmatisation is required alongside the programme.</w:t>
      </w:r>
    </w:p>
    <w:p>
      <w:pPr>
        <w:pStyle w:val="ListParagraph"/>
        <w:numPr>
          <w:ilvl w:val="0"/>
          <w:numId w:val="2"/>
        </w:numPr>
        <w:spacing w:before="20" w:after="20" w:line="276"/>
      </w:pPr>
      <w:r>
        <w:rPr>
          <w:rFonts w:ascii="Calibri" w:cs="Calibri" w:eastAsia="Calibri" w:hAnsi="Calibri"/>
          <w:color w:val="1A1A1A"/>
          <w:sz w:val="22"/>
          <w:szCs w:val="22"/>
        </w:rPr>
        <w:t xml:space="preserve">Manager capability for psychological safety is the highest-leverage wellbeing investment. Train specifically for this skill, not as part of general leadership development.</w:t>
      </w:r>
    </w:p>
    <w:p>
      <w:pPr>
        <w:pStyle w:val="ListParagraph"/>
        <w:numPr>
          <w:ilvl w:val="0"/>
          <w:numId w:val="2"/>
        </w:numPr>
        <w:spacing w:before="20" w:after="20" w:line="276"/>
      </w:pPr>
      <w:r>
        <w:rPr>
          <w:rFonts w:ascii="Calibri" w:cs="Calibri" w:eastAsia="Calibri" w:hAnsi="Calibri"/>
          <w:color w:val="1A1A1A"/>
          <w:sz w:val="22"/>
          <w:szCs w:val="22"/>
        </w:rPr>
        <w:t xml:space="preserve">Implement quarterly workload pulse surveys. Chronic overwork that is not measured is chronic overwork that is being managed as normal.</w:t>
      </w:r>
    </w:p>
    <w:p>
      <w:pPr>
        <w:pStyle w:val="ListParagraph"/>
        <w:numPr>
          <w:ilvl w:val="0"/>
          <w:numId w:val="2"/>
        </w:numPr>
        <w:spacing w:before="20" w:after="20" w:line="276"/>
      </w:pPr>
      <w:r>
        <w:rPr>
          <w:rFonts w:ascii="Calibri" w:cs="Calibri" w:eastAsia="Calibri" w:hAnsi="Calibri"/>
          <w:color w:val="1A1A1A"/>
          <w:sz w:val="22"/>
          <w:szCs w:val="22"/>
        </w:rPr>
        <w:t xml:space="preserve">Wellbeing metrics belong in the GCC Head's monthly operating review alongside attrition, delivery, and financial metrics.</w:t>
      </w:r>
    </w:p>
    <w:p>
      <w:pPr>
        <w:pStyle w:val="ListParagraph"/>
        <w:numPr>
          <w:ilvl w:val="0"/>
          <w:numId w:val="2"/>
        </w:numPr>
        <w:spacing w:before="20" w:after="20" w:line="276"/>
      </w:pPr>
      <w:r>
        <w:rPr>
          <w:rFonts w:ascii="Calibri" w:cs="Calibri" w:eastAsia="Calibri" w:hAnsi="Calibri"/>
          <w:color w:val="1A1A1A"/>
          <w:sz w:val="22"/>
          <w:szCs w:val="22"/>
        </w:rPr>
        <w:t xml:space="preserve">Connect wellbeing data to attrition data. The financial case for wellbeing investment is strongest when the cost of poor wellbeing is expressed as avoidable attrition cost.</w:t>
      </w:r>
    </w:p>
    <w:p>
      <w:pPr>
        <w:pStyle w:val="ListParagraph"/>
        <w:numPr>
          <w:ilvl w:val="0"/>
          <w:numId w:val="2"/>
        </w:numPr>
        <w:spacing w:before="20" w:after="20" w:line="276"/>
      </w:pPr>
      <w:r>
        <w:rPr>
          <w:rFonts w:ascii="Calibri" w:cs="Calibri" w:eastAsia="Calibri" w:hAnsi="Calibri"/>
          <w:color w:val="1A1A1A"/>
          <w:sz w:val="22"/>
          <w:szCs w:val="22"/>
        </w:rPr>
        <w:t xml:space="preserve">Time zone stretch is a structural wellbeing risk. Design work models that limit sustained after-hours operation to defined, compensated, voluntary arrangements  -  not embedded operational expectations.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APPENDIX: VALIDATED REFERENCES  -  PART III</w:t>
      </w:r>
    </w:p>
    <w:p>
      <w:pPr>
        <w:pStyle w:val="Heading2"/>
        <w:spacing w:before="240" w:after="80" w:line="276"/>
      </w:pPr>
      <w:r>
        <w:rPr>
          <w:rFonts w:ascii="Calibri" w:cs="Calibri" w:eastAsia="Calibri" w:hAnsi="Calibri"/>
          <w:b/>
          <w:bCs/>
          <w:color w:val="1F5C99"/>
          <w:sz w:val="26"/>
          <w:szCs w:val="26"/>
        </w:rPr>
        <w:t xml:space="preserve">AI and Technology</w:t>
      </w:r>
    </w:p>
    <w:p>
      <w:pPr>
        <w:pStyle w:val="ListParagraph"/>
        <w:numPr>
          <w:ilvl w:val="0"/>
          <w:numId w:val="2"/>
        </w:numPr>
        <w:spacing w:before="20" w:after="20" w:line="276"/>
      </w:pPr>
      <w:r>
        <w:rPr>
          <w:rFonts w:ascii="Calibri" w:cs="Calibri" w:eastAsia="Calibri" w:hAnsi="Calibri"/>
          <w:color w:val="1A1A1A"/>
          <w:sz w:val="22"/>
          <w:szCs w:val="22"/>
        </w:rPr>
        <w:t xml:space="preserve">Zinnov-ProHance: 70%+ GCCs fail to measure AI ROI  -  zinnov.com/centers-of-excellence/</w:t>
      </w:r>
    </w:p>
    <w:p>
      <w:pPr>
        <w:pStyle w:val="ListParagraph"/>
        <w:numPr>
          <w:ilvl w:val="0"/>
          <w:numId w:val="2"/>
        </w:numPr>
        <w:spacing w:before="20" w:after="20" w:line="276"/>
      </w:pPr>
      <w:r>
        <w:rPr>
          <w:rFonts w:ascii="Calibri" w:cs="Calibri" w:eastAsia="Calibri" w:hAnsi="Calibri"/>
          <w:color w:val="1A1A1A"/>
          <w:sz w:val="22"/>
          <w:szCs w:val="22"/>
        </w:rPr>
        <w:t xml:space="preserve">EY GCC Pulse Survey 2025: 58% GCCs investing in agentic AI  -  ey.com/en_in/newsroom/2025/11/gcc-pulse-survey-2025</w:t>
      </w:r>
    </w:p>
    <w:p>
      <w:pPr>
        <w:pStyle w:val="ListParagraph"/>
        <w:numPr>
          <w:ilvl w:val="0"/>
          <w:numId w:val="2"/>
        </w:numPr>
        <w:spacing w:before="20" w:after="20" w:line="276"/>
      </w:pPr>
      <w:r>
        <w:rPr>
          <w:rFonts w:ascii="Calibri" w:cs="Calibri" w:eastAsia="Calibri" w:hAnsi="Calibri"/>
          <w:color w:val="1A1A1A"/>
          <w:sz w:val="22"/>
          <w:szCs w:val="22"/>
        </w:rPr>
        <w:t xml:space="preserve">NASSCOM-BCG AI in GCCs India Report 2025  -  nasscom.in/knowledge-center/publications</w:t>
      </w:r>
    </w:p>
    <w:p>
      <w:pPr>
        <w:pStyle w:val="ListParagraph"/>
        <w:numPr>
          <w:ilvl w:val="0"/>
          <w:numId w:val="2"/>
        </w:numPr>
        <w:spacing w:before="20" w:after="20" w:line="276"/>
      </w:pPr>
      <w:r>
        <w:rPr>
          <w:rFonts w:ascii="Calibri" w:cs="Calibri" w:eastAsia="Calibri" w:hAnsi="Calibri"/>
          <w:color w:val="1A1A1A"/>
          <w:sz w:val="22"/>
          <w:szCs w:val="22"/>
        </w:rPr>
        <w:t xml:space="preserve">Gartner Agentic AI in Enterprise Survey 2025  -  gartner.com/technology/coverage/agentic-ai</w:t>
      </w:r>
    </w:p>
    <w:p>
      <w:pPr>
        <w:pStyle w:val="Heading2"/>
        <w:spacing w:before="240" w:after="80" w:line="276"/>
      </w:pPr>
      <w:r>
        <w:rPr>
          <w:rFonts w:ascii="Calibri" w:cs="Calibri" w:eastAsia="Calibri" w:hAnsi="Calibri"/>
          <w:b/>
          <w:bCs/>
          <w:color w:val="1F5C99"/>
          <w:sz w:val="26"/>
          <w:szCs w:val="26"/>
        </w:rPr>
        <w:t xml:space="preserve">Location Intelligence</w:t>
      </w:r>
    </w:p>
    <w:p>
      <w:pPr>
        <w:pStyle w:val="ListParagraph"/>
        <w:numPr>
          <w:ilvl w:val="0"/>
          <w:numId w:val="2"/>
        </w:numPr>
        <w:spacing w:before="20" w:after="20" w:line="276"/>
      </w:pPr>
      <w:r>
        <w:rPr>
          <w:rFonts w:ascii="Calibri" w:cs="Calibri" w:eastAsia="Calibri" w:hAnsi="Calibri"/>
          <w:color w:val="1A1A1A"/>
          <w:sz w:val="22"/>
          <w:szCs w:val="22"/>
        </w:rPr>
        <w:t xml:space="preserve">NASSCOM-Zinnov India GCC Landscape Report 2025  -  zinnov.com/centers-of-excellence/</w:t>
      </w:r>
    </w:p>
    <w:p>
      <w:pPr>
        <w:pStyle w:val="ListParagraph"/>
        <w:numPr>
          <w:ilvl w:val="0"/>
          <w:numId w:val="2"/>
        </w:numPr>
        <w:spacing w:before="20" w:after="20" w:line="276"/>
      </w:pPr>
      <w:r>
        <w:rPr>
          <w:rFonts w:ascii="Calibri" w:cs="Calibri" w:eastAsia="Calibri" w:hAnsi="Calibri"/>
          <w:color w:val="1A1A1A"/>
          <w:sz w:val="22"/>
          <w:szCs w:val="22"/>
        </w:rPr>
        <w:t xml:space="preserve">KPMG Global GCC Location Index 2026  -  kpmg.com/in/gcc</w:t>
      </w:r>
    </w:p>
    <w:p>
      <w:pPr>
        <w:pStyle w:val="ListParagraph"/>
        <w:numPr>
          <w:ilvl w:val="0"/>
          <w:numId w:val="2"/>
        </w:numPr>
        <w:spacing w:before="20" w:after="20" w:line="276"/>
      </w:pPr>
      <w:r>
        <w:rPr>
          <w:rFonts w:ascii="Calibri" w:cs="Calibri" w:eastAsia="Calibri" w:hAnsi="Calibri"/>
          <w:color w:val="1A1A1A"/>
          <w:sz w:val="22"/>
          <w:szCs w:val="22"/>
        </w:rPr>
        <w:t xml:space="preserve">JLL India GCC Office Guide 2026  -  jll.com/en-in/guides/gcc-office-guide</w:t>
      </w:r>
    </w:p>
    <w:p>
      <w:pPr>
        <w:pStyle w:val="ListParagraph"/>
        <w:numPr>
          <w:ilvl w:val="0"/>
          <w:numId w:val="2"/>
        </w:numPr>
        <w:spacing w:before="20" w:after="20" w:line="276"/>
      </w:pPr>
      <w:r>
        <w:rPr>
          <w:rFonts w:ascii="Calibri" w:cs="Calibri" w:eastAsia="Calibri" w:hAnsi="Calibri"/>
          <w:color w:val="1A1A1A"/>
          <w:sz w:val="22"/>
          <w:szCs w:val="22"/>
        </w:rPr>
        <w:t xml:space="preserve">Invest Vietnam: Technology Sector GCC Data 2025  -  investvietnam.gov.vn</w:t>
      </w:r>
    </w:p>
    <w:p>
      <w:pPr>
        <w:pStyle w:val="ListParagraph"/>
        <w:numPr>
          <w:ilvl w:val="0"/>
          <w:numId w:val="2"/>
        </w:numPr>
        <w:spacing w:before="20" w:after="20" w:line="276"/>
      </w:pPr>
      <w:r>
        <w:rPr>
          <w:rFonts w:ascii="Calibri" w:cs="Calibri" w:eastAsia="Calibri" w:hAnsi="Calibri"/>
          <w:color w:val="1A1A1A"/>
          <w:sz w:val="22"/>
          <w:szCs w:val="22"/>
        </w:rPr>
        <w:t xml:space="preserve">PAIH (Polish Investment and Trade Agency) Technology Centre Data 2025  -  paih.gov.pl</w:t>
      </w:r>
    </w:p>
    <w:p>
      <w:pPr>
        <w:pStyle w:val="ListParagraph"/>
        <w:numPr>
          <w:ilvl w:val="0"/>
          <w:numId w:val="2"/>
        </w:numPr>
        <w:spacing w:before="20" w:after="20" w:line="276"/>
      </w:pPr>
      <w:r>
        <w:rPr>
          <w:rFonts w:ascii="Calibri" w:cs="Calibri" w:eastAsia="Calibri" w:hAnsi="Calibri"/>
          <w:color w:val="1A1A1A"/>
          <w:sz w:val="22"/>
          <w:szCs w:val="22"/>
        </w:rPr>
        <w:t xml:space="preserve">ProMexico / PROMEXICO Technology Investment Reports 2025  -  promexico.mx</w:t>
      </w:r>
    </w:p>
    <w:p>
      <w:pPr>
        <w:pStyle w:val="Heading2"/>
        <w:spacing w:before="240" w:after="80" w:line="276"/>
      </w:pPr>
      <w:r>
        <w:rPr>
          <w:rFonts w:ascii="Calibri" w:cs="Calibri" w:eastAsia="Calibri" w:hAnsi="Calibri"/>
          <w:b/>
          <w:bCs/>
          <w:color w:val="1F5C99"/>
          <w:sz w:val="26"/>
          <w:szCs w:val="26"/>
        </w:rPr>
        <w:t xml:space="preserve">Legal and Regulatory</w:t>
      </w:r>
    </w:p>
    <w:p>
      <w:pPr>
        <w:pStyle w:val="ListParagraph"/>
        <w:numPr>
          <w:ilvl w:val="0"/>
          <w:numId w:val="2"/>
        </w:numPr>
        <w:spacing w:before="20" w:after="20" w:line="276"/>
      </w:pPr>
      <w:r>
        <w:rPr>
          <w:rFonts w:ascii="Calibri" w:cs="Calibri" w:eastAsia="Calibri" w:hAnsi="Calibri"/>
          <w:color w:val="1A1A1A"/>
          <w:sz w:val="22"/>
          <w:szCs w:val="22"/>
        </w:rPr>
        <w:t xml:space="preserve">Ministry of Labour and Employment: Labour Code Implementation Status  -  labour.gov.in</w:t>
      </w:r>
    </w:p>
    <w:p>
      <w:pPr>
        <w:pStyle w:val="ListParagraph"/>
        <w:numPr>
          <w:ilvl w:val="0"/>
          <w:numId w:val="2"/>
        </w:numPr>
        <w:spacing w:before="20" w:after="20" w:line="276"/>
      </w:pPr>
      <w:r>
        <w:rPr>
          <w:rFonts w:ascii="Calibri" w:cs="Calibri" w:eastAsia="Calibri" w:hAnsi="Calibri"/>
          <w:color w:val="1A1A1A"/>
          <w:sz w:val="22"/>
          <w:szCs w:val="22"/>
        </w:rPr>
        <w:t xml:space="preserve">MeitY: Digital Personal Data Protection Act 2023 and Rules  -  meity.gov.in/dpdpa</w:t>
      </w:r>
    </w:p>
    <w:p>
      <w:pPr>
        <w:pStyle w:val="ListParagraph"/>
        <w:numPr>
          <w:ilvl w:val="0"/>
          <w:numId w:val="2"/>
        </w:numPr>
        <w:spacing w:before="20" w:after="20" w:line="276"/>
      </w:pPr>
      <w:r>
        <w:rPr>
          <w:rFonts w:ascii="Calibri" w:cs="Calibri" w:eastAsia="Calibri" w:hAnsi="Calibri"/>
          <w:color w:val="1A1A1A"/>
          <w:sz w:val="22"/>
          <w:szCs w:val="22"/>
        </w:rPr>
        <w:t xml:space="preserve">CBDT: Transfer Pricing Guidelines India 2025  -  incometaxindia.gov.in</w:t>
      </w:r>
    </w:p>
    <w:p>
      <w:pPr>
        <w:pStyle w:val="ListParagraph"/>
        <w:numPr>
          <w:ilvl w:val="0"/>
          <w:numId w:val="2"/>
        </w:numPr>
        <w:spacing w:before="20" w:after="20" w:line="276"/>
      </w:pPr>
      <w:r>
        <w:rPr>
          <w:rFonts w:ascii="Calibri" w:cs="Calibri" w:eastAsia="Calibri" w:hAnsi="Calibri"/>
          <w:color w:val="1A1A1A"/>
          <w:sz w:val="22"/>
          <w:szCs w:val="22"/>
        </w:rPr>
        <w:t xml:space="preserve">RBI Master Direction on IT Framework for NBFC-UL  -  rbi.org.in</w:t>
      </w:r>
    </w:p>
    <w:p>
      <w:pPr>
        <w:pStyle w:val="ListParagraph"/>
        <w:numPr>
          <w:ilvl w:val="0"/>
          <w:numId w:val="2"/>
        </w:numPr>
        <w:spacing w:before="20" w:after="20" w:line="276"/>
      </w:pPr>
      <w:r>
        <w:rPr>
          <w:rFonts w:ascii="Calibri" w:cs="Calibri" w:eastAsia="Calibri" w:hAnsi="Calibri"/>
          <w:color w:val="1A1A1A"/>
          <w:sz w:val="22"/>
          <w:szCs w:val="22"/>
        </w:rPr>
        <w:t xml:space="preserve">SEBI: GCC Regulatory Disclosure Requirements 2025  -  sebi.gov.in</w:t>
      </w:r>
    </w:p>
    <w:p>
      <w:pPr>
        <w:pStyle w:val="Heading2"/>
        <w:spacing w:before="240" w:after="80" w:line="276"/>
      </w:pPr>
      <w:r>
        <w:rPr>
          <w:rFonts w:ascii="Calibri" w:cs="Calibri" w:eastAsia="Calibri" w:hAnsi="Calibri"/>
          <w:b/>
          <w:bCs/>
          <w:color w:val="1F5C99"/>
          <w:sz w:val="26"/>
          <w:szCs w:val="26"/>
        </w:rPr>
        <w:t xml:space="preserve">Finance and Treasury</w:t>
      </w:r>
    </w:p>
    <w:p>
      <w:pPr>
        <w:pStyle w:val="ListParagraph"/>
        <w:numPr>
          <w:ilvl w:val="0"/>
          <w:numId w:val="2"/>
        </w:numPr>
        <w:spacing w:before="20" w:after="20" w:line="276"/>
      </w:pPr>
      <w:r>
        <w:rPr>
          <w:rFonts w:ascii="Calibri" w:cs="Calibri" w:eastAsia="Calibri" w:hAnsi="Calibri"/>
          <w:color w:val="1A1A1A"/>
          <w:sz w:val="22"/>
          <w:szCs w:val="22"/>
        </w:rPr>
        <w:t xml:space="preserve">APA Cell, CBDT: Advance Pricing Agreement Annual Report 2024-25  -  incometaxindia.gov.in/apa</w:t>
      </w:r>
    </w:p>
    <w:p>
      <w:pPr>
        <w:pStyle w:val="ListParagraph"/>
        <w:numPr>
          <w:ilvl w:val="0"/>
          <w:numId w:val="2"/>
        </w:numPr>
        <w:spacing w:before="20" w:after="20" w:line="276"/>
      </w:pPr>
      <w:r>
        <w:rPr>
          <w:rFonts w:ascii="Calibri" w:cs="Calibri" w:eastAsia="Calibri" w:hAnsi="Calibri"/>
          <w:color w:val="1A1A1A"/>
          <w:sz w:val="22"/>
          <w:szCs w:val="22"/>
        </w:rPr>
        <w:t xml:space="preserve">DSIR: Scientific Research Recognition and 35(2AB) guidelines  -  dsir.gov.in</w:t>
      </w:r>
    </w:p>
    <w:p>
      <w:pPr>
        <w:pStyle w:val="ListParagraph"/>
        <w:numPr>
          <w:ilvl w:val="0"/>
          <w:numId w:val="2"/>
        </w:numPr>
        <w:spacing w:before="20" w:after="20" w:line="276"/>
      </w:pPr>
      <w:r>
        <w:rPr>
          <w:rFonts w:ascii="Calibri" w:cs="Calibri" w:eastAsia="Calibri" w:hAnsi="Calibri"/>
          <w:color w:val="1A1A1A"/>
          <w:sz w:val="22"/>
          <w:szCs w:val="22"/>
        </w:rPr>
        <w:t xml:space="preserve">STPI: Software Technology Parks of India Registration Guide  -  stpi.in</w:t>
      </w:r>
    </w:p>
    <w:p>
      <w:pPr>
        <w:pStyle w:val="ListParagraph"/>
        <w:numPr>
          <w:ilvl w:val="0"/>
          <w:numId w:val="2"/>
        </w:numPr>
        <w:spacing w:before="20" w:after="20" w:line="276"/>
      </w:pPr>
      <w:r>
        <w:rPr>
          <w:rFonts w:ascii="Calibri" w:cs="Calibri" w:eastAsia="Calibri" w:hAnsi="Calibri"/>
          <w:color w:val="1A1A1A"/>
          <w:sz w:val="22"/>
          <w:szCs w:val="22"/>
        </w:rPr>
        <w:t xml:space="preserve">Radford India Technology Compensation Survey 2025  -  aon.com/radford</w:t>
      </w:r>
    </w:p>
    <w:p>
      <w:pPr>
        <w:pStyle w:val="Heading2"/>
        <w:spacing w:before="240" w:after="80" w:line="276"/>
      </w:pPr>
      <w:r>
        <w:rPr>
          <w:rFonts w:ascii="Calibri" w:cs="Calibri" w:eastAsia="Calibri" w:hAnsi="Calibri"/>
          <w:b/>
          <w:bCs/>
          <w:color w:val="1F5C99"/>
          <w:sz w:val="26"/>
          <w:szCs w:val="26"/>
        </w:rPr>
        <w:t xml:space="preserve">Innovation and IP</w:t>
      </w:r>
    </w:p>
    <w:p>
      <w:pPr>
        <w:pStyle w:val="ListParagraph"/>
        <w:numPr>
          <w:ilvl w:val="0"/>
          <w:numId w:val="2"/>
        </w:numPr>
        <w:spacing w:before="20" w:after="20" w:line="276"/>
      </w:pPr>
      <w:r>
        <w:rPr>
          <w:rFonts w:ascii="Calibri" w:cs="Calibri" w:eastAsia="Calibri" w:hAnsi="Calibri"/>
          <w:color w:val="1A1A1A"/>
          <w:sz w:val="22"/>
          <w:szCs w:val="22"/>
        </w:rPr>
        <w:t xml:space="preserve">Indian Patent Office: Annual Report 2024-25  -  ipindia.gov.in</w:t>
      </w:r>
    </w:p>
    <w:p>
      <w:pPr>
        <w:pStyle w:val="ListParagraph"/>
        <w:numPr>
          <w:ilvl w:val="0"/>
          <w:numId w:val="2"/>
        </w:numPr>
        <w:spacing w:before="20" w:after="20" w:line="276"/>
      </w:pPr>
      <w:r>
        <w:rPr>
          <w:rFonts w:ascii="Calibri" w:cs="Calibri" w:eastAsia="Calibri" w:hAnsi="Calibri"/>
          <w:color w:val="1A1A1A"/>
          <w:sz w:val="22"/>
          <w:szCs w:val="22"/>
        </w:rPr>
        <w:t xml:space="preserve">DPIIT: Startup India Recognition Framework 2025  -  startupindia.gov.in</w:t>
      </w:r>
    </w:p>
    <w:p>
      <w:pPr>
        <w:pStyle w:val="ListParagraph"/>
        <w:numPr>
          <w:ilvl w:val="0"/>
          <w:numId w:val="2"/>
        </w:numPr>
        <w:spacing w:before="20" w:after="20" w:line="276"/>
      </w:pPr>
      <w:r>
        <w:rPr>
          <w:rFonts w:ascii="Calibri" w:cs="Calibri" w:eastAsia="Calibri" w:hAnsi="Calibri"/>
          <w:color w:val="1A1A1A"/>
          <w:sz w:val="22"/>
          <w:szCs w:val="22"/>
        </w:rPr>
        <w:t xml:space="preserve">India Semiconductor Mission: Programme Overview  -  semiconductors.india.gov.in</w:t>
      </w:r>
    </w:p>
    <w:p>
      <w:pPr>
        <w:pStyle w:val="Heading2"/>
        <w:spacing w:before="240" w:after="80" w:line="276"/>
      </w:pPr>
      <w:r>
        <w:rPr>
          <w:rFonts w:ascii="Calibri" w:cs="Calibri" w:eastAsia="Calibri" w:hAnsi="Calibri"/>
          <w:b/>
          <w:bCs/>
          <w:color w:val="1F5C99"/>
          <w:sz w:val="26"/>
          <w:szCs w:val="26"/>
        </w:rPr>
        <w:t xml:space="preserve">ESG and Sustainability</w:t>
      </w:r>
    </w:p>
    <w:p>
      <w:pPr>
        <w:pStyle w:val="ListParagraph"/>
        <w:numPr>
          <w:ilvl w:val="0"/>
          <w:numId w:val="2"/>
        </w:numPr>
        <w:spacing w:before="20" w:after="20" w:line="276"/>
      </w:pPr>
      <w:r>
        <w:rPr>
          <w:rFonts w:ascii="Calibri" w:cs="Calibri" w:eastAsia="Calibri" w:hAnsi="Calibri"/>
          <w:color w:val="1A1A1A"/>
          <w:sz w:val="22"/>
          <w:szCs w:val="22"/>
        </w:rPr>
        <w:t xml:space="preserve">MCA: BRSR Framework and Reporting Obligations  -  mca.gov.in/brsr</w:t>
      </w:r>
    </w:p>
    <w:p>
      <w:pPr>
        <w:pStyle w:val="ListParagraph"/>
        <w:numPr>
          <w:ilvl w:val="0"/>
          <w:numId w:val="2"/>
        </w:numPr>
        <w:spacing w:before="20" w:after="20" w:line="276"/>
      </w:pPr>
      <w:r>
        <w:rPr>
          <w:rFonts w:ascii="Calibri" w:cs="Calibri" w:eastAsia="Calibri" w:hAnsi="Calibri"/>
          <w:color w:val="1A1A1A"/>
          <w:sz w:val="22"/>
          <w:szCs w:val="22"/>
        </w:rPr>
        <w:t xml:space="preserve">BEE: Green Energy Open Access Regulations 2022  -  beeindia.gov.in</w:t>
      </w:r>
    </w:p>
    <w:p>
      <w:pPr>
        <w:pStyle w:val="ListParagraph"/>
        <w:numPr>
          <w:ilvl w:val="0"/>
          <w:numId w:val="2"/>
        </w:numPr>
        <w:spacing w:before="20" w:after="20" w:line="276"/>
      </w:pPr>
      <w:r>
        <w:rPr>
          <w:rFonts w:ascii="Calibri" w:cs="Calibri" w:eastAsia="Calibri" w:hAnsi="Calibri"/>
          <w:color w:val="1A1A1A"/>
          <w:sz w:val="22"/>
          <w:szCs w:val="22"/>
        </w:rPr>
        <w:t xml:space="preserve">IGBC: Green Building Rating System India  -  igbc.in</w:t>
      </w:r>
    </w:p>
    <w:p>
      <w:pPr>
        <w:pStyle w:val="ListParagraph"/>
        <w:numPr>
          <w:ilvl w:val="0"/>
          <w:numId w:val="2"/>
        </w:numPr>
        <w:spacing w:before="20" w:after="20" w:line="276"/>
      </w:pPr>
      <w:r>
        <w:rPr>
          <w:rFonts w:ascii="Calibri" w:cs="Calibri" w:eastAsia="Calibri" w:hAnsi="Calibri"/>
          <w:color w:val="1A1A1A"/>
          <w:sz w:val="22"/>
          <w:szCs w:val="22"/>
        </w:rPr>
        <w:t xml:space="preserve">SEBI: BRSR Core Indicators for Listed Companies 2023  -  sebi.gov.in/brsr</w:t>
      </w:r>
    </w:p>
    <w:p>
      <w:pPr>
        <w:pStyle w:val="Heading2"/>
        <w:spacing w:before="240" w:after="80" w:line="276"/>
      </w:pPr>
      <w:r>
        <w:rPr>
          <w:rFonts w:ascii="Calibri" w:cs="Calibri" w:eastAsia="Calibri" w:hAnsi="Calibri"/>
          <w:b/>
          <w:bCs/>
          <w:color w:val="1F5C99"/>
          <w:sz w:val="26"/>
          <w:szCs w:val="26"/>
        </w:rPr>
        <w:t xml:space="preserve">Talent and Wellbeing</w:t>
      </w:r>
    </w:p>
    <w:p>
      <w:pPr>
        <w:pStyle w:val="ListParagraph"/>
        <w:numPr>
          <w:ilvl w:val="0"/>
          <w:numId w:val="2"/>
        </w:numPr>
        <w:spacing w:before="20" w:after="20" w:line="276"/>
      </w:pPr>
      <w:r>
        <w:rPr>
          <w:rFonts w:ascii="Calibri" w:cs="Calibri" w:eastAsia="Calibri" w:hAnsi="Calibri"/>
          <w:color w:val="1A1A1A"/>
          <w:sz w:val="22"/>
          <w:szCs w:val="22"/>
        </w:rPr>
        <w:t xml:space="preserve">Mercer India Workforce Report 2025  -  mercer.com/en-in/</w:t>
      </w:r>
    </w:p>
    <w:p>
      <w:pPr>
        <w:pStyle w:val="ListParagraph"/>
        <w:numPr>
          <w:ilvl w:val="0"/>
          <w:numId w:val="2"/>
        </w:numPr>
        <w:spacing w:before="20" w:after="20" w:line="276"/>
      </w:pPr>
      <w:r>
        <w:rPr>
          <w:rFonts w:ascii="Calibri" w:cs="Calibri" w:eastAsia="Calibri" w:hAnsi="Calibri"/>
          <w:color w:val="1A1A1A"/>
          <w:sz w:val="22"/>
          <w:szCs w:val="22"/>
        </w:rPr>
        <w:t xml:space="preserve">Aon Hewitt India Salary Survey 2025  -  aon.com/india</w:t>
      </w:r>
    </w:p>
    <w:p>
      <w:pPr>
        <w:pStyle w:val="ListParagraph"/>
        <w:numPr>
          <w:ilvl w:val="0"/>
          <w:numId w:val="2"/>
        </w:numPr>
        <w:spacing w:before="20" w:after="20" w:line="276"/>
      </w:pPr>
      <w:r>
        <w:rPr>
          <w:rFonts w:ascii="Calibri" w:cs="Calibri" w:eastAsia="Calibri" w:hAnsi="Calibri"/>
          <w:color w:val="1A1A1A"/>
          <w:sz w:val="22"/>
          <w:szCs w:val="22"/>
        </w:rPr>
        <w:t xml:space="preserve">SRKay Consulting: 301 GCC Leader Governance Survey 2025  -  srkay.com</w:t>
      </w:r>
    </w:p>
    <w:p>
      <w:pPr>
        <w:pStyle w:val="ListParagraph"/>
        <w:numPr>
          <w:ilvl w:val="0"/>
          <w:numId w:val="2"/>
        </w:numPr>
        <w:spacing w:before="20" w:after="20" w:line="276"/>
      </w:pPr>
      <w:r>
        <w:rPr>
          <w:rFonts w:ascii="Calibri" w:cs="Calibri" w:eastAsia="Calibri" w:hAnsi="Calibri"/>
          <w:color w:val="1A1A1A"/>
          <w:sz w:val="22"/>
          <w:szCs w:val="22"/>
        </w:rPr>
        <w:t xml:space="preserve">iCall (TISS): Corporate Mental Health in India Report 2025  -  icallhelpline.org</w:t>
      </w:r>
    </w:p>
    <w:p>
      <w:pPr>
        <w:pBdr>
          <w:bottom w:val="single" w:color="C5D8EC" w:sz="3" w:space="2"/>
        </w:pBdr>
        <w:spacing w:before="100" w:after="100" w:line="276"/>
      </w:pPr>
      <w:r>
        <w:rPr>
          <w:rFonts w:ascii="Calibri" w:cs="Calibri" w:eastAsia="Calibri" w:hAnsi="Calibri"/>
          <w:sz w:val="4"/>
          <w:szCs w:val="4"/>
        </w:rPr>
        <w:t xml:space="preserve"/>
      </w:r>
    </w:p>
    <w:p>
      <w:pPr>
        <w:spacing w:before="40" w:after="40" w:line="276"/>
      </w:pPr>
      <w:r>
        <w:rPr>
          <w:rFonts w:ascii="Calibri" w:cs="Calibri" w:eastAsia="Calibri" w:hAnsi="Calibri"/>
          <w:i/>
          <w:iCs/>
          <w:color w:val="555555"/>
          <w:sz w:val="21"/>
          <w:szCs w:val="21"/>
        </w:rPr>
        <w:t xml:space="preserve">GCC Playbook Part III  -  The Frontier</w:t>
      </w:r>
    </w:p>
    <w:p>
      <w:pPr>
        <w:spacing w:before="40" w:after="40" w:line="276"/>
      </w:pPr>
      <w:r>
        <w:rPr>
          <w:rFonts w:ascii="Calibri" w:cs="Calibri" w:eastAsia="Calibri" w:hAnsi="Calibri"/>
          <w:i/>
          <w:iCs/>
          <w:color w:val="555555"/>
          <w:sz w:val="21"/>
          <w:szCs w:val="21"/>
        </w:rPr>
        <w:t xml:space="preserve">Curated by Kalilur Rahman | kalilurrahman.lovable.app</w:t>
      </w:r>
    </w:p>
    <w:p>
      <w:pPr>
        <w:spacing w:before="40" w:after="40" w:line="276"/>
      </w:pPr>
      <w:r>
        <w:rPr>
          <w:rFonts w:ascii="Calibri" w:cs="Calibri" w:eastAsia="Calibri" w:hAnsi="Calibri"/>
          <w:i/>
          <w:iCs/>
          <w:color w:val="555555"/>
          <w:sz w:val="21"/>
          <w:szCs w:val="21"/>
        </w:rPr>
        <w:t xml:space="preserve">All benchmarks sourced from publicly available research. Validated references confirmed accessible March 2026.</w:t>
      </w:r>
    </w:p>
    <w:sectPr>
      <w:headerReference w:type="default" r:id="rId6"/>
      <w:footerReference w:type="default" r:id="rId7"/>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3" w:space="4"/>
      </w:pBdr>
      <w:tabs>
        <w:tab w:val="right" w:pos="9720"/>
      </w:tabs>
      <w:spacing w:before="60" w:after="0"/>
    </w:pPr>
    <w:r>
      <w:rPr>
        <w:rFonts w:ascii="Calibri" w:cs="Calibri" w:eastAsia="Calibri" w:hAnsi="Calibri"/>
        <w:color w:val="0D6E8A"/>
        <w:sz w:val="18"/>
        <w:szCs w:val="18"/>
      </w:rPr>
      <w:t xml:space="preserve">kalilurrahman.lovable.app</w:t>
    </w:r>
    <w:r>
      <w:rPr>
        <w:rFonts w:ascii="Calibri" w:cs="Calibri" w:eastAsia="Calibri" w:hAnsi="Calibri"/>
        <w:sz w:val="18"/>
        <w:szCs w:val="18"/>
      </w:rPr>
      <w:t xml:space="preserv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C" w:sz="3" w:space="4"/>
      </w:pBdr>
      <w:tabs>
        <w:tab w:val="right" w:pos="9720"/>
      </w:tabs>
      <w:spacing w:before="0" w:after="80"/>
    </w:pPr>
    <w:r>
      <w:rPr>
        <w:rFonts w:ascii="Calibri" w:cs="Calibri" w:eastAsia="Calibri" w:hAnsi="Calibri"/>
        <w:color w:val="555555"/>
        <w:sz w:val="18"/>
        <w:szCs w:val="18"/>
      </w:rPr>
      <w:t xml:space="preserve">GCC Playbook Part III: The Frontier</w:t>
    </w:r>
    <w:r>
      <w:rPr>
        <w:rFonts w:ascii="Calibri" w:cs="Calibri" w:eastAsia="Calibri" w:hAnsi="Calibri"/>
        <w:sz w:val="18"/>
        <w:szCs w:val="18"/>
      </w:rPr>
      <w:t xml:space="preserve">	</w:t>
    </w:r>
    <w:r>
      <w:rPr>
        <w:rFonts w:ascii="Calibri" w:cs="Calibri" w:eastAsia="Calibri" w:hAnsi="Calibri"/>
        <w:color w:val="555555"/>
        <w:sz w:val="18"/>
        <w:szCs w:val="18"/>
      </w:rPr>
      <w:t xml:space="preserve">Kalilur Rahman  |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B3A5C"/>
      <w:sz w:val="34"/>
      <w:szCs w:val="34"/>
    </w:rPr>
  </w:style>
  <w:style w:type="paragraph" w:styleId="Heading2">
    <w:name w:val="Heading 2"/>
    <w:basedOn w:val="Normal"/>
    <w:next w:val="Normal"/>
    <w:qFormat/>
    <w:pPr>
      <w:spacing w:before="240" w:after="80"/>
      <w:outlineLvl w:val="1"/>
    </w:pPr>
    <w:rPr>
      <w:rFonts w:ascii="Calibri" w:cs="Calibri" w:eastAsia="Calibri" w:hAnsi="Calibri"/>
      <w:b/>
      <w:bCs/>
      <w:color w:val="1F5C99"/>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D6E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2026-03-14T15:13:19.116Z</dcterms:created>
  <dcterms:modified xsi:type="dcterms:W3CDTF">2026-03-14T15:13:19.117Z</dcterms:modified>
</cp:coreProperties>
</file>

<file path=docProps/custom.xml><?xml version="1.0" encoding="utf-8"?>
<Properties xmlns="http://schemas.openxmlformats.org/officeDocument/2006/custom-properties" xmlns:vt="http://schemas.openxmlformats.org/officeDocument/2006/docPropsVTypes"/>
</file>