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C7653" w14:textId="77777777" w:rsidR="00772358" w:rsidRDefault="00772358">
      <w:pPr>
        <w:spacing w:after="80"/>
      </w:pPr>
    </w:p>
    <w:p w14:paraId="03843688" w14:textId="77777777" w:rsidR="00772358" w:rsidRDefault="00772358">
      <w:pPr>
        <w:spacing w:after="80"/>
      </w:pPr>
    </w:p>
    <w:p w14:paraId="022CB3DC" w14:textId="77777777" w:rsidR="00772358" w:rsidRDefault="00000000">
      <w:pPr>
        <w:spacing w:before="1440" w:after="120"/>
        <w:jc w:val="center"/>
      </w:pPr>
      <w:r>
        <w:rPr>
          <w:b/>
          <w:bCs/>
          <w:color w:val="E8A020"/>
          <w:sz w:val="28"/>
          <w:szCs w:val="28"/>
        </w:rPr>
        <w:t>HEALTHCARE INDUSTRY</w:t>
      </w:r>
    </w:p>
    <w:p w14:paraId="07FCB819" w14:textId="77777777" w:rsidR="00772358" w:rsidRDefault="00000000">
      <w:pPr>
        <w:spacing w:after="160"/>
        <w:jc w:val="center"/>
      </w:pPr>
      <w:r>
        <w:rPr>
          <w:b/>
          <w:bCs/>
          <w:color w:val="0B4F6C"/>
          <w:sz w:val="64"/>
          <w:szCs w:val="64"/>
        </w:rPr>
        <w:t>Digital Transformation Handbook</w:t>
      </w:r>
    </w:p>
    <w:p w14:paraId="052F3AE7" w14:textId="037F7F82" w:rsidR="00772358" w:rsidRDefault="00000000">
      <w:pPr>
        <w:spacing w:after="100"/>
        <w:jc w:val="center"/>
      </w:pPr>
      <w:r>
        <w:rPr>
          <w:b/>
          <w:bCs/>
          <w:color w:val="E8A020"/>
          <w:sz w:val="26"/>
          <w:szCs w:val="26"/>
        </w:rPr>
        <w:t>Comprehensive Edition · 202</w:t>
      </w:r>
      <w:r w:rsidR="004E0D23">
        <w:rPr>
          <w:b/>
          <w:bCs/>
          <w:color w:val="E8A020"/>
          <w:sz w:val="26"/>
          <w:szCs w:val="26"/>
        </w:rPr>
        <w:t>6</w:t>
      </w:r>
    </w:p>
    <w:p w14:paraId="7FF373A4" w14:textId="77777777" w:rsidR="00772358" w:rsidRDefault="00000000">
      <w:pPr>
        <w:spacing w:before="60" w:after="240"/>
        <w:jc w:val="center"/>
      </w:pPr>
      <w:r>
        <w:rPr>
          <w:color w:val="E8A020"/>
          <w:sz w:val="18"/>
          <w:szCs w:val="18"/>
        </w:rPr>
        <w:t>──────────────────────────────────────────────────────</w:t>
      </w:r>
    </w:p>
    <w:p w14:paraId="39A85351" w14:textId="77777777" w:rsidR="00772358" w:rsidRDefault="00000000">
      <w:pPr>
        <w:spacing w:after="100"/>
        <w:jc w:val="center"/>
      </w:pPr>
      <w:r>
        <w:rPr>
          <w:b/>
          <w:bCs/>
          <w:color w:val="0B4F6C"/>
        </w:rPr>
        <w:t xml:space="preserve">23 </w:t>
      </w:r>
      <w:proofErr w:type="gramStart"/>
      <w:r>
        <w:rPr>
          <w:b/>
          <w:bCs/>
          <w:color w:val="0B4F6C"/>
        </w:rPr>
        <w:t>Chapters  ·</w:t>
      </w:r>
      <w:proofErr w:type="gramEnd"/>
      <w:r>
        <w:rPr>
          <w:b/>
          <w:bCs/>
          <w:color w:val="0B4F6C"/>
        </w:rPr>
        <w:t xml:space="preserve">  12 Embedded </w:t>
      </w:r>
      <w:proofErr w:type="gramStart"/>
      <w:r>
        <w:rPr>
          <w:b/>
          <w:bCs/>
          <w:color w:val="0B4F6C"/>
        </w:rPr>
        <w:t>Diagrams  ·</w:t>
      </w:r>
      <w:proofErr w:type="gramEnd"/>
      <w:r>
        <w:rPr>
          <w:b/>
          <w:bCs/>
          <w:color w:val="0B4F6C"/>
        </w:rPr>
        <w:t xml:space="preserve">  25,000+ </w:t>
      </w:r>
      <w:proofErr w:type="gramStart"/>
      <w:r>
        <w:rPr>
          <w:b/>
          <w:bCs/>
          <w:color w:val="0B4F6C"/>
        </w:rPr>
        <w:t>Words  ·</w:t>
      </w:r>
      <w:proofErr w:type="gramEnd"/>
      <w:r>
        <w:rPr>
          <w:b/>
          <w:bCs/>
          <w:color w:val="0B4F6C"/>
        </w:rPr>
        <w:t xml:space="preserve">  9 Parts</w:t>
      </w:r>
    </w:p>
    <w:p w14:paraId="09911D3A" w14:textId="77777777" w:rsidR="00772358" w:rsidRDefault="00000000">
      <w:pPr>
        <w:spacing w:after="60"/>
        <w:jc w:val="center"/>
      </w:pPr>
      <w:r>
        <w:rPr>
          <w:color w:val="5B8FA8"/>
          <w:sz w:val="20"/>
          <w:szCs w:val="20"/>
        </w:rPr>
        <w:t>Revenue Cycle · Payer Operations · Denial Management · Prior Auth · Medical Coding</w:t>
      </w:r>
    </w:p>
    <w:p w14:paraId="1F1AE289" w14:textId="77777777" w:rsidR="00772358" w:rsidRDefault="00000000">
      <w:pPr>
        <w:spacing w:after="60"/>
        <w:jc w:val="center"/>
      </w:pPr>
      <w:r>
        <w:rPr>
          <w:color w:val="5B8FA8"/>
          <w:sz w:val="20"/>
          <w:szCs w:val="20"/>
        </w:rPr>
        <w:t>Population Health · PBM · Healthcare AI · GCC Operating Model · India GCC Landscape</w:t>
      </w:r>
    </w:p>
    <w:p w14:paraId="6571588A" w14:textId="77777777" w:rsidR="00772358" w:rsidRDefault="00000000">
      <w:pPr>
        <w:spacing w:after="360"/>
        <w:jc w:val="center"/>
      </w:pPr>
      <w:r>
        <w:rPr>
          <w:i/>
          <w:iCs/>
          <w:color w:val="5B8FA8"/>
          <w:sz w:val="20"/>
          <w:szCs w:val="20"/>
        </w:rPr>
        <w:t xml:space="preserve">Payment Integrity · Contact </w:t>
      </w:r>
      <w:proofErr w:type="spellStart"/>
      <w:r>
        <w:rPr>
          <w:i/>
          <w:iCs/>
          <w:color w:val="5B8FA8"/>
          <w:sz w:val="20"/>
          <w:szCs w:val="20"/>
        </w:rPr>
        <w:t>Centers</w:t>
      </w:r>
      <w:proofErr w:type="spellEnd"/>
      <w:r>
        <w:rPr>
          <w:i/>
          <w:iCs/>
          <w:color w:val="5B8FA8"/>
          <w:sz w:val="20"/>
          <w:szCs w:val="20"/>
        </w:rPr>
        <w:t xml:space="preserve"> · KPIs · HIPAA Compliance · Value-Based Care</w:t>
      </w:r>
    </w:p>
    <w:p w14:paraId="485E9DDE" w14:textId="7985C379" w:rsidR="004E0D23" w:rsidRDefault="00000000">
      <w:pPr>
        <w:jc w:val="center"/>
        <w:rPr>
          <w:color w:val="5B8FA8"/>
          <w:sz w:val="20"/>
          <w:szCs w:val="20"/>
        </w:rPr>
      </w:pPr>
      <w:r>
        <w:rPr>
          <w:color w:val="5B8FA8"/>
          <w:sz w:val="20"/>
          <w:szCs w:val="20"/>
        </w:rPr>
        <w:t xml:space="preserve">For: GCC </w:t>
      </w:r>
      <w:proofErr w:type="gramStart"/>
      <w:r>
        <w:rPr>
          <w:color w:val="5B8FA8"/>
          <w:sz w:val="20"/>
          <w:szCs w:val="20"/>
        </w:rPr>
        <w:t>Leaders  ·</w:t>
      </w:r>
      <w:proofErr w:type="gramEnd"/>
      <w:r>
        <w:rPr>
          <w:color w:val="5B8FA8"/>
          <w:sz w:val="20"/>
          <w:szCs w:val="20"/>
        </w:rPr>
        <w:t xml:space="preserve">  Healthcare </w:t>
      </w:r>
      <w:proofErr w:type="gramStart"/>
      <w:r>
        <w:rPr>
          <w:color w:val="5B8FA8"/>
          <w:sz w:val="20"/>
          <w:szCs w:val="20"/>
        </w:rPr>
        <w:t>Executives  ·</w:t>
      </w:r>
      <w:proofErr w:type="gramEnd"/>
      <w:r>
        <w:rPr>
          <w:color w:val="5B8FA8"/>
          <w:sz w:val="20"/>
          <w:szCs w:val="20"/>
        </w:rPr>
        <w:t xml:space="preserve">  Transformation </w:t>
      </w:r>
      <w:proofErr w:type="gramStart"/>
      <w:r>
        <w:rPr>
          <w:color w:val="5B8FA8"/>
          <w:sz w:val="20"/>
          <w:szCs w:val="20"/>
        </w:rPr>
        <w:t>Teams  ·</w:t>
      </w:r>
      <w:proofErr w:type="gramEnd"/>
      <w:r>
        <w:rPr>
          <w:color w:val="5B8FA8"/>
          <w:sz w:val="20"/>
          <w:szCs w:val="20"/>
        </w:rPr>
        <w:t xml:space="preserve">  Strategy Consultants</w:t>
      </w:r>
    </w:p>
    <w:p w14:paraId="66CF4900" w14:textId="77777777" w:rsidR="004E0D23" w:rsidRDefault="004E0D23" w:rsidP="004E0D23">
      <w:pPr>
        <w:rPr>
          <w:color w:val="5B8FA8"/>
          <w:sz w:val="20"/>
          <w:szCs w:val="20"/>
        </w:rPr>
      </w:pPr>
      <w:r>
        <w:rPr>
          <w:color w:val="5B8FA8"/>
          <w:sz w:val="20"/>
          <w:szCs w:val="20"/>
        </w:rPr>
        <w:br w:type="page"/>
      </w:r>
    </w:p>
    <w:p w14:paraId="13B281BE" w14:textId="434939CA" w:rsidR="004E0D23" w:rsidRDefault="004E0D23" w:rsidP="004E0D23">
      <w:pPr>
        <w:jc w:val="center"/>
        <w:rPr>
          <w:color w:val="5B8FA8"/>
          <w:sz w:val="20"/>
          <w:szCs w:val="20"/>
        </w:rPr>
      </w:pPr>
      <w:r w:rsidRPr="004E0D23">
        <w:rPr>
          <w:b/>
          <w:bCs/>
          <w:color w:val="E8A020"/>
          <w:sz w:val="28"/>
          <w:szCs w:val="28"/>
        </w:rPr>
        <w:lastRenderedPageBreak/>
        <w:t>DISCLAIMER</w:t>
      </w:r>
    </w:p>
    <w:p w14:paraId="421FA471" w14:textId="77777777" w:rsidR="004E0D23" w:rsidRDefault="004E0D23" w:rsidP="004E0D23">
      <w:pPr>
        <w:rPr>
          <w:color w:val="5B8FA8"/>
          <w:sz w:val="20"/>
          <w:szCs w:val="20"/>
        </w:rPr>
      </w:pPr>
    </w:p>
    <w:tbl>
      <w:tblPr>
        <w:tblStyle w:val="TableGrid"/>
        <w:tblW w:w="0" w:type="auto"/>
        <w:tblLook w:val="04A0" w:firstRow="1" w:lastRow="0" w:firstColumn="1" w:lastColumn="0" w:noHBand="0" w:noVBand="1"/>
      </w:tblPr>
      <w:tblGrid>
        <w:gridCol w:w="10070"/>
      </w:tblGrid>
      <w:tr w:rsidR="004E0D23" w14:paraId="34370064" w14:textId="77777777" w:rsidTr="004E0D23">
        <w:tc>
          <w:tcPr>
            <w:tcW w:w="10070" w:type="dxa"/>
          </w:tcPr>
          <w:p w14:paraId="352887E9" w14:textId="77777777" w:rsidR="004E0D23" w:rsidRPr="004E0D23" w:rsidRDefault="004E0D23" w:rsidP="004E0D23">
            <w:pPr>
              <w:rPr>
                <w:color w:val="5B8FA8"/>
                <w:sz w:val="20"/>
                <w:szCs w:val="20"/>
              </w:rPr>
            </w:pPr>
            <w:r w:rsidRPr="004E0D23">
              <w:rPr>
                <w:b/>
                <w:bCs/>
              </w:rPr>
              <w:t>AI-Generated Content Disclaimer</w:t>
            </w:r>
          </w:p>
          <w:p w14:paraId="6EF2C73D" w14:textId="77777777" w:rsidR="004E0D23" w:rsidRPr="004E0D23" w:rsidRDefault="004E0D23" w:rsidP="004E0D23">
            <w:r w:rsidRPr="004E0D23">
              <w:t>This playbook was developed using advanced artificial intelligence to aggregate, summarize, and curate insights from a wide array of professional resources. While this tool is designed to provide high-level strategic guidance and creative frameworks, it is important to understand its limitations:</w:t>
            </w:r>
          </w:p>
          <w:p w14:paraId="72D267F1" w14:textId="77777777" w:rsidR="004E0D23" w:rsidRPr="004E0D23" w:rsidRDefault="004E0D23" w:rsidP="004E0D23">
            <w:pPr>
              <w:numPr>
                <w:ilvl w:val="0"/>
                <w:numId w:val="4"/>
              </w:numPr>
            </w:pPr>
            <w:r w:rsidRPr="004E0D23">
              <w:rPr>
                <w:b/>
                <w:bCs/>
              </w:rPr>
              <w:t>Accuracy &amp; Hallucinations:</w:t>
            </w:r>
            <w:r w:rsidRPr="004E0D23">
              <w:t xml:space="preserve"> AI can occasionally generate "hallucinations"—information that sounds confident and authoritative but is factually incorrect or logically flawed.</w:t>
            </w:r>
          </w:p>
          <w:p w14:paraId="0CEA8144" w14:textId="77777777" w:rsidR="004E0D23" w:rsidRPr="004E0D23" w:rsidRDefault="004E0D23" w:rsidP="004E0D23">
            <w:pPr>
              <w:numPr>
                <w:ilvl w:val="0"/>
                <w:numId w:val="4"/>
              </w:numPr>
            </w:pPr>
            <w:r w:rsidRPr="004E0D23">
              <w:rPr>
                <w:b/>
                <w:bCs/>
              </w:rPr>
              <w:t>Contextual Limits:</w:t>
            </w:r>
            <w:r w:rsidRPr="004E0D23">
              <w:t xml:space="preserve"> The AI may not fully grasp the specific nuances, legal requirements, or cultural sensitivities unique to your specific organization or industry.</w:t>
            </w:r>
          </w:p>
          <w:p w14:paraId="1B6DB2CC" w14:textId="77777777" w:rsidR="004E0D23" w:rsidRPr="004E0D23" w:rsidRDefault="004E0D23" w:rsidP="004E0D23">
            <w:pPr>
              <w:numPr>
                <w:ilvl w:val="0"/>
                <w:numId w:val="4"/>
              </w:numPr>
            </w:pPr>
            <w:r w:rsidRPr="004E0D23">
              <w:rPr>
                <w:b/>
                <w:bCs/>
              </w:rPr>
              <w:t>Static Data:</w:t>
            </w:r>
            <w:r w:rsidRPr="004E0D23">
              <w:t xml:space="preserve"> Depending on the model used, some insights may not reflect the most recent real-time market shifts or news.</w:t>
            </w:r>
          </w:p>
          <w:p w14:paraId="5A70EC36" w14:textId="77777777" w:rsidR="004E0D23" w:rsidRPr="004E0D23" w:rsidRDefault="004E0D23" w:rsidP="004E0D23">
            <w:r w:rsidRPr="004E0D23">
              <w:rPr>
                <w:b/>
                <w:bCs/>
              </w:rPr>
              <w:t>Required Action:</w:t>
            </w:r>
            <w:r w:rsidRPr="004E0D23">
              <w:t xml:space="preserve"> This document is a </w:t>
            </w:r>
            <w:r w:rsidRPr="004E0D23">
              <w:rPr>
                <w:b/>
                <w:bCs/>
              </w:rPr>
              <w:t>drafting tool</w:t>
            </w:r>
            <w:r w:rsidRPr="004E0D23">
              <w:t>, not a final directive. Users must exercise professional judgment and verify all critical data, legal advice, or technical specifications before implementation.</w:t>
            </w:r>
          </w:p>
          <w:p w14:paraId="3922C4FC" w14:textId="77777777" w:rsidR="004E0D23" w:rsidRPr="004E0D23" w:rsidRDefault="004E0D23" w:rsidP="004E0D23">
            <w:r w:rsidRPr="004E0D23">
              <w:pict w14:anchorId="6F413F5B">
                <v:rect id="_x0000_i1034" style="width:0;height:1.5pt" o:hralign="center" o:hrstd="t" o:hr="t" fillcolor="#a0a0a0" stroked="f"/>
              </w:pict>
            </w:r>
          </w:p>
          <w:p w14:paraId="05EBCA92" w14:textId="77777777" w:rsidR="004E0D23" w:rsidRPr="004E0D23" w:rsidRDefault="004E0D23" w:rsidP="004E0D23">
            <w:pPr>
              <w:rPr>
                <w:b/>
                <w:bCs/>
              </w:rPr>
            </w:pPr>
            <w:r w:rsidRPr="004E0D23">
              <w:rPr>
                <w:b/>
                <w:bCs/>
              </w:rPr>
              <w:t>How to Use This Playbook Effectively</w:t>
            </w:r>
          </w:p>
          <w:p w14:paraId="41C70068" w14:textId="77777777" w:rsidR="004E0D23" w:rsidRPr="004E0D23" w:rsidRDefault="004E0D23" w:rsidP="004E0D23">
            <w:r w:rsidRPr="004E0D23">
              <w:t>Here’s what I’ve noticed: the best results don't come from the AI itself, but from how a human "interrogates" the output. To get the most out of this curated guide, you’ll want to keep a few things in mind.</w:t>
            </w:r>
          </w:p>
          <w:p w14:paraId="0A67668F" w14:textId="77777777" w:rsidR="004E0D23" w:rsidRPr="004E0D23" w:rsidRDefault="004E0D23" w:rsidP="004E0D23">
            <w:pPr>
              <w:rPr>
                <w:b/>
                <w:bCs/>
              </w:rPr>
            </w:pPr>
            <w:r w:rsidRPr="004E0D23">
              <w:rPr>
                <w:b/>
                <w:bCs/>
              </w:rPr>
              <w:t>The "Human-in-the-Loop" Filter</w:t>
            </w:r>
          </w:p>
          <w:p w14:paraId="3BD62815" w14:textId="77777777" w:rsidR="004E0D23" w:rsidRPr="004E0D23" w:rsidRDefault="004E0D23" w:rsidP="004E0D23">
            <w:r w:rsidRPr="004E0D23">
              <w:t>Don't just read it; audit it. I'd suggest treating the AI as a very fast, slightly over-eager intern. You wouldn't send their first draft to the board without a thorough check, right?</w:t>
            </w:r>
          </w:p>
          <w:p w14:paraId="21CC86F2" w14:textId="77777777" w:rsidR="004E0D23" w:rsidRPr="004E0D23" w:rsidRDefault="004E0D23" w:rsidP="004E0D23">
            <w:pPr>
              <w:numPr>
                <w:ilvl w:val="0"/>
                <w:numId w:val="5"/>
              </w:numPr>
            </w:pPr>
            <w:r w:rsidRPr="004E0D23">
              <w:rPr>
                <w:b/>
                <w:bCs/>
              </w:rPr>
              <w:t>Fact-Check the Specifics:</w:t>
            </w:r>
            <w:r w:rsidRPr="004E0D23">
              <w:t xml:space="preserve"> If the playbook cites a specific case study, statistic, or law, take thirty seconds to verify it.</w:t>
            </w:r>
          </w:p>
          <w:p w14:paraId="3E61B92C" w14:textId="77777777" w:rsidR="004E0D23" w:rsidRPr="004E0D23" w:rsidRDefault="004E0D23" w:rsidP="004E0D23">
            <w:pPr>
              <w:numPr>
                <w:ilvl w:val="0"/>
                <w:numId w:val="5"/>
              </w:numPr>
            </w:pPr>
            <w:r w:rsidRPr="004E0D23">
              <w:rPr>
                <w:b/>
                <w:bCs/>
              </w:rPr>
              <w:t>Sanity Testing:</w:t>
            </w:r>
            <w:r w:rsidRPr="004E0D23">
              <w:t xml:space="preserve"> If a recommendation feels "off" or overly generic, it probably is. Lean into your intuition and the lived experience that the AI simply doesn't have.</w:t>
            </w:r>
          </w:p>
          <w:p w14:paraId="46099CDC" w14:textId="77777777" w:rsidR="004E0D23" w:rsidRPr="004E0D23" w:rsidRDefault="004E0D23" w:rsidP="004E0D23">
            <w:pPr>
              <w:rPr>
                <w:b/>
                <w:bCs/>
              </w:rPr>
            </w:pPr>
            <w:r w:rsidRPr="004E0D23">
              <w:rPr>
                <w:b/>
                <w:bCs/>
              </w:rPr>
              <w:t>Iterative Refinement</w:t>
            </w:r>
          </w:p>
          <w:p w14:paraId="79D36F85" w14:textId="77777777" w:rsidR="004E0D23" w:rsidRPr="004E0D23" w:rsidRDefault="004E0D23" w:rsidP="004E0D23">
            <w:r w:rsidRPr="004E0D23">
              <w:t>Speaking of making it your own, don't be afraid to treat this playbook as a living document.</w:t>
            </w:r>
          </w:p>
          <w:p w14:paraId="3F6A4C15" w14:textId="77777777" w:rsidR="004E0D23" w:rsidRPr="004E0D23" w:rsidRDefault="004E0D23" w:rsidP="004E0D23">
            <w:pPr>
              <w:numPr>
                <w:ilvl w:val="0"/>
                <w:numId w:val="6"/>
              </w:numPr>
            </w:pPr>
            <w:r w:rsidRPr="004E0D23">
              <w:rPr>
                <w:b/>
                <w:bCs/>
              </w:rPr>
              <w:t>Customization:</w:t>
            </w:r>
            <w:r w:rsidRPr="004E0D23">
              <w:t xml:space="preserve"> Strip out the parts that don't fit your team's culture. AI tends to default to a "one size fits all" tone, so adding your specific "why" will make it much more effective.</w:t>
            </w:r>
          </w:p>
          <w:p w14:paraId="6BF5AAC0" w14:textId="77777777" w:rsidR="004E0D23" w:rsidRPr="004E0D23" w:rsidRDefault="004E0D23" w:rsidP="004E0D23">
            <w:pPr>
              <w:numPr>
                <w:ilvl w:val="0"/>
                <w:numId w:val="6"/>
              </w:numPr>
            </w:pPr>
            <w:r w:rsidRPr="004E0D23">
              <w:rPr>
                <w:b/>
                <w:bCs/>
              </w:rPr>
              <w:t>Pilot Testing:</w:t>
            </w:r>
            <w:r w:rsidRPr="004E0D23">
              <w:t xml:space="preserve"> Before rolling out a full chapter of the playbook, try a small-scale version of one of its strategies. See how it hits the ground in the real world, then tweak the document based on those results.</w:t>
            </w:r>
          </w:p>
          <w:p w14:paraId="4AA481E2" w14:textId="77777777" w:rsidR="004E0D23" w:rsidRPr="004E0D23" w:rsidRDefault="004E0D23" w:rsidP="004E0D23">
            <w:pPr>
              <w:rPr>
                <w:b/>
                <w:bCs/>
              </w:rPr>
            </w:pPr>
            <w:r w:rsidRPr="004E0D23">
              <w:rPr>
                <w:b/>
                <w:bCs/>
              </w:rPr>
              <w:t>Identify the "AI Gaps"</w:t>
            </w:r>
          </w:p>
          <w:p w14:paraId="1458F837" w14:textId="205E4303" w:rsidR="004E0D23" w:rsidRDefault="004E0D23">
            <w:r w:rsidRPr="004E0D23">
              <w:t xml:space="preserve">Also, keep an eye out for where the AI might have smoothed over complex problems with vague language. If you see phrases like "ensure seamless integration" or "optimize for maximum efficiency" without a clear </w:t>
            </w:r>
            <w:r w:rsidRPr="004E0D23">
              <w:rPr>
                <w:i/>
                <w:iCs/>
              </w:rPr>
              <w:t>how</w:t>
            </w:r>
            <w:r w:rsidRPr="004E0D23">
              <w:t>, that’s your cue to step in and define the actual steps for your team.</w:t>
            </w:r>
          </w:p>
        </w:tc>
      </w:tr>
    </w:tbl>
    <w:p w14:paraId="5B0C14C5" w14:textId="37021A78" w:rsidR="004E0D23" w:rsidRDefault="004E0D23"/>
    <w:p w14:paraId="138B95FD" w14:textId="77777777" w:rsidR="004E0D23" w:rsidRDefault="004E0D23">
      <w:pPr>
        <w:rPr>
          <w:b/>
          <w:bCs/>
          <w:color w:val="FFFFFF"/>
          <w:sz w:val="32"/>
          <w:szCs w:val="32"/>
        </w:rPr>
      </w:pPr>
      <w:r>
        <w:br w:type="page"/>
      </w:r>
    </w:p>
    <w:p w14:paraId="2407E6C1" w14:textId="4227FFC2" w:rsidR="00772358" w:rsidRDefault="00000000">
      <w:pPr>
        <w:pStyle w:val="Heading1"/>
        <w:pBdr>
          <w:bottom w:val="single" w:sz="8" w:space="4" w:color="E8A020"/>
        </w:pBdr>
        <w:shd w:val="clear" w:color="auto" w:fill="0B4F6C"/>
        <w:ind w:left="160" w:right="160"/>
      </w:pPr>
      <w:r>
        <w:t>TABLE OF CONTENTS</w:t>
      </w:r>
    </w:p>
    <w:p w14:paraId="5E2C445E" w14:textId="77777777" w:rsidR="00772358" w:rsidRDefault="00772358">
      <w:pPr>
        <w:spacing w:after="80"/>
      </w:pPr>
    </w:p>
    <w:p w14:paraId="6347A436" w14:textId="77777777" w:rsidR="00772358" w:rsidRDefault="00000000">
      <w:pPr>
        <w:spacing w:before="240" w:after="80"/>
      </w:pPr>
      <w:r>
        <w:rPr>
          <w:b/>
          <w:bCs/>
          <w:color w:val="E8A020"/>
        </w:rPr>
        <w:t>PART I — FOUNDATION &amp; INDUSTRY ARCHITECTURE</w:t>
      </w:r>
    </w:p>
    <w:p w14:paraId="4E739232" w14:textId="77777777" w:rsidR="00772358" w:rsidRDefault="00000000">
      <w:pPr>
        <w:spacing w:before="60" w:after="60"/>
        <w:ind w:left="360"/>
      </w:pPr>
      <w:r>
        <w:rPr>
          <w:b/>
          <w:bCs/>
          <w:color w:val="0B4F6C"/>
        </w:rPr>
        <w:t xml:space="preserve">Chapter </w:t>
      </w:r>
      <w:proofErr w:type="gramStart"/>
      <w:r>
        <w:rPr>
          <w:b/>
          <w:bCs/>
          <w:color w:val="0B4F6C"/>
        </w:rPr>
        <w:t xml:space="preserve">1  </w:t>
      </w:r>
      <w:r>
        <w:t>Healthcare</w:t>
      </w:r>
      <w:proofErr w:type="gramEnd"/>
      <w:r>
        <w:t xml:space="preserve"> Industry Architecture &amp; The Digital Imperative</w:t>
      </w:r>
    </w:p>
    <w:p w14:paraId="42BC5531" w14:textId="77777777" w:rsidR="00772358" w:rsidRDefault="00000000">
      <w:pPr>
        <w:spacing w:before="60" w:after="60"/>
        <w:ind w:left="360"/>
      </w:pPr>
      <w:r>
        <w:rPr>
          <w:b/>
          <w:bCs/>
          <w:color w:val="0B4F6C"/>
        </w:rPr>
        <w:t xml:space="preserve">Chapter </w:t>
      </w:r>
      <w:proofErr w:type="gramStart"/>
      <w:r>
        <w:rPr>
          <w:b/>
          <w:bCs/>
          <w:color w:val="0B4F6C"/>
        </w:rPr>
        <w:t xml:space="preserve">2  </w:t>
      </w:r>
      <w:r>
        <w:t>Revenue</w:t>
      </w:r>
      <w:proofErr w:type="gramEnd"/>
      <w:r>
        <w:t xml:space="preserve"> Cycle Management — End-to-End Operating Model</w:t>
      </w:r>
    </w:p>
    <w:p w14:paraId="4E1D0826" w14:textId="77777777" w:rsidR="00772358" w:rsidRDefault="00000000">
      <w:pPr>
        <w:spacing w:before="60" w:after="60"/>
        <w:ind w:left="360"/>
      </w:pPr>
      <w:r>
        <w:rPr>
          <w:b/>
          <w:bCs/>
          <w:color w:val="0B4F6C"/>
        </w:rPr>
        <w:t xml:space="preserve">Chapter </w:t>
      </w:r>
      <w:proofErr w:type="gramStart"/>
      <w:r>
        <w:rPr>
          <w:b/>
          <w:bCs/>
          <w:color w:val="0B4F6C"/>
        </w:rPr>
        <w:t xml:space="preserve">3  </w:t>
      </w:r>
      <w:r>
        <w:t>Provider</w:t>
      </w:r>
      <w:proofErr w:type="gramEnd"/>
      <w:r>
        <w:t xml:space="preserve"> Domain — Clinical Operations &amp; Governance</w:t>
      </w:r>
    </w:p>
    <w:p w14:paraId="4ACE815B" w14:textId="77777777" w:rsidR="00772358" w:rsidRDefault="00000000">
      <w:pPr>
        <w:spacing w:before="240" w:after="80"/>
      </w:pPr>
      <w:r>
        <w:rPr>
          <w:b/>
          <w:bCs/>
          <w:color w:val="E8A020"/>
        </w:rPr>
        <w:t>PART II — PAYER &amp; PROVIDER OPERATIONS</w:t>
      </w:r>
    </w:p>
    <w:p w14:paraId="6F455AF2" w14:textId="77777777" w:rsidR="00772358" w:rsidRDefault="00000000">
      <w:pPr>
        <w:spacing w:before="60" w:after="60"/>
        <w:ind w:left="360"/>
      </w:pPr>
      <w:r>
        <w:rPr>
          <w:b/>
          <w:bCs/>
          <w:color w:val="0B4F6C"/>
        </w:rPr>
        <w:t xml:space="preserve">Chapter </w:t>
      </w:r>
      <w:proofErr w:type="gramStart"/>
      <w:r>
        <w:rPr>
          <w:b/>
          <w:bCs/>
          <w:color w:val="0B4F6C"/>
        </w:rPr>
        <w:t xml:space="preserve">4  </w:t>
      </w:r>
      <w:r>
        <w:t>Payer</w:t>
      </w:r>
      <w:proofErr w:type="gramEnd"/>
      <w:r>
        <w:t xml:space="preserve"> Domain — Claims Administration &amp; Risk Adjustment</w:t>
      </w:r>
    </w:p>
    <w:p w14:paraId="52BEDC6A" w14:textId="77777777" w:rsidR="00772358" w:rsidRDefault="00000000">
      <w:pPr>
        <w:spacing w:before="60" w:after="60"/>
        <w:ind w:left="360"/>
      </w:pPr>
      <w:r>
        <w:rPr>
          <w:b/>
          <w:bCs/>
          <w:color w:val="0B4F6C"/>
        </w:rPr>
        <w:t xml:space="preserve">Chapter </w:t>
      </w:r>
      <w:proofErr w:type="gramStart"/>
      <w:r>
        <w:rPr>
          <w:b/>
          <w:bCs/>
          <w:color w:val="0B4F6C"/>
        </w:rPr>
        <w:t xml:space="preserve">5  </w:t>
      </w:r>
      <w:r>
        <w:t>Denial</w:t>
      </w:r>
      <w:proofErr w:type="gramEnd"/>
      <w:r>
        <w:t xml:space="preserve"> Management &amp; Prevention — The Revenue Recovery Playbook</w:t>
      </w:r>
    </w:p>
    <w:p w14:paraId="7F1ABAED" w14:textId="77777777" w:rsidR="00772358" w:rsidRDefault="00000000">
      <w:pPr>
        <w:spacing w:before="60" w:after="60"/>
        <w:ind w:left="360"/>
      </w:pPr>
      <w:r>
        <w:rPr>
          <w:b/>
          <w:bCs/>
          <w:color w:val="0B4F6C"/>
        </w:rPr>
        <w:t xml:space="preserve">Chapter </w:t>
      </w:r>
      <w:proofErr w:type="gramStart"/>
      <w:r>
        <w:rPr>
          <w:b/>
          <w:bCs/>
          <w:color w:val="0B4F6C"/>
        </w:rPr>
        <w:t xml:space="preserve">6  </w:t>
      </w:r>
      <w:r>
        <w:t>Patient</w:t>
      </w:r>
      <w:proofErr w:type="gramEnd"/>
      <w:r>
        <w:t xml:space="preserve"> Eligibility Verification &amp; Prior Authorisation</w:t>
      </w:r>
    </w:p>
    <w:p w14:paraId="3F820FEE" w14:textId="77777777" w:rsidR="00772358" w:rsidRDefault="00000000">
      <w:pPr>
        <w:spacing w:before="60" w:after="60"/>
        <w:ind w:left="360"/>
      </w:pPr>
      <w:r>
        <w:rPr>
          <w:b/>
          <w:bCs/>
          <w:color w:val="0B4F6C"/>
        </w:rPr>
        <w:t xml:space="preserve">Chapter </w:t>
      </w:r>
      <w:proofErr w:type="gramStart"/>
      <w:r>
        <w:rPr>
          <w:b/>
          <w:bCs/>
          <w:color w:val="0B4F6C"/>
        </w:rPr>
        <w:t xml:space="preserve">7  </w:t>
      </w:r>
      <w:r>
        <w:t>Medical</w:t>
      </w:r>
      <w:proofErr w:type="gramEnd"/>
      <w:r>
        <w:t xml:space="preserve"> Coding &amp; Clinical Documentation Improvement</w:t>
      </w:r>
    </w:p>
    <w:p w14:paraId="7BAA04C9" w14:textId="77777777" w:rsidR="00772358" w:rsidRDefault="00000000">
      <w:pPr>
        <w:spacing w:before="60" w:after="60"/>
        <w:ind w:left="360"/>
      </w:pPr>
      <w:r>
        <w:rPr>
          <w:b/>
          <w:bCs/>
          <w:color w:val="0B4F6C"/>
        </w:rPr>
        <w:t xml:space="preserve">Chapter </w:t>
      </w:r>
      <w:proofErr w:type="gramStart"/>
      <w:r>
        <w:rPr>
          <w:b/>
          <w:bCs/>
          <w:color w:val="0B4F6C"/>
        </w:rPr>
        <w:t xml:space="preserve">8  </w:t>
      </w:r>
      <w:r>
        <w:t>Claims</w:t>
      </w:r>
      <w:proofErr w:type="gramEnd"/>
      <w:r>
        <w:t xml:space="preserve"> Adjudication — The Payer Engine</w:t>
      </w:r>
    </w:p>
    <w:p w14:paraId="44867F5E" w14:textId="77777777" w:rsidR="00772358" w:rsidRDefault="00000000">
      <w:pPr>
        <w:spacing w:before="240" w:after="80"/>
      </w:pPr>
      <w:r>
        <w:rPr>
          <w:b/>
          <w:bCs/>
          <w:color w:val="E8A020"/>
        </w:rPr>
        <w:t>PART III — POPULATION HEALTH &amp; VALUE-BASED CARE</w:t>
      </w:r>
    </w:p>
    <w:p w14:paraId="76D105CC" w14:textId="77777777" w:rsidR="00772358" w:rsidRDefault="00000000">
      <w:pPr>
        <w:spacing w:before="60" w:after="60"/>
        <w:ind w:left="360"/>
      </w:pPr>
      <w:r>
        <w:rPr>
          <w:b/>
          <w:bCs/>
          <w:color w:val="0B4F6C"/>
        </w:rPr>
        <w:t xml:space="preserve">Chapter </w:t>
      </w:r>
      <w:proofErr w:type="gramStart"/>
      <w:r>
        <w:rPr>
          <w:b/>
          <w:bCs/>
          <w:color w:val="0B4F6C"/>
        </w:rPr>
        <w:t xml:space="preserve">9  </w:t>
      </w:r>
      <w:r>
        <w:t>Population</w:t>
      </w:r>
      <w:proofErr w:type="gramEnd"/>
      <w:r>
        <w:t xml:space="preserve"> Health &amp; Value-Based Care</w:t>
      </w:r>
    </w:p>
    <w:p w14:paraId="4BD85C58" w14:textId="77777777" w:rsidR="00772358" w:rsidRDefault="00000000">
      <w:pPr>
        <w:spacing w:before="60" w:after="60"/>
        <w:ind w:left="360"/>
      </w:pPr>
      <w:r>
        <w:rPr>
          <w:b/>
          <w:bCs/>
          <w:color w:val="0B4F6C"/>
        </w:rPr>
        <w:t xml:space="preserve">Chapter </w:t>
      </w:r>
      <w:proofErr w:type="gramStart"/>
      <w:r>
        <w:rPr>
          <w:b/>
          <w:bCs/>
          <w:color w:val="0B4F6C"/>
        </w:rPr>
        <w:t xml:space="preserve">10  </w:t>
      </w:r>
      <w:r>
        <w:t>Pharmacy</w:t>
      </w:r>
      <w:proofErr w:type="gramEnd"/>
      <w:r>
        <w:t xml:space="preserve"> Benefit Management &amp; Specialty Pharmacy</w:t>
      </w:r>
    </w:p>
    <w:p w14:paraId="465B71E9" w14:textId="77777777" w:rsidR="00772358" w:rsidRDefault="00000000">
      <w:pPr>
        <w:spacing w:before="240" w:after="80"/>
      </w:pPr>
      <w:r>
        <w:rPr>
          <w:b/>
          <w:bCs/>
          <w:color w:val="E8A020"/>
        </w:rPr>
        <w:t>PART IV — DIGITAL TRANSFORMATION &amp; AI</w:t>
      </w:r>
    </w:p>
    <w:p w14:paraId="3D2DDE99" w14:textId="77777777" w:rsidR="00772358" w:rsidRDefault="00000000">
      <w:pPr>
        <w:spacing w:before="60" w:after="60"/>
        <w:ind w:left="360"/>
      </w:pPr>
      <w:r>
        <w:rPr>
          <w:b/>
          <w:bCs/>
          <w:color w:val="0B4F6C"/>
        </w:rPr>
        <w:t xml:space="preserve">Chapter </w:t>
      </w:r>
      <w:proofErr w:type="gramStart"/>
      <w:r>
        <w:rPr>
          <w:b/>
          <w:bCs/>
          <w:color w:val="0B4F6C"/>
        </w:rPr>
        <w:t xml:space="preserve">11  </w:t>
      </w:r>
      <w:r>
        <w:t>Healthcare</w:t>
      </w:r>
      <w:proofErr w:type="gramEnd"/>
      <w:r>
        <w:t xml:space="preserve"> AI &amp; Automation — Practical Deployment</w:t>
      </w:r>
    </w:p>
    <w:p w14:paraId="23C15D17" w14:textId="77777777" w:rsidR="00772358" w:rsidRDefault="00000000">
      <w:pPr>
        <w:spacing w:before="60" w:after="60"/>
        <w:ind w:left="360"/>
      </w:pPr>
      <w:r>
        <w:rPr>
          <w:b/>
          <w:bCs/>
          <w:color w:val="0B4F6C"/>
        </w:rPr>
        <w:t xml:space="preserve">Chapter </w:t>
      </w:r>
      <w:proofErr w:type="gramStart"/>
      <w:r>
        <w:rPr>
          <w:b/>
          <w:bCs/>
          <w:color w:val="0B4F6C"/>
        </w:rPr>
        <w:t xml:space="preserve">12  </w:t>
      </w:r>
      <w:r>
        <w:t>Healthcare</w:t>
      </w:r>
      <w:proofErr w:type="gramEnd"/>
      <w:r>
        <w:t xml:space="preserve"> GCC Operating Model &amp; Capability Map</w:t>
      </w:r>
    </w:p>
    <w:p w14:paraId="4C1CF619" w14:textId="77777777" w:rsidR="00772358" w:rsidRDefault="00000000">
      <w:pPr>
        <w:spacing w:before="240" w:after="80"/>
      </w:pPr>
      <w:r>
        <w:rPr>
          <w:b/>
          <w:bCs/>
          <w:color w:val="E8A020"/>
        </w:rPr>
        <w:t>PART V — PATIENT &amp; MEMBER EXPERIENCE</w:t>
      </w:r>
    </w:p>
    <w:p w14:paraId="0E1A0682" w14:textId="77777777" w:rsidR="00772358" w:rsidRDefault="00000000">
      <w:pPr>
        <w:spacing w:before="60" w:after="60"/>
        <w:ind w:left="360"/>
      </w:pPr>
      <w:r>
        <w:rPr>
          <w:b/>
          <w:bCs/>
          <w:color w:val="0B4F6C"/>
        </w:rPr>
        <w:t xml:space="preserve">Chapter </w:t>
      </w:r>
      <w:proofErr w:type="gramStart"/>
      <w:r>
        <w:rPr>
          <w:b/>
          <w:bCs/>
          <w:color w:val="0B4F6C"/>
        </w:rPr>
        <w:t xml:space="preserve">13  </w:t>
      </w:r>
      <w:r>
        <w:t>Patient</w:t>
      </w:r>
      <w:proofErr w:type="gramEnd"/>
      <w:r>
        <w:t xml:space="preserve"> Financial Services &amp; Revenue Integrity</w:t>
      </w:r>
    </w:p>
    <w:p w14:paraId="17787282" w14:textId="77777777" w:rsidR="00772358" w:rsidRDefault="00000000">
      <w:pPr>
        <w:spacing w:before="60" w:after="60"/>
        <w:ind w:left="360"/>
      </w:pPr>
      <w:r>
        <w:rPr>
          <w:b/>
          <w:bCs/>
          <w:color w:val="0B4F6C"/>
        </w:rPr>
        <w:t xml:space="preserve">Chapter </w:t>
      </w:r>
      <w:proofErr w:type="gramStart"/>
      <w:r>
        <w:rPr>
          <w:b/>
          <w:bCs/>
          <w:color w:val="0B4F6C"/>
        </w:rPr>
        <w:t xml:space="preserve">14  </w:t>
      </w:r>
      <w:r>
        <w:t>Healthcare</w:t>
      </w:r>
      <w:proofErr w:type="gramEnd"/>
      <w:r>
        <w:t xml:space="preserve"> Analytics, Benchmarking &amp; Performance Intelligence</w:t>
      </w:r>
    </w:p>
    <w:p w14:paraId="02CDB16F" w14:textId="77777777" w:rsidR="00772358" w:rsidRDefault="00000000">
      <w:pPr>
        <w:spacing w:before="240" w:after="80"/>
      </w:pPr>
      <w:r>
        <w:rPr>
          <w:b/>
          <w:bCs/>
          <w:color w:val="E8A020"/>
        </w:rPr>
        <w:t>PART VI — COMPLIANCE &amp; GOVERNANCE</w:t>
      </w:r>
    </w:p>
    <w:p w14:paraId="281C9863" w14:textId="77777777" w:rsidR="00772358" w:rsidRDefault="00000000">
      <w:pPr>
        <w:spacing w:before="60" w:after="60"/>
        <w:ind w:left="360"/>
      </w:pPr>
      <w:r>
        <w:rPr>
          <w:b/>
          <w:bCs/>
          <w:color w:val="0B4F6C"/>
        </w:rPr>
        <w:t xml:space="preserve">Chapter </w:t>
      </w:r>
      <w:proofErr w:type="gramStart"/>
      <w:r>
        <w:rPr>
          <w:b/>
          <w:bCs/>
          <w:color w:val="0B4F6C"/>
        </w:rPr>
        <w:t xml:space="preserve">15  </w:t>
      </w:r>
      <w:r>
        <w:t>Compliance</w:t>
      </w:r>
      <w:proofErr w:type="gramEnd"/>
      <w:r>
        <w:t>, Regulatory Affairs &amp; HIPAA Governance</w:t>
      </w:r>
    </w:p>
    <w:p w14:paraId="6C0ED61F" w14:textId="77777777" w:rsidR="00772358" w:rsidRDefault="00000000">
      <w:pPr>
        <w:spacing w:before="60" w:after="60"/>
        <w:ind w:left="360"/>
      </w:pPr>
      <w:r>
        <w:rPr>
          <w:b/>
          <w:bCs/>
          <w:color w:val="0B4F6C"/>
        </w:rPr>
        <w:t xml:space="preserve">Chapter </w:t>
      </w:r>
      <w:proofErr w:type="gramStart"/>
      <w:r>
        <w:rPr>
          <w:b/>
          <w:bCs/>
          <w:color w:val="0B4F6C"/>
        </w:rPr>
        <w:t xml:space="preserve">16  </w:t>
      </w:r>
      <w:r>
        <w:t>Digital</w:t>
      </w:r>
      <w:proofErr w:type="gramEnd"/>
      <w:r>
        <w:t xml:space="preserve"> Transformation &amp; Health IT</w:t>
      </w:r>
    </w:p>
    <w:p w14:paraId="10395109" w14:textId="77777777" w:rsidR="00772358" w:rsidRDefault="00000000">
      <w:pPr>
        <w:spacing w:before="240" w:after="80"/>
      </w:pPr>
      <w:r>
        <w:rPr>
          <w:b/>
          <w:bCs/>
          <w:color w:val="E8A020"/>
        </w:rPr>
        <w:t>PART VII — PROVIDER OPERATIONS</w:t>
      </w:r>
    </w:p>
    <w:p w14:paraId="01E67DCC" w14:textId="77777777" w:rsidR="00772358" w:rsidRDefault="00000000">
      <w:pPr>
        <w:spacing w:before="60" w:after="60"/>
        <w:ind w:left="360"/>
      </w:pPr>
      <w:r>
        <w:rPr>
          <w:b/>
          <w:bCs/>
          <w:color w:val="0B4F6C"/>
        </w:rPr>
        <w:t xml:space="preserve">Chapter </w:t>
      </w:r>
      <w:proofErr w:type="gramStart"/>
      <w:r>
        <w:rPr>
          <w:b/>
          <w:bCs/>
          <w:color w:val="0B4F6C"/>
        </w:rPr>
        <w:t xml:space="preserve">17  </w:t>
      </w:r>
      <w:r>
        <w:t>Provider</w:t>
      </w:r>
      <w:proofErr w:type="gramEnd"/>
      <w:r>
        <w:t xml:space="preserve"> </w:t>
      </w:r>
      <w:proofErr w:type="spellStart"/>
      <w:r>
        <w:t>Enrollment</w:t>
      </w:r>
      <w:proofErr w:type="spellEnd"/>
      <w:r>
        <w:t>, Credentialing &amp; Network Management</w:t>
      </w:r>
    </w:p>
    <w:p w14:paraId="02749F14" w14:textId="77777777" w:rsidR="00772358" w:rsidRDefault="00000000">
      <w:pPr>
        <w:spacing w:before="60" w:after="60"/>
        <w:ind w:left="360"/>
      </w:pPr>
      <w:r>
        <w:rPr>
          <w:b/>
          <w:bCs/>
          <w:color w:val="0B4F6C"/>
        </w:rPr>
        <w:t xml:space="preserve">Chapter </w:t>
      </w:r>
      <w:proofErr w:type="gramStart"/>
      <w:r>
        <w:rPr>
          <w:b/>
          <w:bCs/>
          <w:color w:val="0B4F6C"/>
        </w:rPr>
        <w:t xml:space="preserve">18  </w:t>
      </w:r>
      <w:r>
        <w:t>Specialty</w:t>
      </w:r>
      <w:proofErr w:type="gramEnd"/>
      <w:r>
        <w:t xml:space="preserve"> Services, Post-Acute &amp; Home Health</w:t>
      </w:r>
    </w:p>
    <w:p w14:paraId="4F077CF0" w14:textId="77777777" w:rsidR="00772358" w:rsidRDefault="00000000">
      <w:pPr>
        <w:spacing w:before="240" w:after="80"/>
      </w:pPr>
      <w:r>
        <w:rPr>
          <w:b/>
          <w:bCs/>
          <w:color w:val="E8A020"/>
        </w:rPr>
        <w:t>PART VIII — GENERATIVE AI &amp; AUTOMATION</w:t>
      </w:r>
    </w:p>
    <w:p w14:paraId="6D50D647" w14:textId="77777777" w:rsidR="00772358" w:rsidRDefault="00000000">
      <w:pPr>
        <w:spacing w:before="60" w:after="60"/>
        <w:ind w:left="360"/>
      </w:pPr>
      <w:r>
        <w:rPr>
          <w:b/>
          <w:bCs/>
          <w:color w:val="0B4F6C"/>
        </w:rPr>
        <w:t xml:space="preserve">Chapter </w:t>
      </w:r>
      <w:proofErr w:type="gramStart"/>
      <w:r>
        <w:rPr>
          <w:b/>
          <w:bCs/>
          <w:color w:val="0B4F6C"/>
        </w:rPr>
        <w:t xml:space="preserve">19  </w:t>
      </w:r>
      <w:r>
        <w:t>Generative</w:t>
      </w:r>
      <w:proofErr w:type="gramEnd"/>
      <w:r>
        <w:t xml:space="preserve"> AI &amp; Workflow Automation at Scale</w:t>
      </w:r>
    </w:p>
    <w:p w14:paraId="513944D9" w14:textId="77777777" w:rsidR="00772358" w:rsidRDefault="00000000">
      <w:pPr>
        <w:spacing w:before="60" w:after="60"/>
        <w:ind w:left="360"/>
      </w:pPr>
      <w:r>
        <w:rPr>
          <w:b/>
          <w:bCs/>
          <w:color w:val="0B4F6C"/>
        </w:rPr>
        <w:t xml:space="preserve">Chapter </w:t>
      </w:r>
      <w:proofErr w:type="gramStart"/>
      <w:r>
        <w:rPr>
          <w:b/>
          <w:bCs/>
          <w:color w:val="0B4F6C"/>
        </w:rPr>
        <w:t xml:space="preserve">20  </w:t>
      </w:r>
      <w:r>
        <w:t>India</w:t>
      </w:r>
      <w:proofErr w:type="gramEnd"/>
      <w:r>
        <w:t xml:space="preserve"> Healthcare GCC Landscape — Players, Cities &amp; Strategy</w:t>
      </w:r>
    </w:p>
    <w:p w14:paraId="1D1317C5" w14:textId="77777777" w:rsidR="00772358" w:rsidRDefault="00000000">
      <w:pPr>
        <w:spacing w:before="240" w:after="80"/>
      </w:pPr>
      <w:r>
        <w:rPr>
          <w:b/>
          <w:bCs/>
          <w:color w:val="E8A020"/>
        </w:rPr>
        <w:t>PART IX — PAYMENT INTEGRITY &amp; SPECIALIST TOPICS</w:t>
      </w:r>
    </w:p>
    <w:p w14:paraId="0083995E" w14:textId="77777777" w:rsidR="00772358" w:rsidRDefault="00000000">
      <w:pPr>
        <w:spacing w:before="60" w:after="60"/>
        <w:ind w:left="360"/>
      </w:pPr>
      <w:r>
        <w:rPr>
          <w:b/>
          <w:bCs/>
          <w:color w:val="0B4F6C"/>
        </w:rPr>
        <w:t xml:space="preserve">Chapter </w:t>
      </w:r>
      <w:proofErr w:type="gramStart"/>
      <w:r>
        <w:rPr>
          <w:b/>
          <w:bCs/>
          <w:color w:val="0B4F6C"/>
        </w:rPr>
        <w:t xml:space="preserve">21  </w:t>
      </w:r>
      <w:r>
        <w:t>Payment</w:t>
      </w:r>
      <w:proofErr w:type="gramEnd"/>
      <w:r>
        <w:t xml:space="preserve"> Integrity, FWA &amp; Audit Analytics</w:t>
      </w:r>
    </w:p>
    <w:p w14:paraId="539F527C" w14:textId="77777777" w:rsidR="00772358" w:rsidRDefault="00000000">
      <w:pPr>
        <w:spacing w:before="60" w:after="60"/>
        <w:ind w:left="360"/>
      </w:pPr>
      <w:r>
        <w:rPr>
          <w:b/>
          <w:bCs/>
          <w:color w:val="0B4F6C"/>
        </w:rPr>
        <w:t xml:space="preserve">Chapter </w:t>
      </w:r>
      <w:proofErr w:type="gramStart"/>
      <w:r>
        <w:rPr>
          <w:b/>
          <w:bCs/>
          <w:color w:val="0B4F6C"/>
        </w:rPr>
        <w:t xml:space="preserve">22  </w:t>
      </w:r>
      <w:r>
        <w:t>Contact</w:t>
      </w:r>
      <w:proofErr w:type="gramEnd"/>
      <w:r>
        <w:t xml:space="preserve"> </w:t>
      </w:r>
      <w:proofErr w:type="spellStart"/>
      <w:r>
        <w:t>Centers</w:t>
      </w:r>
      <w:proofErr w:type="spellEnd"/>
      <w:r>
        <w:t xml:space="preserve"> — Member &amp; Patient Services Operations</w:t>
      </w:r>
    </w:p>
    <w:p w14:paraId="222C46C0" w14:textId="77777777" w:rsidR="00772358" w:rsidRDefault="00000000">
      <w:pPr>
        <w:spacing w:before="60" w:after="60"/>
        <w:ind w:left="360"/>
      </w:pPr>
      <w:r>
        <w:rPr>
          <w:b/>
          <w:bCs/>
          <w:color w:val="0B4F6C"/>
        </w:rPr>
        <w:t xml:space="preserve">Chapter </w:t>
      </w:r>
      <w:proofErr w:type="gramStart"/>
      <w:r>
        <w:rPr>
          <w:b/>
          <w:bCs/>
          <w:color w:val="0B4F6C"/>
        </w:rPr>
        <w:t xml:space="preserve">23  </w:t>
      </w:r>
      <w:r>
        <w:t>Healthcare</w:t>
      </w:r>
      <w:proofErr w:type="gramEnd"/>
      <w:r>
        <w:t xml:space="preserve"> KPIs, Benchmarks &amp; Executive Dashboards</w:t>
      </w:r>
    </w:p>
    <w:p w14:paraId="17A301AE" w14:textId="77777777" w:rsidR="00772358" w:rsidRDefault="00000000">
      <w:pPr>
        <w:spacing w:before="240"/>
      </w:pPr>
      <w:r>
        <w:br/>
      </w:r>
    </w:p>
    <w:p w14:paraId="63842017" w14:textId="77777777" w:rsidR="00772358" w:rsidRDefault="00000000">
      <w:r>
        <w:br/>
      </w:r>
    </w:p>
    <w:p w14:paraId="5ECFEED1" w14:textId="77777777" w:rsidR="00772358" w:rsidRDefault="00000000">
      <w:pPr>
        <w:shd w:val="clear" w:color="auto" w:fill="072D3D"/>
        <w:spacing w:after="100"/>
        <w:jc w:val="center"/>
      </w:pPr>
      <w:r>
        <w:rPr>
          <w:b/>
          <w:bCs/>
          <w:color w:val="E8A020"/>
          <w:sz w:val="24"/>
          <w:szCs w:val="24"/>
        </w:rPr>
        <w:t>PART I</w:t>
      </w:r>
    </w:p>
    <w:p w14:paraId="6A09A74F" w14:textId="77777777" w:rsidR="00772358" w:rsidRDefault="00000000">
      <w:pPr>
        <w:pBdr>
          <w:bottom w:val="single" w:sz="8" w:space="8" w:color="E8A020"/>
        </w:pBdr>
        <w:shd w:val="clear" w:color="auto" w:fill="072D3D"/>
        <w:spacing w:after="600"/>
        <w:jc w:val="center"/>
      </w:pPr>
      <w:r>
        <w:rPr>
          <w:b/>
          <w:bCs/>
          <w:color w:val="FFFFFF"/>
          <w:sz w:val="44"/>
          <w:szCs w:val="44"/>
        </w:rPr>
        <w:t>Foundation &amp; Industry Architecture</w:t>
      </w:r>
    </w:p>
    <w:p w14:paraId="0F64644F" w14:textId="77777777" w:rsidR="00772358" w:rsidRDefault="00000000">
      <w:r>
        <w:br/>
      </w:r>
    </w:p>
    <w:p w14:paraId="1968DFAD" w14:textId="77777777" w:rsidR="00772358" w:rsidRDefault="00000000">
      <w:pPr>
        <w:pStyle w:val="Heading1"/>
        <w:pBdr>
          <w:bottom w:val="single" w:sz="8" w:space="4" w:color="E8A020"/>
        </w:pBdr>
        <w:shd w:val="clear" w:color="auto" w:fill="0B4F6C"/>
        <w:ind w:left="160" w:right="160"/>
      </w:pPr>
      <w:r>
        <w:t>Chapter 1: Healthcare Industry Architecture &amp; The Digital Imperative</w:t>
      </w:r>
    </w:p>
    <w:p w14:paraId="6759B36E"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29069FD1" w14:textId="77777777">
        <w:tblPrEx>
          <w:tblCellMar>
            <w:top w:w="0" w:type="dxa"/>
            <w:bottom w:w="0" w:type="dxa"/>
          </w:tblCellMar>
        </w:tblPrEx>
        <w:tc>
          <w:tcPr>
            <w:tcW w:w="9360" w:type="dxa"/>
            <w:tcBorders>
              <w:top w:val="single" w:sz="6" w:space="0" w:color="17A8C8"/>
              <w:left w:val="single" w:sz="18" w:space="0" w:color="17A8C8"/>
              <w:bottom w:val="single" w:sz="6" w:space="0" w:color="17A8C8"/>
              <w:right w:val="single" w:sz="6" w:space="0" w:color="17A8C8"/>
            </w:tcBorders>
            <w:shd w:val="clear" w:color="auto" w:fill="E8F8FC"/>
            <w:tcMar>
              <w:top w:w="140" w:type="dxa"/>
              <w:left w:w="200" w:type="dxa"/>
              <w:bottom w:w="140" w:type="dxa"/>
              <w:right w:w="200" w:type="dxa"/>
            </w:tcMar>
          </w:tcPr>
          <w:p w14:paraId="77457D04" w14:textId="77777777" w:rsidR="00772358" w:rsidRDefault="00000000">
            <w:pPr>
              <w:spacing w:after="80"/>
            </w:pPr>
            <w:r>
              <w:rPr>
                <w:b/>
                <w:bCs/>
                <w:color w:val="E8A020"/>
                <w:sz w:val="17"/>
                <w:szCs w:val="17"/>
              </w:rPr>
              <w:t>EXECUTIVE SUMMARY</w:t>
            </w:r>
          </w:p>
          <w:p w14:paraId="3FD9FE89" w14:textId="77777777" w:rsidR="00772358" w:rsidRDefault="00000000">
            <w:pPr>
              <w:jc w:val="both"/>
            </w:pPr>
            <w:r>
              <w:rPr>
                <w:i/>
                <w:iCs/>
                <w:sz w:val="20"/>
                <w:szCs w:val="20"/>
              </w:rPr>
              <w:t>Healthcare is the world's largest and most complex industry — a $4.9 trillion annual enterprise in the United States alone, serving 330 million Americans through an intricate web of providers, payers, pharmacy benefit managers, government programs, and technology platforms. Three in four American adults carry at least one chronic condition. Administrative costs consume 25–30 cents of every dollar spent on care. Denial rates average 12%, with 84% of those denials deemed potentially avoidable. Staffing shortages, payer friction, rising costs, and digital transformation expectations are converging simultaneously. These pressures do not have incremental solutions. They demand structural transformation — and digital capability is the engine of that transformation. This handbook is built for the leaders designing that transformation: GCC leaders, healthcare operations executives, transformation teams, strategy consultants, product leaders, and enterprise architects. It connects domain knowledge, operating models, metrics, technology, governance, and GCC capability design into one practical framework spanning the full healthcare value chain.</w:t>
            </w:r>
          </w:p>
        </w:tc>
      </w:tr>
    </w:tbl>
    <w:p w14:paraId="7E2DEACA" w14:textId="77777777" w:rsidR="00772358" w:rsidRDefault="00772358">
      <w:pPr>
        <w:spacing w:after="80"/>
      </w:pPr>
    </w:p>
    <w:p w14:paraId="42954DBB" w14:textId="77777777" w:rsidR="00772358" w:rsidRDefault="00000000">
      <w:pPr>
        <w:pStyle w:val="Heading2"/>
        <w:pBdr>
          <w:bottom w:val="single" w:sz="4" w:space="2" w:color="E8A020"/>
        </w:pBdr>
      </w:pPr>
      <w:r>
        <w:t>1.1 The Healthcare Ecosystem — A Connected Domain Map</w:t>
      </w:r>
    </w:p>
    <w:p w14:paraId="74D3CCA2" w14:textId="77777777" w:rsidR="00772358" w:rsidRDefault="00000000">
      <w:pPr>
        <w:spacing w:before="200" w:after="80"/>
        <w:jc w:val="center"/>
      </w:pPr>
      <w:r>
        <w:rPr>
          <w:noProof/>
        </w:rPr>
        <w:drawing>
          <wp:inline distT="0" distB="0" distL="0" distR="0" wp14:anchorId="2D728B1A" wp14:editId="1E4F3452">
            <wp:extent cx="3924300" cy="217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924300" cy="2171700"/>
                    </a:xfrm>
                    <a:prstGeom prst="rect">
                      <a:avLst/>
                    </a:prstGeom>
                  </pic:spPr>
                </pic:pic>
              </a:graphicData>
            </a:graphic>
          </wp:inline>
        </w:drawing>
      </w:r>
    </w:p>
    <w:p w14:paraId="7C5E4A8D" w14:textId="77777777" w:rsidR="00772358" w:rsidRDefault="00000000">
      <w:pPr>
        <w:spacing w:after="200"/>
        <w:jc w:val="center"/>
      </w:pPr>
      <w:r>
        <w:rPr>
          <w:i/>
          <w:iCs/>
          <w:color w:val="5B8FA8"/>
          <w:sz w:val="18"/>
          <w:szCs w:val="18"/>
        </w:rPr>
        <w:t>Figure 1.1: US Healthcare Ecosystem — Interconnected Domain Map</w:t>
      </w:r>
    </w:p>
    <w:p w14:paraId="485EEC0C" w14:textId="77777777" w:rsidR="00772358" w:rsidRDefault="00000000">
      <w:pPr>
        <w:spacing w:before="60" w:after="120" w:line="280" w:lineRule="auto"/>
        <w:jc w:val="both"/>
      </w:pPr>
      <w:r>
        <w:t>Healthcare cannot be understood as isolated sectors. It operates as a connected system of enterprise domains, each dependent on the others, each generating and consuming data that flows across organizational boundaries.</w:t>
      </w:r>
    </w:p>
    <w:p w14:paraId="7C9266B1" w14:textId="77777777" w:rsidR="00772358" w:rsidRDefault="00000000">
      <w:pPr>
        <w:spacing w:before="60" w:after="120" w:line="280" w:lineRule="auto"/>
        <w:jc w:val="both"/>
      </w:pPr>
      <w:r>
        <w:rPr>
          <w:b/>
          <w:bCs/>
          <w:color w:val="0B4F6C"/>
        </w:rPr>
        <w:t>The six primary domains:</w:t>
      </w:r>
    </w:p>
    <w:p w14:paraId="177A8871" w14:textId="77777777" w:rsidR="00772358" w:rsidRDefault="00000000">
      <w:pPr>
        <w:spacing w:before="60" w:after="120" w:line="280" w:lineRule="auto"/>
        <w:jc w:val="both"/>
      </w:pPr>
      <w:r>
        <w:rPr>
          <w:b/>
          <w:bCs/>
          <w:color w:val="0B4F6C"/>
        </w:rPr>
        <w:t>Providers</w:t>
      </w:r>
      <w:r>
        <w:t xml:space="preserve"> deliver care across hospitals, physician groups, ambulatory surgical </w:t>
      </w:r>
      <w:proofErr w:type="spellStart"/>
      <w:r>
        <w:t>centers</w:t>
      </w:r>
      <w:proofErr w:type="spellEnd"/>
      <w:r>
        <w:t>, diagnostic labs, home health agencies, and post-acute facilities. Their business model depends on clinical quality, capacity utilization, payer reimbursement accuracy, and efficient revenue cycle execution. The average US hospital operates on a 2–3% operating margin — making revenue leakage through denials and underpayments an existential issue.</w:t>
      </w:r>
    </w:p>
    <w:p w14:paraId="52D11F81" w14:textId="77777777" w:rsidR="00772358" w:rsidRDefault="00000000">
      <w:pPr>
        <w:spacing w:before="60" w:after="120" w:line="280" w:lineRule="auto"/>
        <w:jc w:val="both"/>
      </w:pPr>
      <w:r>
        <w:rPr>
          <w:b/>
          <w:bCs/>
          <w:color w:val="0B4F6C"/>
        </w:rPr>
        <w:t>Payers</w:t>
      </w:r>
      <w:r>
        <w:t xml:space="preserve"> — commercial insurers, Medicare Advantage plans, Medicaid managed care organizations — manage eligibility, benefits, authorizations, network participation, claims adjudication, and member engagement. UnitedHealth Group, Elevance Health, CVS/Aetna, Cigna, and Humana collectively manage health benefits for over 200 million Americans. Their operational complexity creates friction for providers, especially through prior authorization, denials, and policy variation.</w:t>
      </w:r>
    </w:p>
    <w:p w14:paraId="3BB28A81" w14:textId="77777777" w:rsidR="00772358" w:rsidRDefault="00000000">
      <w:pPr>
        <w:spacing w:before="60" w:after="120" w:line="280" w:lineRule="auto"/>
        <w:jc w:val="both"/>
      </w:pPr>
      <w:r>
        <w:rPr>
          <w:b/>
          <w:bCs/>
          <w:color w:val="0B4F6C"/>
        </w:rPr>
        <w:t>Pharmacy Benefit Managers (PBMs)</w:t>
      </w:r>
      <w:r>
        <w:t xml:space="preserve"> — led by CVS Caremark, Express Scripts (</w:t>
      </w:r>
      <w:proofErr w:type="spellStart"/>
      <w:r>
        <w:t>Evernorth</w:t>
      </w:r>
      <w:proofErr w:type="spellEnd"/>
      <w:r>
        <w:t>/Cigna), and OptumRx — sit at the intersection of drug access, cost management, and outcomes. They manage formularies, prior authorization for medications, specialty pharmacy channels, manufacturer rebate negotiations, and medication adherence programs. Specialty drugs account for over 50% of drug spend despite representing less than 2% of prescriptions.</w:t>
      </w:r>
    </w:p>
    <w:p w14:paraId="4B784D41" w14:textId="77777777" w:rsidR="00772358" w:rsidRDefault="00000000">
      <w:pPr>
        <w:spacing w:before="60" w:after="120" w:line="280" w:lineRule="auto"/>
        <w:jc w:val="both"/>
      </w:pPr>
      <w:r>
        <w:rPr>
          <w:b/>
          <w:bCs/>
          <w:color w:val="0B4F6C"/>
        </w:rPr>
        <w:t>Care Management and Population Health</w:t>
      </w:r>
      <w:r>
        <w:t xml:space="preserve"> organisations focus on longitudinal outcomes — risk stratification, chronic disease management, transitions of care, readmission prevention, and social determinants of health intervention. As value-based care models expand, these functions shift from supporting roles to strategic differentiators.</w:t>
      </w:r>
    </w:p>
    <w:p w14:paraId="6138A102" w14:textId="77777777" w:rsidR="00772358" w:rsidRDefault="00000000">
      <w:pPr>
        <w:spacing w:before="60" w:after="120" w:line="280" w:lineRule="auto"/>
        <w:jc w:val="both"/>
      </w:pPr>
      <w:r>
        <w:rPr>
          <w:b/>
          <w:bCs/>
          <w:color w:val="0B4F6C"/>
        </w:rPr>
        <w:t>Specialty and Post-Acute Services</w:t>
      </w:r>
      <w:r>
        <w:t xml:space="preserve"> extend care beyond the acute hospital episode — rehabilitation facilities, skilled nursing facilities (SNFs), home health agencies, hospice providers, and complex disease management programs. These settings manage the highest-cost, highest-risk patients and generate significant administrative burden.</w:t>
      </w:r>
    </w:p>
    <w:p w14:paraId="5485C73B" w14:textId="77777777" w:rsidR="00772358" w:rsidRDefault="00000000">
      <w:pPr>
        <w:spacing w:before="60" w:after="120" w:line="280" w:lineRule="auto"/>
        <w:jc w:val="both"/>
      </w:pPr>
      <w:r>
        <w:rPr>
          <w:b/>
          <w:bCs/>
          <w:color w:val="0B4F6C"/>
        </w:rPr>
        <w:t>Enterprise Enablers</w:t>
      </w:r>
      <w:r>
        <w:t xml:space="preserve"> — technology platforms, analytics, compliance, finance, and GCC operations — provide the infrastructure through which the clinical domains function. They are increasingly the source of competitive differentiation as automation and AI transform what is possible in healthcare operations.</w:t>
      </w:r>
    </w:p>
    <w:p w14:paraId="2B3905CA" w14:textId="77777777" w:rsidR="00772358" w:rsidRDefault="00000000">
      <w:pPr>
        <w:pStyle w:val="Heading2"/>
        <w:pBdr>
          <w:bottom w:val="single" w:sz="4" w:space="2" w:color="E8A020"/>
        </w:pBdr>
      </w:pPr>
      <w:r>
        <w:t>1.2 The Revenue Cycle as the Financial Nervous System</w:t>
      </w:r>
    </w:p>
    <w:p w14:paraId="459FEAAD" w14:textId="77777777" w:rsidR="00772358" w:rsidRDefault="00000000">
      <w:pPr>
        <w:spacing w:before="60" w:after="120" w:line="280" w:lineRule="auto"/>
        <w:jc w:val="both"/>
      </w:pPr>
      <w:r>
        <w:t>The revenue cycle is the connective tissue between clinical care and financial sustainability. It translates every patient encounter into a payment — or fails to. Understanding the revenue cycle architecture is prerequisite to understanding the entire healthcare operational landscape.</w:t>
      </w:r>
    </w:p>
    <w:p w14:paraId="22FAD5F3" w14:textId="77777777" w:rsidR="00772358" w:rsidRDefault="00000000">
      <w:pPr>
        <w:spacing w:before="60" w:after="120" w:line="280" w:lineRule="auto"/>
        <w:jc w:val="both"/>
      </w:pPr>
      <w:r>
        <w:t>The cycle begins before the patient arrives and ends when the account is fully resolved:</w:t>
      </w:r>
    </w:p>
    <w:p w14:paraId="0BEEA2B9" w14:textId="77777777" w:rsidR="00772358" w:rsidRDefault="00000000">
      <w:pPr>
        <w:spacing w:before="60" w:after="120" w:line="280" w:lineRule="auto"/>
        <w:jc w:val="both"/>
      </w:pPr>
      <w:r>
        <w:rPr>
          <w:b/>
          <w:bCs/>
          <w:color w:val="0B4F6C"/>
        </w:rPr>
        <w:t>Pre-service</w:t>
      </w:r>
      <w:r>
        <w:t xml:space="preserve"> encompasses scheduling, pre-registration, insurance eligibility verification, prior authorization, and financial </w:t>
      </w:r>
      <w:proofErr w:type="spellStart"/>
      <w:r>
        <w:t>counseling</w:t>
      </w:r>
      <w:proofErr w:type="spellEnd"/>
      <w:r>
        <w:t>. Front-end failures here are the largest source of preventable denials — 44% of all denials originate at the front end, with 24% tied specifically to registration and eligibility errors.</w:t>
      </w:r>
    </w:p>
    <w:p w14:paraId="5CE545B5" w14:textId="77777777" w:rsidR="00772358" w:rsidRDefault="00000000">
      <w:pPr>
        <w:spacing w:before="60" w:after="120" w:line="280" w:lineRule="auto"/>
        <w:jc w:val="both"/>
      </w:pPr>
      <w:r>
        <w:rPr>
          <w:b/>
          <w:bCs/>
          <w:color w:val="0B4F6C"/>
        </w:rPr>
        <w:t>Point of service</w:t>
      </w:r>
      <w:r>
        <w:t xml:space="preserve"> includes registration confirmation, consent documentation, co-pay collection, and real-time benefit estimation. Organizations that collect at point of service recover 2–3× more than those relying on post-service patient billing.</w:t>
      </w:r>
    </w:p>
    <w:p w14:paraId="62B01AED" w14:textId="77777777" w:rsidR="00772358" w:rsidRDefault="00000000">
      <w:pPr>
        <w:spacing w:before="60" w:after="120" w:line="280" w:lineRule="auto"/>
        <w:jc w:val="both"/>
      </w:pPr>
      <w:r>
        <w:rPr>
          <w:b/>
          <w:bCs/>
          <w:color w:val="0B4F6C"/>
        </w:rPr>
        <w:t>Mid-cycle</w:t>
      </w:r>
      <w:r>
        <w:t xml:space="preserve"> covers clinical documentation, charge capture, coding (ICD-10-CM, CPT/HCPCS, DRG, APC), and claim preparation. Coding accuracy directly determines reimbursement accuracy — a single missed specificity element (laterality, chronicity, complication) can shift a DRG assignment by thousands of dollars.</w:t>
      </w:r>
    </w:p>
    <w:p w14:paraId="1905DEB3" w14:textId="77777777" w:rsidR="00772358" w:rsidRDefault="00000000">
      <w:pPr>
        <w:spacing w:before="60" w:after="120" w:line="280" w:lineRule="auto"/>
        <w:jc w:val="both"/>
      </w:pPr>
      <w:r>
        <w:rPr>
          <w:b/>
          <w:bCs/>
          <w:color w:val="0B4F6C"/>
        </w:rPr>
        <w:t>Post-service</w:t>
      </w:r>
      <w:r>
        <w:t xml:space="preserve"> manages claim submission, payer adjudication response, remittance processing, denial management, appeals, patient billing, payment plans, and collections. The average US provider takes 45–60 days to collect; best-in-class organizations achieve 30–35 days in AR.</w:t>
      </w:r>
    </w:p>
    <w:p w14:paraId="113D4263" w14:textId="77777777" w:rsidR="00772358" w:rsidRDefault="00000000">
      <w:pPr>
        <w:spacing w:before="60" w:after="120" w:line="280" w:lineRule="auto"/>
        <w:jc w:val="both"/>
      </w:pPr>
      <w:r>
        <w:rPr>
          <w:b/>
          <w:bCs/>
          <w:color w:val="0B4F6C"/>
        </w:rPr>
        <w:t>Strategic statistics that define the challenge:</w:t>
      </w:r>
    </w:p>
    <w:p w14:paraId="76287CC5" w14:textId="77777777" w:rsidR="00772358" w:rsidRDefault="00000000">
      <w:pPr>
        <w:pStyle w:val="ListParagraph"/>
        <w:numPr>
          <w:ilvl w:val="0"/>
          <w:numId w:val="2"/>
        </w:numPr>
        <w:spacing w:before="40" w:after="80"/>
      </w:pPr>
      <w:r>
        <w:t>Average denial rate: 12% (Optum 2024)</w:t>
      </w:r>
    </w:p>
    <w:p w14:paraId="0A47833C" w14:textId="77777777" w:rsidR="00772358" w:rsidRDefault="00000000">
      <w:pPr>
        <w:pStyle w:val="ListParagraph"/>
        <w:numPr>
          <w:ilvl w:val="0"/>
          <w:numId w:val="2"/>
        </w:numPr>
        <w:spacing w:before="40" w:after="80"/>
      </w:pPr>
      <w:r>
        <w:t>Front-end denial contribution: 44%</w:t>
      </w:r>
    </w:p>
    <w:p w14:paraId="74825D66" w14:textId="77777777" w:rsidR="00772358" w:rsidRDefault="00000000">
      <w:pPr>
        <w:pStyle w:val="ListParagraph"/>
        <w:numPr>
          <w:ilvl w:val="0"/>
          <w:numId w:val="2"/>
        </w:numPr>
        <w:spacing w:before="40" w:after="80"/>
      </w:pPr>
      <w:r>
        <w:t>Potentially avoidable denials: 84%</w:t>
      </w:r>
    </w:p>
    <w:p w14:paraId="484612A2" w14:textId="77777777" w:rsidR="00772358" w:rsidRDefault="00000000">
      <w:pPr>
        <w:pStyle w:val="ListParagraph"/>
        <w:numPr>
          <w:ilvl w:val="0"/>
          <w:numId w:val="2"/>
        </w:numPr>
        <w:spacing w:before="40" w:after="80"/>
      </w:pPr>
      <w:r>
        <w:t>Net collection yield below 93%: reported by nearly half of provider finance leaders</w:t>
      </w:r>
    </w:p>
    <w:p w14:paraId="43459F00" w14:textId="77777777" w:rsidR="00772358" w:rsidRDefault="00000000">
      <w:pPr>
        <w:pStyle w:val="ListParagraph"/>
        <w:numPr>
          <w:ilvl w:val="0"/>
          <w:numId w:val="2"/>
        </w:numPr>
        <w:spacing w:before="40" w:after="80"/>
      </w:pPr>
      <w:r>
        <w:t>Cost to collect: 3–5% of net patient revenue</w:t>
      </w:r>
    </w:p>
    <w:p w14:paraId="60F1AE25" w14:textId="77777777" w:rsidR="00772358" w:rsidRDefault="00000000">
      <w:pPr>
        <w:pStyle w:val="ListParagraph"/>
        <w:numPr>
          <w:ilvl w:val="0"/>
          <w:numId w:val="2"/>
        </w:numPr>
        <w:spacing w:before="40" w:after="80"/>
      </w:pPr>
      <w:r>
        <w:t>Revenue leakage from denials and underpayments: 10–15% of revenue at poorly managed organizations</w:t>
      </w:r>
    </w:p>
    <w:p w14:paraId="32B2B7E7" w14:textId="77777777" w:rsidR="00772358" w:rsidRDefault="00000000">
      <w:pPr>
        <w:pStyle w:val="Heading2"/>
        <w:pBdr>
          <w:bottom w:val="single" w:sz="4" w:space="2" w:color="E8A020"/>
        </w:pBdr>
      </w:pPr>
      <w:r>
        <w:t>1.3 The Payer Operating Architecture</w:t>
      </w:r>
    </w:p>
    <w:p w14:paraId="0D45F96E" w14:textId="77777777" w:rsidR="00772358" w:rsidRDefault="00000000">
      <w:pPr>
        <w:spacing w:before="60" w:after="120" w:line="280" w:lineRule="auto"/>
        <w:jc w:val="both"/>
      </w:pPr>
      <w:r>
        <w:t>Payers operate a complex claim-processing machine that must simultaneously satisfy providers, members, regulators, and shareholders. The payer operating architecture has six core engines:</w:t>
      </w:r>
    </w:p>
    <w:p w14:paraId="507EA2A3" w14:textId="77777777" w:rsidR="00772358" w:rsidRDefault="00000000">
      <w:pPr>
        <w:spacing w:before="60" w:after="120" w:line="280" w:lineRule="auto"/>
        <w:jc w:val="both"/>
      </w:pPr>
      <w:proofErr w:type="spellStart"/>
      <w:r>
        <w:rPr>
          <w:b/>
          <w:bCs/>
          <w:color w:val="0B4F6C"/>
        </w:rPr>
        <w:t>Enrollment</w:t>
      </w:r>
      <w:proofErr w:type="spellEnd"/>
      <w:r>
        <w:rPr>
          <w:b/>
          <w:bCs/>
          <w:color w:val="0B4F6C"/>
        </w:rPr>
        <w:t xml:space="preserve"> and eligibility</w:t>
      </w:r>
      <w:r>
        <w:t xml:space="preserve"> — managing member </w:t>
      </w:r>
      <w:proofErr w:type="spellStart"/>
      <w:r>
        <w:t>enrollment</w:t>
      </w:r>
      <w:proofErr w:type="spellEnd"/>
      <w:r>
        <w:t>, life-event changes, COBRA processing, dependent verification, and real-time eligibility feeds to providers. Data quality failures here cascade into every downstream process.</w:t>
      </w:r>
    </w:p>
    <w:p w14:paraId="25323177" w14:textId="77777777" w:rsidR="00772358" w:rsidRDefault="00000000">
      <w:pPr>
        <w:spacing w:before="60" w:after="120" w:line="280" w:lineRule="auto"/>
        <w:jc w:val="both"/>
      </w:pPr>
      <w:r>
        <w:rPr>
          <w:b/>
          <w:bCs/>
          <w:color w:val="0B4F6C"/>
        </w:rPr>
        <w:t>Claims adjudication</w:t>
      </w:r>
      <w:r>
        <w:t xml:space="preserve"> — the automated determination engine that evaluates eligibility, benefits, network status, prior authorization linkage, coding validity, medical necessity, coordination of benefits, and contract pricing to produce a pay, deny, adjust, or pend decision. Auto-adjudication rates of 85–95% are industry targets; below 80% indicates upstream data quality or rules gaps.</w:t>
      </w:r>
    </w:p>
    <w:p w14:paraId="11A06B70" w14:textId="77777777" w:rsidR="00772358" w:rsidRDefault="00000000">
      <w:pPr>
        <w:spacing w:before="60" w:after="120" w:line="280" w:lineRule="auto"/>
        <w:jc w:val="both"/>
      </w:pPr>
      <w:r>
        <w:rPr>
          <w:b/>
          <w:bCs/>
          <w:color w:val="0B4F6C"/>
        </w:rPr>
        <w:t>Utilization management</w:t>
      </w:r>
      <w:r>
        <w:t xml:space="preserve"> — clinical review of services for medical necessity, including prior authorization, concurrent review of inpatient stays, retrospective review, and appeals. UM is simultaneously a cost-control mechanism and a provider friction point — the American Medical Association's 2023 survey found that 93% of physicians report that prior authorization delays necessary care.</w:t>
      </w:r>
    </w:p>
    <w:p w14:paraId="52466CEC" w14:textId="77777777" w:rsidR="00772358" w:rsidRDefault="00000000">
      <w:pPr>
        <w:spacing w:before="60" w:after="120" w:line="280" w:lineRule="auto"/>
        <w:jc w:val="both"/>
      </w:pPr>
      <w:r>
        <w:rPr>
          <w:b/>
          <w:bCs/>
          <w:color w:val="0B4F6C"/>
        </w:rPr>
        <w:t>Provider network management</w:t>
      </w:r>
      <w:r>
        <w:t xml:space="preserve"> — recruitment, credentialing, contracting, reimbursement rate administration, network adequacy compliance, and provider data management. Provider data quality is one of the most chronic operational failures in healthcare — outdated provider directories generate millions of misdirected claims annually.</w:t>
      </w:r>
    </w:p>
    <w:p w14:paraId="72CD6D47" w14:textId="77777777" w:rsidR="00772358" w:rsidRDefault="00000000">
      <w:pPr>
        <w:spacing w:before="60" w:after="120" w:line="280" w:lineRule="auto"/>
        <w:jc w:val="both"/>
      </w:pPr>
      <w:r>
        <w:rPr>
          <w:b/>
          <w:bCs/>
          <w:color w:val="0B4F6C"/>
        </w:rPr>
        <w:t>Payment integrity</w:t>
      </w:r>
      <w:r>
        <w:t xml:space="preserve"> — identification of overpayments, duplicate payments, fraud, waste, and abuse through pre-payment editing, post-payment audit, and data analytics. The federal government estimates healthcare fraud costs $60–90 billion annually.</w:t>
      </w:r>
    </w:p>
    <w:p w14:paraId="4DE62AF0" w14:textId="77777777" w:rsidR="00772358" w:rsidRDefault="00000000">
      <w:pPr>
        <w:spacing w:before="60" w:after="120" w:line="280" w:lineRule="auto"/>
        <w:jc w:val="both"/>
      </w:pPr>
      <w:r>
        <w:rPr>
          <w:b/>
          <w:bCs/>
          <w:color w:val="0B4F6C"/>
        </w:rPr>
        <w:t>Member experience</w:t>
      </w:r>
      <w:r>
        <w:t xml:space="preserve"> — call </w:t>
      </w:r>
      <w:proofErr w:type="spellStart"/>
      <w:r>
        <w:t>center</w:t>
      </w:r>
      <w:proofErr w:type="spellEnd"/>
      <w:r>
        <w:t xml:space="preserve"> operations, grievances and appeals, member portal management, care gap outreach, and chronic disease support. CAHPS (Consumer Assessment of Healthcare Providers and Systems) scores are published publicly and tied to Medicare Advantage Star ratings, making member experience directly connected to payer revenue.</w:t>
      </w:r>
    </w:p>
    <w:p w14:paraId="120A13A1" w14:textId="77777777" w:rsidR="00772358" w:rsidRDefault="00000000">
      <w:pPr>
        <w:pStyle w:val="Heading2"/>
        <w:pBdr>
          <w:bottom w:val="single" w:sz="4" w:space="2" w:color="E8A020"/>
        </w:pBdr>
      </w:pPr>
      <w:r>
        <w:t>1.4 The GCC Opportunity in Healthcare</w:t>
      </w:r>
    </w:p>
    <w:p w14:paraId="279FC42F" w14:textId="77777777" w:rsidR="00772358" w:rsidRDefault="00000000">
      <w:pPr>
        <w:spacing w:before="60" w:after="120" w:line="280" w:lineRule="auto"/>
        <w:jc w:val="both"/>
      </w:pPr>
      <w:r>
        <w:t>Global Capability Centres in healthcare are evolving from transactional support centres into strategic capability hubs. The India GCC market was estimated at USD 69.85 billion in 2025 and is projected to reach USD 130.50 billion by 2033. Healthcare is among the fastest-growing GCC sectors, driven by the RCM outsourcing market, clinical informatics demand, and payer operations scale.</w:t>
      </w:r>
    </w:p>
    <w:p w14:paraId="3735F77F" w14:textId="77777777" w:rsidR="00772358" w:rsidRDefault="00000000">
      <w:pPr>
        <w:spacing w:before="60" w:after="120" w:line="280" w:lineRule="auto"/>
        <w:jc w:val="both"/>
      </w:pPr>
      <w:r>
        <w:rPr>
          <w:b/>
          <w:bCs/>
          <w:color w:val="0B4F6C"/>
        </w:rPr>
        <w:t>Why healthcare operations are GCC-ready:</w:t>
      </w:r>
    </w:p>
    <w:p w14:paraId="2C64945C" w14:textId="77777777" w:rsidR="00772358" w:rsidRDefault="00000000">
      <w:pPr>
        <w:spacing w:before="60" w:after="120" w:line="280" w:lineRule="auto"/>
        <w:jc w:val="both"/>
      </w:pPr>
      <w:r>
        <w:t>Healthcare administrative operations are characterised by high volume, well-defined rules, structured data, and significant repetition — exactly the profile that makes work executable at scale from a GCC. Eligibility verification, claim editing, prior authorization intake, coding, payment posting, denial categorisation, and analytics reporting all meet this profile.</w:t>
      </w:r>
    </w:p>
    <w:p w14:paraId="299C635E" w14:textId="77777777" w:rsidR="00772358" w:rsidRDefault="00000000">
      <w:pPr>
        <w:spacing w:before="60" w:after="120" w:line="280" w:lineRule="auto"/>
        <w:jc w:val="both"/>
      </w:pPr>
      <w:r>
        <w:rPr>
          <w:b/>
          <w:bCs/>
          <w:color w:val="0B4F6C"/>
        </w:rPr>
        <w:t>The GCC maturity spectrum in healthcare:</w:t>
      </w:r>
    </w:p>
    <w:p w14:paraId="6F9CCDBC" w14:textId="77777777" w:rsidR="00772358" w:rsidRDefault="00000000">
      <w:pPr>
        <w:spacing w:before="60" w:after="120" w:line="280" w:lineRule="auto"/>
        <w:jc w:val="both"/>
      </w:pPr>
      <w:r>
        <w:t>At the entry level, GCCs perform transactional processing — data entry, status checking, basic eligibility, and report generation. At the intermediate level, they manage operational workflows — coding centres, denial management teams, authorization intake, and analytics factories. At the advanced level, they own capability platforms — AI model development, process automation engineering, data engineering, and clinical informatics that serve multiple clients or hospital systems from a single GCC hub.</w:t>
      </w:r>
    </w:p>
    <w:p w14:paraId="6D8D952A" w14:textId="77777777" w:rsidR="00772358" w:rsidRDefault="00000000">
      <w:pPr>
        <w:spacing w:before="60" w:after="120" w:line="280" w:lineRule="auto"/>
        <w:jc w:val="both"/>
      </w:pPr>
      <w:r>
        <w:t>PwC estimates a potential GenAI economic impact of $23.5 billion per year across the GCC by 2030, with healthcare as a primary contributor given its data intensity, administrative burden, and need for scalable analytical capability.</w:t>
      </w:r>
    </w:p>
    <w:p w14:paraId="6BA04D70" w14:textId="77777777" w:rsidR="00772358" w:rsidRDefault="00000000">
      <w:pPr>
        <w:pStyle w:val="Heading2"/>
        <w:pBdr>
          <w:bottom w:val="single" w:sz="4" w:space="2" w:color="E8A020"/>
        </w:pBdr>
      </w:pPr>
      <w:r>
        <w:t>1.5 The Digital Transformation Imperative</w:t>
      </w:r>
    </w:p>
    <w:p w14:paraId="7FC7B227" w14:textId="77777777" w:rsidR="00772358" w:rsidRDefault="00000000">
      <w:pPr>
        <w:spacing w:before="60" w:after="120" w:line="280" w:lineRule="auto"/>
        <w:jc w:val="both"/>
      </w:pPr>
      <w:r>
        <w:t>Healthcare's digital transformation is not optional. It is the mechanism through which the industry must resolve the cost-quality-access trilemma that has defined American healthcare for decades.</w:t>
      </w:r>
    </w:p>
    <w:p w14:paraId="2B0A74BC" w14:textId="77777777" w:rsidR="00772358" w:rsidRDefault="00000000">
      <w:pPr>
        <w:spacing w:before="60" w:after="120" w:line="280" w:lineRule="auto"/>
        <w:jc w:val="both"/>
      </w:pPr>
      <w:r>
        <w:rPr>
          <w:b/>
          <w:bCs/>
          <w:color w:val="0B4F6C"/>
        </w:rPr>
        <w:t>The four convergent forces:</w:t>
      </w:r>
    </w:p>
    <w:p w14:paraId="4B2D1FCC" w14:textId="77777777" w:rsidR="00772358" w:rsidRDefault="00000000">
      <w:pPr>
        <w:spacing w:before="60" w:after="120" w:line="280" w:lineRule="auto"/>
        <w:jc w:val="both"/>
      </w:pPr>
      <w:r>
        <w:rPr>
          <w:b/>
          <w:bCs/>
          <w:color w:val="0B4F6C"/>
        </w:rPr>
        <w:t>AI and automation</w:t>
      </w:r>
      <w:r>
        <w:t xml:space="preserve"> are reshaping what is possible. Natural language processing converts clinical notes to structured data. Robotic process automation handles payer portal navigation, claim status checking, and payment posting. Machine learning identifies denial risk before claims are submitted. Generative AI drafts appeal letters, member communications, and clinical documentation queries. These tools exist and are being deployed today by organisations willing to invest in the infrastructure they require.</w:t>
      </w:r>
    </w:p>
    <w:p w14:paraId="1D29A43C" w14:textId="77777777" w:rsidR="00772358" w:rsidRDefault="00000000">
      <w:pPr>
        <w:spacing w:before="60" w:after="120" w:line="280" w:lineRule="auto"/>
        <w:jc w:val="both"/>
      </w:pPr>
      <w:r>
        <w:rPr>
          <w:b/>
          <w:bCs/>
          <w:color w:val="0B4F6C"/>
        </w:rPr>
        <w:t>Value-based care</w:t>
      </w:r>
      <w:r>
        <w:t xml:space="preserve"> is shifting financial risk from payers to providers. ACOs, capitated arrangements, shared savings programs, and bundled payments reward outcomes rather than volume. Managing population risk requires data infrastructure, care management capability, and analytics sophistication that traditional fee-for-service operating models never demanded.</w:t>
      </w:r>
    </w:p>
    <w:p w14:paraId="618E6471" w14:textId="77777777" w:rsidR="00772358" w:rsidRDefault="00000000">
      <w:pPr>
        <w:spacing w:before="60" w:after="120" w:line="280" w:lineRule="auto"/>
        <w:jc w:val="both"/>
      </w:pPr>
      <w:r>
        <w:rPr>
          <w:b/>
          <w:bCs/>
          <w:color w:val="0B4F6C"/>
        </w:rPr>
        <w:t>Interoperability mandates</w:t>
      </w:r>
      <w:r>
        <w:t xml:space="preserve"> — driven by the 21st Century Cures Act, CMS Interoperability Rule, and HL7 FHIR standards — are creating the technical foundation for data exchange across the ecosystem. For the first time, patient data can flow between providers, payers, and patients with standardised formats and APIs.</w:t>
      </w:r>
    </w:p>
    <w:p w14:paraId="2EB02A4E" w14:textId="77777777" w:rsidR="00772358" w:rsidRDefault="00000000">
      <w:pPr>
        <w:spacing w:before="60" w:after="120" w:line="280" w:lineRule="auto"/>
        <w:jc w:val="both"/>
      </w:pPr>
      <w:r>
        <w:rPr>
          <w:b/>
          <w:bCs/>
          <w:color w:val="0B4F6C"/>
        </w:rPr>
        <w:t>Workforce transformation</w:t>
      </w:r>
      <w:r>
        <w:t xml:space="preserve"> is unavoidable. Healthcare faces a chronic shortage of billing specialists, coders, and administrative professionals. Automation is not displacing this workforce — it is the only realistic path to maintaining throughput as the workforce shrinks and ages.</w:t>
      </w:r>
    </w:p>
    <w:p w14:paraId="3753B15A" w14:textId="77777777" w:rsidR="00772358" w:rsidRDefault="00000000">
      <w:pPr>
        <w:pStyle w:val="Heading2"/>
        <w:pBdr>
          <w:bottom w:val="single" w:sz="4" w:space="2" w:color="E8A020"/>
        </w:pBdr>
      </w:pPr>
      <w:r>
        <w:t>1.6 How This Handbook Is Organised</w:t>
      </w:r>
    </w:p>
    <w:p w14:paraId="20C79A52" w14:textId="77777777" w:rsidR="00772358" w:rsidRDefault="00000000">
      <w:pPr>
        <w:spacing w:before="60" w:after="120" w:line="280" w:lineRule="auto"/>
        <w:jc w:val="both"/>
      </w:pPr>
      <w:r>
        <w:t>This handbook covers the full healthcare operational landscape in nine parts:</w:t>
      </w:r>
    </w:p>
    <w:p w14:paraId="2478005A" w14:textId="77777777" w:rsidR="00772358" w:rsidRDefault="00000000">
      <w:pPr>
        <w:spacing w:before="60" w:after="120" w:line="280" w:lineRule="auto"/>
        <w:jc w:val="both"/>
      </w:pPr>
      <w:r>
        <w:rPr>
          <w:b/>
          <w:bCs/>
          <w:color w:val="0B4F6C"/>
        </w:rPr>
        <w:t>Part I</w:t>
      </w:r>
      <w:r>
        <w:t xml:space="preserve"> — Foundation and industry architecture (this chapter)</w:t>
      </w:r>
    </w:p>
    <w:p w14:paraId="2AB237E4" w14:textId="77777777" w:rsidR="00772358" w:rsidRDefault="00000000">
      <w:pPr>
        <w:spacing w:before="60" w:after="120" w:line="280" w:lineRule="auto"/>
        <w:jc w:val="both"/>
      </w:pPr>
      <w:r>
        <w:rPr>
          <w:b/>
          <w:bCs/>
          <w:color w:val="0B4F6C"/>
        </w:rPr>
        <w:t>Part II</w:t>
      </w:r>
      <w:r>
        <w:t xml:space="preserve"> — Revenue cycle management: patient access, coding, claims</w:t>
      </w:r>
    </w:p>
    <w:p w14:paraId="1216EC57" w14:textId="77777777" w:rsidR="00772358" w:rsidRDefault="00000000">
      <w:pPr>
        <w:spacing w:before="60" w:after="120" w:line="280" w:lineRule="auto"/>
        <w:jc w:val="both"/>
      </w:pPr>
      <w:r>
        <w:rPr>
          <w:b/>
          <w:bCs/>
          <w:color w:val="0B4F6C"/>
        </w:rPr>
        <w:t>Part III</w:t>
      </w:r>
      <w:r>
        <w:t xml:space="preserve"> — Payer operations: adjudication, prior auth, network management</w:t>
      </w:r>
    </w:p>
    <w:p w14:paraId="14757629" w14:textId="77777777" w:rsidR="00772358" w:rsidRDefault="00000000">
      <w:pPr>
        <w:spacing w:before="60" w:after="120" w:line="280" w:lineRule="auto"/>
        <w:jc w:val="both"/>
      </w:pPr>
      <w:r>
        <w:rPr>
          <w:b/>
          <w:bCs/>
          <w:color w:val="0B4F6C"/>
        </w:rPr>
        <w:t>Part IV</w:t>
      </w:r>
      <w:r>
        <w:t xml:space="preserve"> — Denial management and payment integrity</w:t>
      </w:r>
    </w:p>
    <w:p w14:paraId="7942D157" w14:textId="77777777" w:rsidR="00772358" w:rsidRDefault="00000000">
      <w:pPr>
        <w:spacing w:before="60" w:after="120" w:line="280" w:lineRule="auto"/>
        <w:jc w:val="both"/>
      </w:pPr>
      <w:r>
        <w:rPr>
          <w:b/>
          <w:bCs/>
          <w:color w:val="0B4F6C"/>
        </w:rPr>
        <w:t>Part V</w:t>
      </w:r>
      <w:r>
        <w:t xml:space="preserve"> — PBM and specialty pharmacy</w:t>
      </w:r>
    </w:p>
    <w:p w14:paraId="1365FDA1" w14:textId="77777777" w:rsidR="00772358" w:rsidRDefault="00000000">
      <w:pPr>
        <w:spacing w:before="60" w:after="120" w:line="280" w:lineRule="auto"/>
        <w:jc w:val="both"/>
      </w:pPr>
      <w:r>
        <w:rPr>
          <w:b/>
          <w:bCs/>
          <w:color w:val="0B4F6C"/>
        </w:rPr>
        <w:t>Part VI</w:t>
      </w:r>
      <w:r>
        <w:t xml:space="preserve"> — Care management and population health</w:t>
      </w:r>
    </w:p>
    <w:p w14:paraId="4ABFC940" w14:textId="77777777" w:rsidR="00772358" w:rsidRDefault="00000000">
      <w:pPr>
        <w:spacing w:before="60" w:after="120" w:line="280" w:lineRule="auto"/>
        <w:jc w:val="both"/>
      </w:pPr>
      <w:r>
        <w:rPr>
          <w:b/>
          <w:bCs/>
          <w:color w:val="0B4F6C"/>
        </w:rPr>
        <w:t>Part VII</w:t>
      </w:r>
      <w:r>
        <w:t xml:space="preserve"> — Digital transformation and AI in healthcare</w:t>
      </w:r>
    </w:p>
    <w:p w14:paraId="3A988C32" w14:textId="77777777" w:rsidR="00772358" w:rsidRDefault="00000000">
      <w:pPr>
        <w:spacing w:before="60" w:after="120" w:line="280" w:lineRule="auto"/>
        <w:jc w:val="both"/>
      </w:pPr>
      <w:r>
        <w:rPr>
          <w:b/>
          <w:bCs/>
          <w:color w:val="0B4F6C"/>
        </w:rPr>
        <w:t>Part VIII</w:t>
      </w:r>
      <w:r>
        <w:t xml:space="preserve"> — Healthcare GCC operating model</w:t>
      </w:r>
    </w:p>
    <w:p w14:paraId="09471BE1" w14:textId="77777777" w:rsidR="00772358" w:rsidRDefault="00000000">
      <w:pPr>
        <w:spacing w:before="60" w:after="120" w:line="280" w:lineRule="auto"/>
        <w:jc w:val="both"/>
      </w:pPr>
      <w:r>
        <w:rPr>
          <w:b/>
          <w:bCs/>
          <w:color w:val="0B4F6C"/>
        </w:rPr>
        <w:t>Part IX</w:t>
      </w:r>
      <w:r>
        <w:t xml:space="preserve"> — Appendix: KPIs, glossary, technology landscape</w:t>
      </w:r>
    </w:p>
    <w:p w14:paraId="080545AF" w14:textId="77777777" w:rsidR="00772358" w:rsidRDefault="00000000">
      <w:pPr>
        <w:spacing w:before="60" w:after="120" w:line="280" w:lineRule="auto"/>
        <w:jc w:val="both"/>
      </w:pPr>
      <w:r>
        <w:t>Each chapter follows a consistent structure: domain overview, end-to-end operating model, KPI framework, AI and automation opportunities, GCC applicability assessment, and implementation guidance.</w:t>
      </w:r>
    </w:p>
    <w:p w14:paraId="4D4EEDDD"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4785AE0E" w14:textId="77777777">
        <w:tblPrEx>
          <w:tblCellMar>
            <w:top w:w="0" w:type="dxa"/>
            <w:bottom w:w="0" w:type="dxa"/>
          </w:tblCellMar>
        </w:tblPrEx>
        <w:tc>
          <w:tcPr>
            <w:tcW w:w="9360" w:type="dxa"/>
            <w:tcBorders>
              <w:top w:val="single" w:sz="6" w:space="0" w:color="1D8A5E"/>
              <w:left w:val="single" w:sz="18" w:space="0" w:color="1D8A5E"/>
              <w:bottom w:val="single" w:sz="6" w:space="0" w:color="1D8A5E"/>
              <w:right w:val="single" w:sz="6" w:space="0" w:color="1D8A5E"/>
            </w:tcBorders>
            <w:shd w:val="clear" w:color="auto" w:fill="EEF8F2"/>
            <w:tcMar>
              <w:top w:w="140" w:type="dxa"/>
              <w:left w:w="200" w:type="dxa"/>
              <w:bottom w:w="140" w:type="dxa"/>
              <w:right w:w="200" w:type="dxa"/>
            </w:tcMar>
          </w:tcPr>
          <w:p w14:paraId="68082654" w14:textId="77777777" w:rsidR="00772358" w:rsidRDefault="00000000">
            <w:pPr>
              <w:spacing w:after="80"/>
            </w:pPr>
            <w:r>
              <w:rPr>
                <w:b/>
                <w:bCs/>
                <w:color w:val="1D8A5E"/>
                <w:sz w:val="17"/>
                <w:szCs w:val="17"/>
              </w:rPr>
              <w:t>QUESTIONS FOR THE BOARD</w:t>
            </w:r>
          </w:p>
          <w:p w14:paraId="1BB345B3" w14:textId="77777777" w:rsidR="00772358" w:rsidRDefault="00000000">
            <w:pPr>
              <w:jc w:val="both"/>
            </w:pPr>
            <w:r>
              <w:rPr>
                <w:i/>
                <w:iCs/>
                <w:sz w:val="20"/>
                <w:szCs w:val="20"/>
              </w:rPr>
              <w:t>Does the organisation have a unified view of its end-to-end revenue cycle performance — from scheduling through final collection — with a single source of truth for denial rates, AR days, cost to collect, and net collection yield? What proportion of administrative work is currently eligible for GCC enablement, and what is the roadmap to capture that opportunity? Is the digital transformation agenda being driven as a strategic business initiative with executive ownership, or as a technology project managed by IT?</w:t>
            </w:r>
          </w:p>
        </w:tc>
      </w:tr>
    </w:tbl>
    <w:p w14:paraId="6E733A9B" w14:textId="77777777" w:rsidR="00772358" w:rsidRDefault="00772358">
      <w:pPr>
        <w:spacing w:after="80"/>
      </w:pPr>
    </w:p>
    <w:p w14:paraId="559C3F3F"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66C3720C" w14:textId="77777777">
        <w:tblPrEx>
          <w:tblCellMar>
            <w:top w:w="0" w:type="dxa"/>
            <w:bottom w:w="0" w:type="dxa"/>
          </w:tblCellMar>
        </w:tblPrEx>
        <w:tc>
          <w:tcPr>
            <w:tcW w:w="9360" w:type="dxa"/>
            <w:tcBorders>
              <w:top w:val="single" w:sz="6" w:space="0" w:color="0B4F6C"/>
              <w:left w:val="single" w:sz="18" w:space="0" w:color="0B4F6C"/>
              <w:bottom w:val="single" w:sz="6" w:space="0" w:color="0B4F6C"/>
              <w:right w:val="single" w:sz="6" w:space="0" w:color="0B4F6C"/>
            </w:tcBorders>
            <w:shd w:val="clear" w:color="auto" w:fill="EFF7FA"/>
            <w:tcMar>
              <w:top w:w="140" w:type="dxa"/>
              <w:left w:w="200" w:type="dxa"/>
              <w:bottom w:w="140" w:type="dxa"/>
              <w:right w:w="200" w:type="dxa"/>
            </w:tcMar>
          </w:tcPr>
          <w:p w14:paraId="6633464D" w14:textId="77777777" w:rsidR="00772358" w:rsidRDefault="00000000">
            <w:pPr>
              <w:spacing w:after="80"/>
            </w:pPr>
            <w:r>
              <w:rPr>
                <w:b/>
                <w:bCs/>
                <w:color w:val="0B4F6C"/>
                <w:sz w:val="17"/>
                <w:szCs w:val="17"/>
              </w:rPr>
              <w:t>REGIONAL SPOTLIGHT: US HEALTHCARE REGULATORY LANDSCAPE</w:t>
            </w:r>
          </w:p>
          <w:p w14:paraId="581CDFD2" w14:textId="77777777" w:rsidR="00772358" w:rsidRDefault="00000000">
            <w:pPr>
              <w:jc w:val="both"/>
            </w:pPr>
            <w:r>
              <w:rPr>
                <w:i/>
                <w:iCs/>
                <w:sz w:val="20"/>
                <w:szCs w:val="20"/>
              </w:rPr>
              <w:t>The US healthcare regulatory environment is among the most complex in the world. HIPAA governs the privacy and security of protected health information across all covered entities and business associates. The No Surprises Act (2022) regulates surprise medical billing and requires good-faith cost estimates. CMS's Interoperability and Prior Authorization Final Rule (2024) mandates FHIR-based APIs for prior authorization status and patient data access by 2026. The Corporate Transparency Act affects healthcare entity ownership disclosure. And the FTC's scrutiny of PBM practices and vertical integration in healthcare is reshaping competitive strategy across the industry. GCC operations serving US healthcare organisations must be designed with these regulatory constraints as first-order requirements, not afterthoughts.</w:t>
            </w:r>
          </w:p>
        </w:tc>
      </w:tr>
    </w:tbl>
    <w:p w14:paraId="72FB32BD" w14:textId="77777777" w:rsidR="00772358" w:rsidRDefault="00772358">
      <w:pPr>
        <w:spacing w:after="80"/>
      </w:pPr>
    </w:p>
    <w:p w14:paraId="29D66A95" w14:textId="77777777" w:rsidR="00772358" w:rsidRDefault="00000000">
      <w:r>
        <w:br/>
      </w:r>
    </w:p>
    <w:p w14:paraId="21C39B97" w14:textId="77777777" w:rsidR="00772358" w:rsidRDefault="00000000">
      <w:pPr>
        <w:pStyle w:val="Heading1"/>
        <w:pBdr>
          <w:bottom w:val="single" w:sz="8" w:space="4" w:color="E8A020"/>
        </w:pBdr>
        <w:shd w:val="clear" w:color="auto" w:fill="0B4F6C"/>
        <w:ind w:left="160" w:right="160"/>
      </w:pPr>
      <w:r>
        <w:t>Chapter 2: Revenue Cycle Management — End-to-End Operating Model</w:t>
      </w:r>
    </w:p>
    <w:p w14:paraId="6834B1F1"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1CFEEBCD" w14:textId="77777777">
        <w:tblPrEx>
          <w:tblCellMar>
            <w:top w:w="0" w:type="dxa"/>
            <w:bottom w:w="0" w:type="dxa"/>
          </w:tblCellMar>
        </w:tblPrEx>
        <w:tc>
          <w:tcPr>
            <w:tcW w:w="9360" w:type="dxa"/>
            <w:tcBorders>
              <w:top w:val="single" w:sz="6" w:space="0" w:color="17A8C8"/>
              <w:left w:val="single" w:sz="18" w:space="0" w:color="17A8C8"/>
              <w:bottom w:val="single" w:sz="6" w:space="0" w:color="17A8C8"/>
              <w:right w:val="single" w:sz="6" w:space="0" w:color="17A8C8"/>
            </w:tcBorders>
            <w:shd w:val="clear" w:color="auto" w:fill="E8F8FC"/>
            <w:tcMar>
              <w:top w:w="140" w:type="dxa"/>
              <w:left w:w="200" w:type="dxa"/>
              <w:bottom w:w="140" w:type="dxa"/>
              <w:right w:w="200" w:type="dxa"/>
            </w:tcMar>
          </w:tcPr>
          <w:p w14:paraId="489B4C55" w14:textId="77777777" w:rsidR="00772358" w:rsidRDefault="00000000">
            <w:pPr>
              <w:spacing w:after="80"/>
            </w:pPr>
            <w:r>
              <w:rPr>
                <w:b/>
                <w:bCs/>
                <w:color w:val="E8A020"/>
                <w:sz w:val="17"/>
                <w:szCs w:val="17"/>
              </w:rPr>
              <w:t>EXECUTIVE SUMMARY</w:t>
            </w:r>
          </w:p>
          <w:p w14:paraId="08CC344C" w14:textId="77777777" w:rsidR="00772358" w:rsidRDefault="00000000">
            <w:pPr>
              <w:jc w:val="both"/>
            </w:pPr>
            <w:r>
              <w:rPr>
                <w:i/>
                <w:iCs/>
                <w:sz w:val="20"/>
                <w:szCs w:val="20"/>
              </w:rPr>
              <w:t>Revenue Cycle Management is the financial nervous system of every healthcare organisation. It converts clinical encounters into revenue, connects provider operations to payer payment engines, and creates the patient financial experience that increasingly drives satisfaction scores and loyalty. A mature RCM operating model is not merely a billing department — it is an integrated intelligence and operations system spanning patient access, clinical documentation, coding, claims management, denial prevention, patient collections, and analytics. This chapter provides the complete RCM architecture: the value chain, the organisational model, the technology stack, the key performance indicators, and the GCC delivery opportunities at each stage.</w:t>
            </w:r>
          </w:p>
        </w:tc>
      </w:tr>
    </w:tbl>
    <w:p w14:paraId="7AA8E70B" w14:textId="77777777" w:rsidR="00772358" w:rsidRDefault="00772358">
      <w:pPr>
        <w:spacing w:after="80"/>
      </w:pPr>
    </w:p>
    <w:p w14:paraId="3CB48D74" w14:textId="77777777" w:rsidR="00772358" w:rsidRDefault="00000000">
      <w:pPr>
        <w:pStyle w:val="Heading2"/>
        <w:pBdr>
          <w:bottom w:val="single" w:sz="4" w:space="2" w:color="E8A020"/>
        </w:pBdr>
      </w:pPr>
      <w:r>
        <w:t>2.1 The RCM Value Chain — Eleven Stages</w:t>
      </w:r>
    </w:p>
    <w:p w14:paraId="75A369BD" w14:textId="77777777" w:rsidR="00772358" w:rsidRDefault="00000000">
      <w:pPr>
        <w:spacing w:before="200" w:after="80"/>
        <w:jc w:val="center"/>
      </w:pPr>
      <w:r>
        <w:rPr>
          <w:noProof/>
        </w:rPr>
        <w:drawing>
          <wp:inline distT="0" distB="0" distL="0" distR="0" wp14:anchorId="5F96F964" wp14:editId="3DEA55BC">
            <wp:extent cx="3924300" cy="1343025"/>
            <wp:effectExtent l="0" t="0" r="0" b="0"/>
            <wp:docPr id="635644565" name="Picture 635644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924300" cy="1343025"/>
                    </a:xfrm>
                    <a:prstGeom prst="rect">
                      <a:avLst/>
                    </a:prstGeom>
                  </pic:spPr>
                </pic:pic>
              </a:graphicData>
            </a:graphic>
          </wp:inline>
        </w:drawing>
      </w:r>
    </w:p>
    <w:p w14:paraId="191C6642" w14:textId="77777777" w:rsidR="00772358" w:rsidRDefault="00000000">
      <w:pPr>
        <w:spacing w:after="200"/>
        <w:jc w:val="center"/>
      </w:pPr>
      <w:r>
        <w:rPr>
          <w:i/>
          <w:iCs/>
          <w:color w:val="5B8FA8"/>
          <w:sz w:val="18"/>
          <w:szCs w:val="18"/>
        </w:rPr>
        <w:t>Figure 2.1: Revenue Cycle Management — The 10-Stage Value Chain</w:t>
      </w:r>
    </w:p>
    <w:p w14:paraId="718BA959" w14:textId="77777777" w:rsidR="00772358" w:rsidRDefault="00000000">
      <w:pPr>
        <w:spacing w:before="60" w:after="120" w:line="280" w:lineRule="auto"/>
        <w:jc w:val="both"/>
      </w:pPr>
      <w:r>
        <w:t>The RCM value chain connects the clinical encounter to final payment collection through eleven interdependent stages. Each stage has distinct process requirements, failure modes, measurement metrics, and GCC delivery potential.</w:t>
      </w:r>
    </w:p>
    <w:p w14:paraId="15EC9E17" w14:textId="77777777" w:rsidR="00772358" w:rsidRDefault="00000000">
      <w:pPr>
        <w:pStyle w:val="Heading3"/>
      </w:pPr>
      <w:r>
        <w:t>Stage 1: Scheduling and Capacity Management</w:t>
      </w:r>
    </w:p>
    <w:p w14:paraId="31799B6B" w14:textId="77777777" w:rsidR="00772358" w:rsidRDefault="00000000">
      <w:pPr>
        <w:spacing w:before="60" w:after="120" w:line="280" w:lineRule="auto"/>
        <w:jc w:val="both"/>
      </w:pPr>
      <w:r>
        <w:t>Scheduling is the entry point of the revenue cycle — where demand meets supply and where the patient financial journey begins. Effective scheduling includes appointment type accuracy (ensuring the encounter is scheduled under the correct clinical service code), provider availability management, referral capture, insurance collection prompting, and pre-registration initiation. Poor scheduling practices — incorrect appointment types, missing referral information, incorrect provider assignment — cascade as defects through every downstream stage.</w:t>
      </w:r>
    </w:p>
    <w:p w14:paraId="214C2127" w14:textId="77777777" w:rsidR="00772358" w:rsidRDefault="00000000">
      <w:pPr>
        <w:spacing w:before="60" w:after="120" w:line="280" w:lineRule="auto"/>
        <w:jc w:val="both"/>
      </w:pPr>
      <w:r>
        <w:rPr>
          <w:b/>
          <w:bCs/>
          <w:color w:val="0B4F6C"/>
        </w:rPr>
        <w:t>GCC opportunity:</w:t>
      </w:r>
      <w:r>
        <w:t xml:space="preserve"> Scheduling support, appointment reminder management, no-show outreach, and scheduling analytics are high-volume, rules-driven functions well-suited to GCC delivery.</w:t>
      </w:r>
    </w:p>
    <w:p w14:paraId="00A0A160" w14:textId="77777777" w:rsidR="00772358" w:rsidRDefault="00000000">
      <w:pPr>
        <w:pStyle w:val="Heading3"/>
      </w:pPr>
      <w:r>
        <w:t>Stage 2: Pre-Registration and Demographics</w:t>
      </w:r>
    </w:p>
    <w:p w14:paraId="2D5B88F0" w14:textId="77777777" w:rsidR="00772358" w:rsidRDefault="00000000">
      <w:pPr>
        <w:spacing w:before="60" w:after="120" w:line="280" w:lineRule="auto"/>
        <w:jc w:val="both"/>
      </w:pPr>
      <w:r>
        <w:t>Pre-registration captures and validates the patient's demographic data, insurance information, guarantor details, and consent documentation before the date of service. The quality of pre-registration data is the single most important determinant of clean claim rate. A patient whose insurance ID, date of birth, or subscriber relationship is incorrectly captured will generate an eligibility denial that could have been prevented with 60 seconds of validation.</w:t>
      </w:r>
    </w:p>
    <w:p w14:paraId="2BA12759" w14:textId="77777777" w:rsidR="00772358" w:rsidRDefault="00000000">
      <w:pPr>
        <w:spacing w:before="60" w:after="120" w:line="280" w:lineRule="auto"/>
        <w:jc w:val="both"/>
      </w:pPr>
      <w:r>
        <w:rPr>
          <w:b/>
          <w:bCs/>
          <w:color w:val="0B4F6C"/>
        </w:rPr>
        <w:t>Critical data elements:</w:t>
      </w:r>
      <w:r>
        <w:t xml:space="preserve"> Legal name (matching insurance card), date of birth, address, subscriber ID, group number, relationship to subscriber, secondary insurance details, and employer information.</w:t>
      </w:r>
    </w:p>
    <w:p w14:paraId="606F3D3C" w14:textId="77777777" w:rsidR="00772358" w:rsidRDefault="00000000">
      <w:pPr>
        <w:pStyle w:val="Heading3"/>
      </w:pPr>
      <w:r>
        <w:t>Stage 3: Insurance Eligibility Verification</w:t>
      </w:r>
    </w:p>
    <w:p w14:paraId="268D1C53" w14:textId="77777777" w:rsidR="00772358" w:rsidRDefault="00000000">
      <w:pPr>
        <w:spacing w:before="60" w:after="120" w:line="280" w:lineRule="auto"/>
        <w:jc w:val="both"/>
      </w:pPr>
      <w:r>
        <w:t>Eligibility verification confirms that the patient has active insurance coverage for the type of service to be rendered, on the date of service, with the identified provider. Real-time eligibility verification — using 270/271 electronic data interchange transactions or direct payer portal APIs — is the standard of care. Manual verification through payer phone calls or portals adds cost and delay and is insufficient at scale.</w:t>
      </w:r>
    </w:p>
    <w:p w14:paraId="0E845F24" w14:textId="77777777" w:rsidR="00772358" w:rsidRDefault="00000000">
      <w:pPr>
        <w:spacing w:before="60" w:after="120" w:line="280" w:lineRule="auto"/>
        <w:jc w:val="both"/>
      </w:pPr>
      <w:r>
        <w:t>Best-practice eligibility verification occurs at three touchpoints: at scheduling (to confirm insurance before committing the appointment), 48–72 hours before the visit (to catch changes in coverage), and at point of service (to confirm the information captured matches the card in hand).</w:t>
      </w:r>
    </w:p>
    <w:p w14:paraId="0742AA65" w14:textId="77777777" w:rsidR="00772358" w:rsidRDefault="00000000">
      <w:pPr>
        <w:spacing w:before="60" w:after="120" w:line="280" w:lineRule="auto"/>
        <w:jc w:val="both"/>
      </w:pPr>
      <w:r>
        <w:rPr>
          <w:b/>
          <w:bCs/>
          <w:color w:val="0B4F6C"/>
        </w:rPr>
        <w:t>Key verification elements:</w:t>
      </w:r>
      <w:r>
        <w:t xml:space="preserve"> Coverage active status, plan name and type, deductible and accumulator status, copay and coinsurance amounts, out-of-pocket maximum, network status of the rendering provider, and benefits specific to the service type (e.g., mental health, physical therapy, specialist visit limits).</w:t>
      </w:r>
    </w:p>
    <w:p w14:paraId="238F8EA7" w14:textId="77777777" w:rsidR="00772358" w:rsidRDefault="00000000">
      <w:pPr>
        <w:spacing w:before="60" w:after="120" w:line="280" w:lineRule="auto"/>
        <w:jc w:val="both"/>
      </w:pPr>
      <w:r>
        <w:rPr>
          <w:b/>
          <w:bCs/>
          <w:color w:val="0B4F6C"/>
        </w:rPr>
        <w:t>AI opportunity:</w:t>
      </w:r>
      <w:r>
        <w:t xml:space="preserve"> AI-powered eligibility engines that proactively flag patients with high denial risk based on coverage gaps, plan switching, or coverage type mismatches are demonstrating 30–40% reductions in eligibility-related denials.</w:t>
      </w:r>
    </w:p>
    <w:p w14:paraId="55606BB7" w14:textId="77777777" w:rsidR="00772358" w:rsidRDefault="00000000">
      <w:pPr>
        <w:pStyle w:val="Heading3"/>
      </w:pPr>
      <w:r>
        <w:t>Stage 4: Prior Authorisation</w:t>
      </w:r>
    </w:p>
    <w:p w14:paraId="6F113D85" w14:textId="77777777" w:rsidR="00772358" w:rsidRDefault="00000000">
      <w:pPr>
        <w:spacing w:before="60" w:after="120" w:line="280" w:lineRule="auto"/>
        <w:jc w:val="both"/>
      </w:pPr>
      <w:r>
        <w:t xml:space="preserve">Prior authorisation (PA) is required by payers before certain services, procedures, imaging studies, and medications are provided. The PA requirement is payer-specific, plan-specific, and service-specific — creating an enormous operational complexity for providers who serve hundreds of </w:t>
      </w:r>
      <w:proofErr w:type="gramStart"/>
      <w:r>
        <w:t>payer</w:t>
      </w:r>
      <w:proofErr w:type="gramEnd"/>
      <w:r>
        <w:t xml:space="preserve"> plans simultaneously.</w:t>
      </w:r>
    </w:p>
    <w:p w14:paraId="037202B1" w14:textId="77777777" w:rsidR="00772358" w:rsidRDefault="00000000">
      <w:pPr>
        <w:spacing w:before="60" w:after="120" w:line="280" w:lineRule="auto"/>
        <w:jc w:val="both"/>
      </w:pPr>
      <w:r>
        <w:t>The PA workflow involves identifying which services require authorisation, submitting the request with clinical documentation demonstrating medical necessity, tracking the request status, obtaining and documenting the authorisation number, and ensuring the authorised service matches the service rendered.</w:t>
      </w:r>
    </w:p>
    <w:p w14:paraId="47DDFF04" w14:textId="77777777" w:rsidR="00772358" w:rsidRDefault="00000000">
      <w:pPr>
        <w:spacing w:before="60" w:after="120" w:line="280" w:lineRule="auto"/>
        <w:jc w:val="both"/>
      </w:pPr>
      <w:r>
        <w:t>PA failures — missing authorisations, expired authorisations, authorisations for incorrect service codes — are responsible for a significant proportion of clinical denials. The CMS estimate is that prior auth requirements cost providers $3.1 billion annually in administrative expense.</w:t>
      </w:r>
    </w:p>
    <w:p w14:paraId="2A8D1791" w14:textId="77777777" w:rsidR="00772358" w:rsidRDefault="00000000">
      <w:pPr>
        <w:spacing w:before="60" w:after="120" w:line="280" w:lineRule="auto"/>
        <w:jc w:val="both"/>
      </w:pPr>
      <w:r>
        <w:rPr>
          <w:b/>
          <w:bCs/>
          <w:color w:val="0B4F6C"/>
        </w:rPr>
        <w:t>Automation opportunity:</w:t>
      </w:r>
      <w:r>
        <w:t xml:space="preserve"> Gold Carding programs (exempting high-performing providers from PA requirements for specific services), AI-assisted PA submission with automated clinical criteria matching, and payer API integration for real-time PA status checking are the leading automation approaches.</w:t>
      </w:r>
    </w:p>
    <w:p w14:paraId="01CDEAB9" w14:textId="77777777" w:rsidR="00772358" w:rsidRDefault="00000000">
      <w:pPr>
        <w:pStyle w:val="Heading3"/>
      </w:pPr>
      <w:r>
        <w:t>Stage 5: Charge Capture</w:t>
      </w:r>
    </w:p>
    <w:p w14:paraId="53B274E7" w14:textId="77777777" w:rsidR="00772358" w:rsidRDefault="00000000">
      <w:pPr>
        <w:spacing w:before="60" w:after="120" w:line="280" w:lineRule="auto"/>
        <w:jc w:val="both"/>
      </w:pPr>
      <w:r>
        <w:t>Charge capture translates clinical activity into billable charges. It is the bridge between clinical documentation and the revenue cycle. Incomplete, inaccurate, or delayed charge capture results in missed revenue that is often unrecoverable — unlike denial recovery, missed charges typically cannot be identified without retrospective clinical documentation review.</w:t>
      </w:r>
    </w:p>
    <w:p w14:paraId="003B9685" w14:textId="77777777" w:rsidR="00772358" w:rsidRDefault="00000000">
      <w:pPr>
        <w:spacing w:before="60" w:after="120" w:line="280" w:lineRule="auto"/>
        <w:jc w:val="both"/>
      </w:pPr>
      <w:r>
        <w:rPr>
          <w:b/>
          <w:bCs/>
          <w:color w:val="0B4F6C"/>
        </w:rPr>
        <w:t>Common charge capture failure modes:</w:t>
      </w:r>
      <w:r>
        <w:t xml:space="preserve"> Missed ancillary charges (supplies, medications, room charges), documentation-to-charge misalignment (service documented but not billed), charge entry delays that push claims past payer filing deadlines, and incorrect charge master item codes.</w:t>
      </w:r>
    </w:p>
    <w:p w14:paraId="090A1335" w14:textId="77777777" w:rsidR="00772358" w:rsidRDefault="00000000">
      <w:pPr>
        <w:spacing w:before="60" w:after="120" w:line="280" w:lineRule="auto"/>
        <w:jc w:val="both"/>
      </w:pPr>
      <w:r>
        <w:rPr>
          <w:b/>
          <w:bCs/>
          <w:color w:val="0B4F6C"/>
        </w:rPr>
        <w:t>Revenue integrity controls:</w:t>
      </w:r>
      <w:r>
        <w:t xml:space="preserve"> Charge Description Master (CDM) maintenance, charge reconciliation reporting (comparing OR logs to billed charges, ED visit documentation to charge capture), provider documentation completeness monitoring, and daily charge lag analysis.</w:t>
      </w:r>
    </w:p>
    <w:p w14:paraId="628F9625" w14:textId="77777777" w:rsidR="00772358" w:rsidRDefault="00000000">
      <w:pPr>
        <w:pStyle w:val="Heading3"/>
      </w:pPr>
      <w:r>
        <w:t>Stage 6: Medical Coding</w:t>
      </w:r>
    </w:p>
    <w:p w14:paraId="397FF302" w14:textId="77777777" w:rsidR="00772358" w:rsidRDefault="00000000">
      <w:pPr>
        <w:spacing w:before="60" w:after="120" w:line="280" w:lineRule="auto"/>
        <w:jc w:val="both"/>
      </w:pPr>
      <w:r>
        <w:t xml:space="preserve">Medical coding is the translation of clinical documentation — physician notes, operative reports, discharge summaries, lab results — into standardised diagnosis codes (ICD-10-CM), procedure codes (CPT, HCPCS), and modifier codes that convey clinical specificity to payers. Coding accuracy determines payment accuracy: </w:t>
      </w:r>
      <w:proofErr w:type="spellStart"/>
      <w:r>
        <w:t>undercoding</w:t>
      </w:r>
      <w:proofErr w:type="spellEnd"/>
      <w:r>
        <w:t xml:space="preserve"> results in revenue loss; </w:t>
      </w:r>
      <w:proofErr w:type="spellStart"/>
      <w:r>
        <w:t>overcoding</w:t>
      </w:r>
      <w:proofErr w:type="spellEnd"/>
      <w:r>
        <w:t xml:space="preserve"> creates compliance risk.</w:t>
      </w:r>
    </w:p>
    <w:p w14:paraId="7C9A5BA8" w14:textId="77777777" w:rsidR="00772358" w:rsidRDefault="00000000">
      <w:pPr>
        <w:spacing w:before="60" w:after="120" w:line="280" w:lineRule="auto"/>
        <w:jc w:val="both"/>
      </w:pPr>
      <w:r>
        <w:rPr>
          <w:b/>
          <w:bCs/>
          <w:color w:val="0B4F6C"/>
        </w:rPr>
        <w:t>ICD-10-CM</w:t>
      </w:r>
      <w:r>
        <w:t xml:space="preserve"> classifies diseases, conditions, and reasons for encounter across 70,000+ codes. </w:t>
      </w:r>
      <w:r>
        <w:rPr>
          <w:b/>
          <w:bCs/>
          <w:color w:val="0B4F6C"/>
        </w:rPr>
        <w:t>CPT</w:t>
      </w:r>
      <w:r>
        <w:t xml:space="preserve"> codes (Current Procedural Terminology) describe physician services and procedures. </w:t>
      </w:r>
      <w:r>
        <w:rPr>
          <w:b/>
          <w:bCs/>
          <w:color w:val="0B4F6C"/>
        </w:rPr>
        <w:t>HCPCS</w:t>
      </w:r>
      <w:r>
        <w:t xml:space="preserve"> codes extend CPT for supplies, durable medical equipment, and services not covered by CPT. </w:t>
      </w:r>
      <w:r>
        <w:rPr>
          <w:b/>
          <w:bCs/>
          <w:color w:val="0B4F6C"/>
        </w:rPr>
        <w:t>DRG codes</w:t>
      </w:r>
      <w:r>
        <w:t xml:space="preserve"> (Diagnosis-Related Groups) determine inpatient hospital payment under Medicare.</w:t>
      </w:r>
    </w:p>
    <w:p w14:paraId="48BB2442" w14:textId="77777777" w:rsidR="00772358" w:rsidRDefault="00000000">
      <w:pPr>
        <w:spacing w:before="60" w:after="120" w:line="280" w:lineRule="auto"/>
        <w:jc w:val="both"/>
      </w:pPr>
      <w:r>
        <w:rPr>
          <w:b/>
          <w:bCs/>
          <w:color w:val="0B4F6C"/>
        </w:rPr>
        <w:t>Clinical Documentation Improvement (CDI)</w:t>
      </w:r>
      <w:r>
        <w:t xml:space="preserve"> is the proactive process of engaging physicians to ensure clinical documentation supports the specificity of coding required for accurate reimbursement. CDI specialists review documentation concurrently (while the patient is still admitted) and retrospectively (after discharge) to identify documentation gaps that would result in </w:t>
      </w:r>
      <w:proofErr w:type="spellStart"/>
      <w:r>
        <w:t>undercoded</w:t>
      </w:r>
      <w:proofErr w:type="spellEnd"/>
      <w:r>
        <w:t xml:space="preserve"> diagnoses or procedures.</w:t>
      </w:r>
    </w:p>
    <w:p w14:paraId="4E6AC4ED" w14:textId="77777777" w:rsidR="00772358" w:rsidRDefault="00000000">
      <w:pPr>
        <w:spacing w:before="60" w:after="120" w:line="280" w:lineRule="auto"/>
        <w:jc w:val="both"/>
      </w:pPr>
      <w:r>
        <w:rPr>
          <w:b/>
          <w:bCs/>
          <w:color w:val="0B4F6C"/>
        </w:rPr>
        <w:t>AI in coding:</w:t>
      </w:r>
      <w:r>
        <w:t xml:space="preserve"> NLP-powered computer-assisted coding tools analyse clinical documentation and suggest appropriate ICD-10 and CPT codes, reducing coder time per chart and improving coding accuracy. Autonomous coding tools — that generate codes without coder review for clean, straightforward cases — are achieving 40–60% automation rates in appropriate encounter types.</w:t>
      </w:r>
    </w:p>
    <w:p w14:paraId="7111A6D7" w14:textId="77777777" w:rsidR="00772358" w:rsidRDefault="00000000">
      <w:pPr>
        <w:pStyle w:val="Heading3"/>
      </w:pPr>
      <w:r>
        <w:t>Stage 7: Claim Preparation and Scrubbing</w:t>
      </w:r>
    </w:p>
    <w:p w14:paraId="4D3A71C7" w14:textId="77777777" w:rsidR="00772358" w:rsidRDefault="00000000">
      <w:pPr>
        <w:spacing w:before="60" w:after="120" w:line="280" w:lineRule="auto"/>
        <w:jc w:val="both"/>
      </w:pPr>
      <w:r>
        <w:t>Before a claim is submitted to a payer, it passes through a claim scrubber — a rules engine that validates the claim against thousands of payer-specific and industry-standard editing rules. Claim edits check for code combinations that are never payable together (Correct Coding Initiative edits), codes that require modifiers to indicate specific circumstances, procedure codes that require specific diagnosis codes for coverage, and administrative requirements such as National Provider Identifier (NPI) and referring provider information.</w:t>
      </w:r>
    </w:p>
    <w:p w14:paraId="562BB9E1" w14:textId="77777777" w:rsidR="00772358" w:rsidRDefault="00000000">
      <w:pPr>
        <w:spacing w:before="60" w:after="120" w:line="280" w:lineRule="auto"/>
        <w:jc w:val="both"/>
      </w:pPr>
      <w:r>
        <w:t>Claims that fail scrubbing are returned to the revenue cycle for correction before submission — preserving the first-pass submission opportunity. Claims submitted without scrubbing generate rejections and denials that require expensive rework.</w:t>
      </w:r>
    </w:p>
    <w:p w14:paraId="6686DDBA" w14:textId="77777777" w:rsidR="00772358" w:rsidRDefault="00000000">
      <w:pPr>
        <w:pStyle w:val="Heading3"/>
      </w:pPr>
      <w:r>
        <w:t>Stage 8: Claim Submission and Clearinghouse Processing</w:t>
      </w:r>
    </w:p>
    <w:p w14:paraId="5EF52579" w14:textId="77777777" w:rsidR="00772358" w:rsidRDefault="00000000">
      <w:pPr>
        <w:spacing w:before="60" w:after="120" w:line="280" w:lineRule="auto"/>
        <w:jc w:val="both"/>
      </w:pPr>
      <w:r>
        <w:t>Clean claims are submitted electronically to payers via clearinghouses — intermediaries that translate claims from provider formats to payer-specific formats, perform additional validation, and route claims to the correct payer destination. Major healthcare clearinghouses include Availity, Change Healthcare (Optum), Waystar, and Apex EDI.</w:t>
      </w:r>
    </w:p>
    <w:p w14:paraId="7DAB8B4A" w14:textId="77777777" w:rsidR="00772358" w:rsidRDefault="00000000">
      <w:pPr>
        <w:spacing w:before="60" w:after="120" w:line="280" w:lineRule="auto"/>
        <w:jc w:val="both"/>
      </w:pPr>
      <w:r>
        <w:t>The 2024 Change Healthcare cyberattack — which disrupted claims processing for the majority of US healthcare providers for weeks — demonstrated the catastrophic operational risk of single-clearinghouse dependency. Provider organisations with multi-clearinghouse connectivity and backup submission pathways recovered significantly faster.</w:t>
      </w:r>
    </w:p>
    <w:p w14:paraId="390B8B25" w14:textId="77777777" w:rsidR="00772358" w:rsidRDefault="00000000">
      <w:pPr>
        <w:pStyle w:val="Heading3"/>
      </w:pPr>
      <w:r>
        <w:t>Stage 9: Remittance Processing and Payment Posting</w:t>
      </w:r>
    </w:p>
    <w:p w14:paraId="0AE5EEA0" w14:textId="77777777" w:rsidR="00772358" w:rsidRDefault="00000000">
      <w:pPr>
        <w:spacing w:before="60" w:after="120" w:line="280" w:lineRule="auto"/>
        <w:jc w:val="both"/>
      </w:pPr>
      <w:r>
        <w:t xml:space="preserve">When a payer processes a claim, it generates an Electronic Remittance Advice (ERA) — the 835 </w:t>
      </w:r>
      <w:proofErr w:type="gramStart"/>
      <w:r>
        <w:t>transaction</w:t>
      </w:r>
      <w:proofErr w:type="gramEnd"/>
      <w:r>
        <w:t xml:space="preserve"> — that itemises the payment, adjustments, and any denial reasons for each claim line. Accurate and timely remittance posting is essential for identifying underpayments, tracking denial trends, and maintaining accurate AR.</w:t>
      </w:r>
    </w:p>
    <w:p w14:paraId="32001DFB" w14:textId="77777777" w:rsidR="00772358" w:rsidRDefault="00000000">
      <w:pPr>
        <w:spacing w:before="60" w:after="120" w:line="280" w:lineRule="auto"/>
        <w:jc w:val="both"/>
      </w:pPr>
      <w:r>
        <w:rPr>
          <w:b/>
          <w:bCs/>
          <w:color w:val="0B4F6C"/>
        </w:rPr>
        <w:t>Contractual adjustment posting</w:t>
      </w:r>
      <w:r>
        <w:t xml:space="preserve"> reconciles the billed charge against the payer-contracted rate. </w:t>
      </w:r>
      <w:r>
        <w:rPr>
          <w:b/>
          <w:bCs/>
          <w:color w:val="0B4F6C"/>
        </w:rPr>
        <w:t>Balance billing</w:t>
      </w:r>
      <w:r>
        <w:t xml:space="preserve"> rules determine what portion (if any) can be billed to the patient. </w:t>
      </w:r>
      <w:r>
        <w:rPr>
          <w:b/>
          <w:bCs/>
          <w:color w:val="0B4F6C"/>
        </w:rPr>
        <w:t>Secondary billing</w:t>
      </w:r>
      <w:r>
        <w:t xml:space="preserve"> routes the patient's secondary insurance balance for coordination of benefits processing.</w:t>
      </w:r>
    </w:p>
    <w:p w14:paraId="498B0651" w14:textId="77777777" w:rsidR="00772358" w:rsidRDefault="00000000">
      <w:pPr>
        <w:pStyle w:val="Heading3"/>
      </w:pPr>
      <w:r>
        <w:t>Stage 10: Denial Management and Appeals</w:t>
      </w:r>
    </w:p>
    <w:p w14:paraId="757E2CFC" w14:textId="77777777" w:rsidR="00772358" w:rsidRDefault="00000000">
      <w:pPr>
        <w:spacing w:before="60" w:after="120" w:line="280" w:lineRule="auto"/>
        <w:jc w:val="both"/>
      </w:pPr>
      <w:r>
        <w:t>Denial management is the most analytically intensive and strategically consequential stage of the revenue cycle. Denials represent recovered revenue opportunity — but only if they are appealed timely, with appropriate supporting documentation, through the correct appeal pathway.</w:t>
      </w:r>
    </w:p>
    <w:p w14:paraId="0490BE68" w14:textId="77777777" w:rsidR="00772358" w:rsidRDefault="00000000">
      <w:pPr>
        <w:spacing w:before="60" w:after="120" w:line="280" w:lineRule="auto"/>
        <w:jc w:val="both"/>
      </w:pPr>
      <w:r>
        <w:t>Effective denial management is covered in depth in Chapter 5. The key framework elements are denial taxonomy (classifying by root cause, not just denial code), prevention analytics (identifying upstream process failures), appeal workflow management (tracking appeal status, deadline, and outcome), and recovery rate reporting (measuring the percentage of denied value that is ultimately recovered).</w:t>
      </w:r>
    </w:p>
    <w:p w14:paraId="3FE53CD3" w14:textId="77777777" w:rsidR="00772358" w:rsidRDefault="00000000">
      <w:pPr>
        <w:pStyle w:val="Heading3"/>
      </w:pPr>
      <w:r>
        <w:t>Stage 11: Patient Financial Services and Collections</w:t>
      </w:r>
    </w:p>
    <w:p w14:paraId="585B4876" w14:textId="77777777" w:rsidR="00772358" w:rsidRDefault="00000000">
      <w:pPr>
        <w:spacing w:before="60" w:after="120" w:line="280" w:lineRule="auto"/>
        <w:jc w:val="both"/>
      </w:pPr>
      <w:r>
        <w:t xml:space="preserve">Patient financial services </w:t>
      </w:r>
      <w:proofErr w:type="gramStart"/>
      <w:r>
        <w:t>includes</w:t>
      </w:r>
      <w:proofErr w:type="gramEnd"/>
      <w:r>
        <w:t xml:space="preserve"> financial counselling, charity care screening, payment plan establishment, patient statement generation, and self-pay collection. As patient financial responsibility grows — driven by high-deductible health plans that have shifted more cost to patients — patient collections have become a larger and more complex component of the revenue cycle.</w:t>
      </w:r>
    </w:p>
    <w:p w14:paraId="40F7C097" w14:textId="77777777" w:rsidR="00772358" w:rsidRDefault="00000000">
      <w:pPr>
        <w:spacing w:before="60" w:after="120" w:line="280" w:lineRule="auto"/>
        <w:jc w:val="both"/>
      </w:pPr>
      <w:r>
        <w:t>Patient financial experience is increasingly a competitive differentiator. Price transparency, upfront cost estimates, and flexible payment options are moving from nice-to-have features to baseline patient expectations.</w:t>
      </w:r>
    </w:p>
    <w:p w14:paraId="7BA44601" w14:textId="77777777" w:rsidR="00772358" w:rsidRDefault="00000000">
      <w:pPr>
        <w:pStyle w:val="Heading2"/>
        <w:pBdr>
          <w:bottom w:val="single" w:sz="4" w:space="2" w:color="E8A020"/>
        </w:pBdr>
      </w:pPr>
      <w:r>
        <w:t>2.2 RCM Organisational Design</w:t>
      </w:r>
    </w:p>
    <w:p w14:paraId="681E9CCE" w14:textId="77777777" w:rsidR="00772358" w:rsidRDefault="00000000">
      <w:pPr>
        <w:spacing w:before="60" w:after="120" w:line="280" w:lineRule="auto"/>
        <w:jc w:val="both"/>
      </w:pPr>
      <w:r>
        <w:t>The most effective RCM organisations are structured to align accountability with the value chain stages where revenue is created and protected.</w:t>
      </w:r>
    </w:p>
    <w:p w14:paraId="79728232" w14:textId="77777777" w:rsidR="00772358" w:rsidRDefault="00000000">
      <w:pPr>
        <w:spacing w:before="60" w:after="120" w:line="280" w:lineRule="auto"/>
        <w:jc w:val="both"/>
      </w:pPr>
      <w:r>
        <w:rPr>
          <w:b/>
          <w:bCs/>
          <w:color w:val="0B4F6C"/>
        </w:rPr>
        <w:t>Front Office (Patient-Facing):</w:t>
      </w:r>
    </w:p>
    <w:p w14:paraId="38F99F91" w14:textId="77777777" w:rsidR="00772358" w:rsidRDefault="00000000">
      <w:pPr>
        <w:pStyle w:val="ListParagraph"/>
        <w:numPr>
          <w:ilvl w:val="0"/>
          <w:numId w:val="2"/>
        </w:numPr>
        <w:spacing w:before="40" w:after="80"/>
      </w:pPr>
      <w:r>
        <w:t>Scheduling</w:t>
      </w:r>
    </w:p>
    <w:p w14:paraId="5B6B4AA0" w14:textId="77777777" w:rsidR="00772358" w:rsidRDefault="00000000">
      <w:pPr>
        <w:pStyle w:val="ListParagraph"/>
        <w:numPr>
          <w:ilvl w:val="0"/>
          <w:numId w:val="2"/>
        </w:numPr>
        <w:spacing w:before="40" w:after="80"/>
      </w:pPr>
      <w:r>
        <w:t>Pre-registration and registration</w:t>
      </w:r>
    </w:p>
    <w:p w14:paraId="3E1ACADF" w14:textId="77777777" w:rsidR="00772358" w:rsidRDefault="00000000">
      <w:pPr>
        <w:pStyle w:val="ListParagraph"/>
        <w:numPr>
          <w:ilvl w:val="0"/>
          <w:numId w:val="2"/>
        </w:numPr>
        <w:spacing w:before="40" w:after="80"/>
      </w:pPr>
      <w:r>
        <w:t>Financial counselling and charity care screening</w:t>
      </w:r>
    </w:p>
    <w:p w14:paraId="24E59253" w14:textId="77777777" w:rsidR="00772358" w:rsidRDefault="00000000">
      <w:pPr>
        <w:pStyle w:val="ListParagraph"/>
        <w:numPr>
          <w:ilvl w:val="0"/>
          <w:numId w:val="2"/>
        </w:numPr>
        <w:spacing w:before="40" w:after="80"/>
      </w:pPr>
      <w:r>
        <w:t>Point-of-service collections</w:t>
      </w:r>
    </w:p>
    <w:p w14:paraId="162B2E4E" w14:textId="77777777" w:rsidR="00772358" w:rsidRDefault="00000000">
      <w:pPr>
        <w:pStyle w:val="ListParagraph"/>
        <w:numPr>
          <w:ilvl w:val="0"/>
          <w:numId w:val="2"/>
        </w:numPr>
        <w:spacing w:before="40" w:after="80"/>
      </w:pPr>
      <w:r>
        <w:t>Patient access analytics</w:t>
      </w:r>
    </w:p>
    <w:p w14:paraId="119C2A00" w14:textId="77777777" w:rsidR="00772358" w:rsidRDefault="00000000">
      <w:pPr>
        <w:spacing w:before="60" w:after="120" w:line="280" w:lineRule="auto"/>
        <w:jc w:val="both"/>
      </w:pPr>
      <w:r>
        <w:rPr>
          <w:b/>
          <w:bCs/>
          <w:color w:val="0B4F6C"/>
        </w:rPr>
        <w:t>Middle Office (Clinical Interface):</w:t>
      </w:r>
    </w:p>
    <w:p w14:paraId="2F03F64D" w14:textId="77777777" w:rsidR="00772358" w:rsidRDefault="00000000">
      <w:pPr>
        <w:pStyle w:val="ListParagraph"/>
        <w:numPr>
          <w:ilvl w:val="0"/>
          <w:numId w:val="2"/>
        </w:numPr>
        <w:spacing w:before="40" w:after="80"/>
      </w:pPr>
      <w:r>
        <w:t>CDI and clinical documentation</w:t>
      </w:r>
    </w:p>
    <w:p w14:paraId="460CB992" w14:textId="77777777" w:rsidR="00772358" w:rsidRDefault="00000000">
      <w:pPr>
        <w:pStyle w:val="ListParagraph"/>
        <w:numPr>
          <w:ilvl w:val="0"/>
          <w:numId w:val="2"/>
        </w:numPr>
        <w:spacing w:before="40" w:after="80"/>
      </w:pPr>
      <w:r>
        <w:t>Medical coding</w:t>
      </w:r>
    </w:p>
    <w:p w14:paraId="7137E875" w14:textId="77777777" w:rsidR="00772358" w:rsidRDefault="00000000">
      <w:pPr>
        <w:pStyle w:val="ListParagraph"/>
        <w:numPr>
          <w:ilvl w:val="0"/>
          <w:numId w:val="2"/>
        </w:numPr>
        <w:spacing w:before="40" w:after="80"/>
      </w:pPr>
      <w:r>
        <w:t>Charge capture and reconciliation</w:t>
      </w:r>
    </w:p>
    <w:p w14:paraId="08DDC938" w14:textId="77777777" w:rsidR="00772358" w:rsidRDefault="00000000">
      <w:pPr>
        <w:pStyle w:val="ListParagraph"/>
        <w:numPr>
          <w:ilvl w:val="0"/>
          <w:numId w:val="2"/>
        </w:numPr>
        <w:spacing w:before="40" w:after="80"/>
      </w:pPr>
      <w:r>
        <w:t>Utilisation review and case management</w:t>
      </w:r>
    </w:p>
    <w:p w14:paraId="3F7D0E6F" w14:textId="77777777" w:rsidR="00772358" w:rsidRDefault="00000000">
      <w:pPr>
        <w:pStyle w:val="ListParagraph"/>
        <w:numPr>
          <w:ilvl w:val="0"/>
          <w:numId w:val="2"/>
        </w:numPr>
        <w:spacing w:before="40" w:after="80"/>
      </w:pPr>
      <w:r>
        <w:t>Prior authorisation</w:t>
      </w:r>
    </w:p>
    <w:p w14:paraId="3B9F8ECB" w14:textId="77777777" w:rsidR="00772358" w:rsidRDefault="00000000">
      <w:pPr>
        <w:spacing w:before="60" w:after="120" w:line="280" w:lineRule="auto"/>
        <w:jc w:val="both"/>
      </w:pPr>
      <w:r>
        <w:rPr>
          <w:b/>
          <w:bCs/>
          <w:color w:val="0B4F6C"/>
        </w:rPr>
        <w:t>Back Office (Claims and Finance):</w:t>
      </w:r>
    </w:p>
    <w:p w14:paraId="7335CCBF" w14:textId="77777777" w:rsidR="00772358" w:rsidRDefault="00000000">
      <w:pPr>
        <w:pStyle w:val="ListParagraph"/>
        <w:numPr>
          <w:ilvl w:val="0"/>
          <w:numId w:val="2"/>
        </w:numPr>
        <w:spacing w:before="40" w:after="80"/>
      </w:pPr>
      <w:r>
        <w:t>Claim preparation and scrubbing</w:t>
      </w:r>
    </w:p>
    <w:p w14:paraId="71FCB4C5" w14:textId="77777777" w:rsidR="00772358" w:rsidRDefault="00000000">
      <w:pPr>
        <w:pStyle w:val="ListParagraph"/>
        <w:numPr>
          <w:ilvl w:val="0"/>
          <w:numId w:val="2"/>
        </w:numPr>
        <w:spacing w:before="40" w:after="80"/>
      </w:pPr>
      <w:r>
        <w:t>Claim submission and clearinghouse management</w:t>
      </w:r>
    </w:p>
    <w:p w14:paraId="06AFCD4D" w14:textId="77777777" w:rsidR="00772358" w:rsidRDefault="00000000">
      <w:pPr>
        <w:pStyle w:val="ListParagraph"/>
        <w:numPr>
          <w:ilvl w:val="0"/>
          <w:numId w:val="2"/>
        </w:numPr>
        <w:spacing w:before="40" w:after="80"/>
      </w:pPr>
      <w:r>
        <w:t>Remittance processing and payment posting</w:t>
      </w:r>
    </w:p>
    <w:p w14:paraId="2163AD76" w14:textId="77777777" w:rsidR="00772358" w:rsidRDefault="00000000">
      <w:pPr>
        <w:pStyle w:val="ListParagraph"/>
        <w:numPr>
          <w:ilvl w:val="0"/>
          <w:numId w:val="2"/>
        </w:numPr>
        <w:spacing w:before="40" w:after="80"/>
      </w:pPr>
      <w:r>
        <w:t>Denial management and appeals</w:t>
      </w:r>
    </w:p>
    <w:p w14:paraId="08023AF9" w14:textId="77777777" w:rsidR="00772358" w:rsidRDefault="00000000">
      <w:pPr>
        <w:pStyle w:val="ListParagraph"/>
        <w:numPr>
          <w:ilvl w:val="0"/>
          <w:numId w:val="2"/>
        </w:numPr>
        <w:spacing w:before="40" w:after="80"/>
      </w:pPr>
      <w:r>
        <w:t>Patient billing and collections</w:t>
      </w:r>
    </w:p>
    <w:p w14:paraId="589D1149" w14:textId="77777777" w:rsidR="00772358" w:rsidRDefault="00000000">
      <w:pPr>
        <w:pStyle w:val="ListParagraph"/>
        <w:numPr>
          <w:ilvl w:val="0"/>
          <w:numId w:val="2"/>
        </w:numPr>
        <w:spacing w:before="40" w:after="80"/>
      </w:pPr>
      <w:r>
        <w:t>Revenue integrity and analytics</w:t>
      </w:r>
    </w:p>
    <w:p w14:paraId="1CAD0B84" w14:textId="77777777" w:rsidR="00772358" w:rsidRDefault="00000000">
      <w:pPr>
        <w:spacing w:before="60" w:after="120" w:line="280" w:lineRule="auto"/>
        <w:jc w:val="both"/>
      </w:pPr>
      <w:r>
        <w:rPr>
          <w:b/>
          <w:bCs/>
          <w:color w:val="0B4F6C"/>
        </w:rPr>
        <w:t>GCC Delivery Model:</w:t>
      </w:r>
    </w:p>
    <w:p w14:paraId="359F934E" w14:textId="77777777" w:rsidR="00772358" w:rsidRDefault="00000000">
      <w:pPr>
        <w:spacing w:before="60" w:after="120" w:line="280" w:lineRule="auto"/>
        <w:jc w:val="both"/>
      </w:pPr>
      <w:r>
        <w:t>High-volume, rules-based, analytically intensive functions in all three offices are appropriate for GCC delivery — particularly eligibility verification, coding, CDI support, denial analytics, remittance posting, and collections analytics. Clinical functions requiring US-licensed professionals (physician advisors for medical necessity reviews, licensed nurses for utilisation management) must remain in the US operating environment.</w:t>
      </w:r>
    </w:p>
    <w:p w14:paraId="45E2F4B2" w14:textId="77777777" w:rsidR="00772358" w:rsidRDefault="00000000">
      <w:pPr>
        <w:pStyle w:val="Heading2"/>
        <w:pBdr>
          <w:bottom w:val="single" w:sz="4" w:space="2" w:color="E8A020"/>
        </w:pBdr>
      </w:pPr>
      <w:r>
        <w:t>2.3 RCM Technology Stack</w:t>
      </w:r>
    </w:p>
    <w:p w14:paraId="2ED236F1" w14:textId="77777777" w:rsidR="00772358" w:rsidRDefault="00000000">
      <w:pPr>
        <w:spacing w:before="60" w:after="120" w:line="280" w:lineRule="auto"/>
        <w:jc w:val="both"/>
      </w:pPr>
      <w:r>
        <w:t>The modern RCM technology architecture spans five layers.</w:t>
      </w:r>
    </w:p>
    <w:p w14:paraId="51929311" w14:textId="77777777" w:rsidR="00772358" w:rsidRDefault="00000000">
      <w:pPr>
        <w:spacing w:before="60" w:after="120" w:line="280" w:lineRule="auto"/>
        <w:jc w:val="both"/>
      </w:pPr>
      <w:r>
        <w:rPr>
          <w:b/>
          <w:bCs/>
          <w:color w:val="0B4F6C"/>
        </w:rPr>
        <w:t>Layer 1: Core Clinical Systems.</w:t>
      </w:r>
      <w:r>
        <w:t xml:space="preserve"> EHR (Epic, Oracle Health, Meditech), practice management system (scheduling, registration, billing). The EHR is the source of clinical documentation and the origination point for charges and orders.</w:t>
      </w:r>
    </w:p>
    <w:p w14:paraId="7F20D301" w14:textId="77777777" w:rsidR="00772358" w:rsidRDefault="00000000">
      <w:pPr>
        <w:spacing w:before="60" w:after="120" w:line="280" w:lineRule="auto"/>
        <w:jc w:val="both"/>
      </w:pPr>
      <w:r>
        <w:rPr>
          <w:b/>
          <w:bCs/>
          <w:color w:val="0B4F6C"/>
        </w:rPr>
        <w:t>Layer 2: Revenue Cycle Platform.</w:t>
      </w:r>
      <w:r>
        <w:t xml:space="preserve"> Claim scrubbing engine, denials management platform, AR workflow management, remittance processing, and patient billing. Leading platforms include </w:t>
      </w:r>
      <w:proofErr w:type="spellStart"/>
      <w:r>
        <w:t>nThrive</w:t>
      </w:r>
      <w:proofErr w:type="spellEnd"/>
      <w:r>
        <w:t>, Waystar, R1 RCM, and Epic's native revenue cycle modules.</w:t>
      </w:r>
    </w:p>
    <w:p w14:paraId="294BD9C8" w14:textId="77777777" w:rsidR="00772358" w:rsidRDefault="00000000">
      <w:pPr>
        <w:spacing w:before="60" w:after="120" w:line="280" w:lineRule="auto"/>
        <w:jc w:val="both"/>
      </w:pPr>
      <w:r>
        <w:rPr>
          <w:b/>
          <w:bCs/>
          <w:color w:val="0B4F6C"/>
        </w:rPr>
        <w:t>Layer 3: Analytics and Intelligence.</w:t>
      </w:r>
      <w:r>
        <w:t xml:space="preserve"> Business intelligence reporting (Power BI, Tableau), RCM analytics platforms (Strata, Axiom), AI-powered denial prediction, coding AI (3M, Optum360, Nuance), and clinical documentation AI (Nuance DAX, Abridge, Suki).</w:t>
      </w:r>
    </w:p>
    <w:p w14:paraId="5DEE906A" w14:textId="77777777" w:rsidR="00772358" w:rsidRDefault="00000000">
      <w:pPr>
        <w:spacing w:before="60" w:after="120" w:line="280" w:lineRule="auto"/>
        <w:jc w:val="both"/>
      </w:pPr>
      <w:r>
        <w:rPr>
          <w:b/>
          <w:bCs/>
          <w:color w:val="0B4F6C"/>
        </w:rPr>
        <w:t>Layer 4: Automation and Integration.</w:t>
      </w:r>
      <w:r>
        <w:t xml:space="preserve"> RPA (UiPath, Automation Anywhere), EDI clearinghouse connectivity, payer API integration (FHIR-based prior auth APIs mandated by CMS 2024), and patient engagement platforms.</w:t>
      </w:r>
    </w:p>
    <w:p w14:paraId="24272CA5" w14:textId="77777777" w:rsidR="00772358" w:rsidRDefault="00000000">
      <w:pPr>
        <w:spacing w:before="60" w:after="120" w:line="280" w:lineRule="auto"/>
        <w:jc w:val="both"/>
      </w:pPr>
      <w:r>
        <w:rPr>
          <w:b/>
          <w:bCs/>
          <w:color w:val="0B4F6C"/>
        </w:rPr>
        <w:t>Layer 5: Governance and Compliance.</w:t>
      </w:r>
      <w:r>
        <w:t xml:space="preserve"> HIPAA compliance monitoring, audit management, provider data management, and regulatory reporting.</w:t>
      </w:r>
    </w:p>
    <w:p w14:paraId="0DE86C45" w14:textId="77777777" w:rsidR="00772358" w:rsidRDefault="00000000">
      <w:pPr>
        <w:pStyle w:val="Heading2"/>
        <w:pBdr>
          <w:bottom w:val="single" w:sz="4" w:space="2" w:color="E8A020"/>
        </w:pBdr>
      </w:pPr>
      <w:r>
        <w:t>2.4 RCM Key Performance Indicators</w:t>
      </w:r>
    </w:p>
    <w:p w14:paraId="288E3AA1" w14:textId="77777777" w:rsidR="00772358" w:rsidRDefault="00000000">
      <w:pPr>
        <w:spacing w:before="60" w:after="120" w:line="280" w:lineRule="auto"/>
        <w:jc w:val="both"/>
      </w:pPr>
      <w:r>
        <w:t>A mature RCM measurement framework tracks performance across five dimensions.</w:t>
      </w:r>
    </w:p>
    <w:p w14:paraId="736C08BA" w14:textId="77777777" w:rsidR="00772358" w:rsidRDefault="00000000">
      <w:pPr>
        <w:pStyle w:val="Heading3"/>
      </w:pPr>
      <w:r>
        <w:t>Access Quality</w:t>
      </w:r>
    </w:p>
    <w:p w14:paraId="1297CA66" w14:textId="77777777" w:rsidR="00772358" w:rsidRDefault="00000000">
      <w:pPr>
        <w:pStyle w:val="ListParagraph"/>
        <w:numPr>
          <w:ilvl w:val="0"/>
          <w:numId w:val="2"/>
        </w:numPr>
        <w:spacing w:before="40" w:after="80"/>
      </w:pPr>
      <w:r>
        <w:t>Pre-registration rate: % of visits with pre-registration completed before DOS</w:t>
      </w:r>
    </w:p>
    <w:p w14:paraId="643C6439" w14:textId="77777777" w:rsidR="00772358" w:rsidRDefault="00000000">
      <w:pPr>
        <w:pStyle w:val="ListParagraph"/>
        <w:numPr>
          <w:ilvl w:val="0"/>
          <w:numId w:val="2"/>
        </w:numPr>
        <w:spacing w:before="40" w:after="80"/>
      </w:pPr>
      <w:r>
        <w:t>Eligibility verification rate: % of visits with real-time eligibility confirmation</w:t>
      </w:r>
    </w:p>
    <w:p w14:paraId="7BDDCF3F" w14:textId="77777777" w:rsidR="00772358" w:rsidRDefault="00000000">
      <w:pPr>
        <w:pStyle w:val="ListParagraph"/>
        <w:numPr>
          <w:ilvl w:val="0"/>
          <w:numId w:val="2"/>
        </w:numPr>
        <w:spacing w:before="40" w:after="80"/>
      </w:pPr>
      <w:r>
        <w:t>Authorization capture rate: % of visits requiring PA with auth on file</w:t>
      </w:r>
    </w:p>
    <w:p w14:paraId="07649D59" w14:textId="77777777" w:rsidR="00772358" w:rsidRDefault="00000000">
      <w:pPr>
        <w:pStyle w:val="ListParagraph"/>
        <w:numPr>
          <w:ilvl w:val="0"/>
          <w:numId w:val="2"/>
        </w:numPr>
        <w:spacing w:before="40" w:after="80"/>
      </w:pPr>
      <w:r>
        <w:t>Point-of-service collection rate: $ collected / $ collectible at POS</w:t>
      </w:r>
    </w:p>
    <w:p w14:paraId="39F523BE" w14:textId="77777777" w:rsidR="00772358" w:rsidRDefault="00000000">
      <w:pPr>
        <w:pStyle w:val="Heading3"/>
      </w:pPr>
      <w:r>
        <w:t>Claim Quality</w:t>
      </w:r>
    </w:p>
    <w:p w14:paraId="0C6903A6" w14:textId="77777777" w:rsidR="00772358" w:rsidRDefault="00000000">
      <w:pPr>
        <w:pStyle w:val="ListParagraph"/>
        <w:numPr>
          <w:ilvl w:val="0"/>
          <w:numId w:val="2"/>
        </w:numPr>
        <w:spacing w:before="40" w:after="80"/>
      </w:pPr>
      <w:r>
        <w:t>Clean claim rate (first-pass): % of claims accepted without rejection or edit</w:t>
      </w:r>
    </w:p>
    <w:p w14:paraId="33BD9FB1" w14:textId="77777777" w:rsidR="00772358" w:rsidRDefault="00000000">
      <w:pPr>
        <w:pStyle w:val="ListParagraph"/>
        <w:numPr>
          <w:ilvl w:val="0"/>
          <w:numId w:val="2"/>
        </w:numPr>
        <w:spacing w:before="40" w:after="80"/>
      </w:pPr>
      <w:r>
        <w:t>Claim rejection rate: % of submitted claims rejected by clearinghouse or payer</w:t>
      </w:r>
    </w:p>
    <w:p w14:paraId="0CA41F79" w14:textId="77777777" w:rsidR="00772358" w:rsidRDefault="00000000">
      <w:pPr>
        <w:pStyle w:val="ListParagraph"/>
        <w:numPr>
          <w:ilvl w:val="0"/>
          <w:numId w:val="2"/>
        </w:numPr>
        <w:spacing w:before="40" w:after="80"/>
      </w:pPr>
      <w:r>
        <w:t>Days to submit: median days from DOS to claim submission</w:t>
      </w:r>
    </w:p>
    <w:p w14:paraId="0F581417" w14:textId="77777777" w:rsidR="00772358" w:rsidRDefault="00000000">
      <w:pPr>
        <w:pStyle w:val="Heading3"/>
      </w:pPr>
      <w:r>
        <w:t>AR Performance</w:t>
      </w:r>
    </w:p>
    <w:p w14:paraId="4107737F" w14:textId="77777777" w:rsidR="00772358" w:rsidRDefault="00000000">
      <w:pPr>
        <w:pStyle w:val="ListParagraph"/>
        <w:numPr>
          <w:ilvl w:val="0"/>
          <w:numId w:val="2"/>
        </w:numPr>
        <w:spacing w:before="40" w:after="80"/>
      </w:pPr>
      <w:r>
        <w:t>Days in Accounts Receivable (AR): total AR / average daily charges</w:t>
      </w:r>
    </w:p>
    <w:p w14:paraId="55E6B15E" w14:textId="77777777" w:rsidR="00772358" w:rsidRDefault="00000000">
      <w:pPr>
        <w:pStyle w:val="ListParagraph"/>
        <w:numPr>
          <w:ilvl w:val="0"/>
          <w:numId w:val="2"/>
        </w:numPr>
        <w:spacing w:before="40" w:after="80"/>
      </w:pPr>
      <w:r>
        <w:t>AR &gt;90 days: % of total AR aged beyond 90 days</w:t>
      </w:r>
    </w:p>
    <w:p w14:paraId="0E2F4203" w14:textId="77777777" w:rsidR="00772358" w:rsidRDefault="00000000">
      <w:pPr>
        <w:pStyle w:val="ListParagraph"/>
        <w:numPr>
          <w:ilvl w:val="0"/>
          <w:numId w:val="2"/>
        </w:numPr>
        <w:spacing w:before="40" w:after="80"/>
      </w:pPr>
      <w:r>
        <w:t>AR &gt;180 days: % of total AR aged beyond 180 days</w:t>
      </w:r>
    </w:p>
    <w:p w14:paraId="46041EEB" w14:textId="77777777" w:rsidR="00772358" w:rsidRDefault="00000000">
      <w:pPr>
        <w:pStyle w:val="ListParagraph"/>
        <w:numPr>
          <w:ilvl w:val="0"/>
          <w:numId w:val="2"/>
        </w:numPr>
        <w:spacing w:before="40" w:after="80"/>
      </w:pPr>
      <w:r>
        <w:t>Cash collections as % of net patient service revenue</w:t>
      </w:r>
    </w:p>
    <w:p w14:paraId="2722EF32" w14:textId="77777777" w:rsidR="00772358" w:rsidRDefault="00000000">
      <w:pPr>
        <w:pStyle w:val="Heading3"/>
      </w:pPr>
      <w:r>
        <w:t>Denial Management</w:t>
      </w:r>
    </w:p>
    <w:p w14:paraId="023F1222" w14:textId="77777777" w:rsidR="00772358" w:rsidRDefault="00000000">
      <w:pPr>
        <w:pStyle w:val="ListParagraph"/>
        <w:numPr>
          <w:ilvl w:val="0"/>
          <w:numId w:val="2"/>
        </w:numPr>
        <w:spacing w:before="40" w:after="80"/>
      </w:pPr>
      <w:r>
        <w:t>Denial rate (first pass): % of claims denied on first submission</w:t>
      </w:r>
    </w:p>
    <w:p w14:paraId="48A741F9" w14:textId="77777777" w:rsidR="00772358" w:rsidRDefault="00000000">
      <w:pPr>
        <w:pStyle w:val="ListParagraph"/>
        <w:numPr>
          <w:ilvl w:val="0"/>
          <w:numId w:val="2"/>
        </w:numPr>
        <w:spacing w:before="40" w:after="80"/>
      </w:pPr>
      <w:r>
        <w:t>Denial overturn rate: % of appealed denials successfully overturned</w:t>
      </w:r>
    </w:p>
    <w:p w14:paraId="539AB9F6" w14:textId="77777777" w:rsidR="00772358" w:rsidRDefault="00000000">
      <w:pPr>
        <w:pStyle w:val="ListParagraph"/>
        <w:numPr>
          <w:ilvl w:val="0"/>
          <w:numId w:val="2"/>
        </w:numPr>
        <w:spacing w:before="40" w:after="80"/>
      </w:pPr>
      <w:r>
        <w:t>Net denial rate: % of claims denied after appeals exhausted</w:t>
      </w:r>
    </w:p>
    <w:p w14:paraId="71DCEE4D" w14:textId="77777777" w:rsidR="00772358" w:rsidRDefault="00000000">
      <w:pPr>
        <w:pStyle w:val="ListParagraph"/>
        <w:numPr>
          <w:ilvl w:val="0"/>
          <w:numId w:val="2"/>
        </w:numPr>
        <w:spacing w:before="40" w:after="80"/>
      </w:pPr>
      <w:r>
        <w:t>Cost per denial: administrative cost to work one denial</w:t>
      </w:r>
    </w:p>
    <w:p w14:paraId="43AEFB4E" w14:textId="77777777" w:rsidR="00772358" w:rsidRDefault="00000000">
      <w:pPr>
        <w:pStyle w:val="Heading3"/>
      </w:pPr>
      <w:r>
        <w:t>Patient Financial Services</w:t>
      </w:r>
    </w:p>
    <w:p w14:paraId="2AEBB894" w14:textId="77777777" w:rsidR="00772358" w:rsidRDefault="00000000">
      <w:pPr>
        <w:pStyle w:val="ListParagraph"/>
        <w:numPr>
          <w:ilvl w:val="0"/>
          <w:numId w:val="2"/>
        </w:numPr>
        <w:spacing w:before="40" w:after="80"/>
      </w:pPr>
      <w:r>
        <w:t>Bad debt rate: % of gross revenue written off as uncollectable</w:t>
      </w:r>
    </w:p>
    <w:p w14:paraId="3014C60E" w14:textId="77777777" w:rsidR="00772358" w:rsidRDefault="00000000">
      <w:pPr>
        <w:pStyle w:val="ListParagraph"/>
        <w:numPr>
          <w:ilvl w:val="0"/>
          <w:numId w:val="2"/>
        </w:numPr>
        <w:spacing w:before="40" w:after="80"/>
      </w:pPr>
      <w:r>
        <w:t>Charity care rate: % of gross revenue granted as charity</w:t>
      </w:r>
    </w:p>
    <w:p w14:paraId="27FEDB15" w14:textId="77777777" w:rsidR="00772358" w:rsidRDefault="00000000">
      <w:pPr>
        <w:pStyle w:val="ListParagraph"/>
        <w:numPr>
          <w:ilvl w:val="0"/>
          <w:numId w:val="2"/>
        </w:numPr>
        <w:spacing w:before="40" w:after="80"/>
      </w:pPr>
      <w:r>
        <w:t>Self-pay collection yield: $ collected / $ billed to self-pay patients</w:t>
      </w:r>
    </w:p>
    <w:p w14:paraId="77277FDB"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72358" w14:paraId="7EB44399"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4160DC7C" w14:textId="77777777" w:rsidR="00772358" w:rsidRDefault="00000000">
            <w:r>
              <w:rPr>
                <w:b/>
                <w:bCs/>
                <w:color w:val="FFFFFF"/>
                <w:sz w:val="18"/>
                <w:szCs w:val="18"/>
              </w:rPr>
              <w:t>KPI</w:t>
            </w:r>
          </w:p>
        </w:tc>
        <w:tc>
          <w:tcPr>
            <w:tcW w:w="312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3BF7587D" w14:textId="77777777" w:rsidR="00772358" w:rsidRDefault="00000000">
            <w:r>
              <w:rPr>
                <w:b/>
                <w:bCs/>
                <w:color w:val="FFFFFF"/>
                <w:sz w:val="18"/>
                <w:szCs w:val="18"/>
              </w:rPr>
              <w:t>Target (Best Practice)</w:t>
            </w:r>
          </w:p>
        </w:tc>
        <w:tc>
          <w:tcPr>
            <w:tcW w:w="312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1B0A8C47" w14:textId="77777777" w:rsidR="00772358" w:rsidRDefault="00000000">
            <w:r>
              <w:rPr>
                <w:b/>
                <w:bCs/>
                <w:color w:val="FFFFFF"/>
                <w:sz w:val="18"/>
                <w:szCs w:val="18"/>
              </w:rPr>
              <w:t>Industry Average</w:t>
            </w:r>
          </w:p>
        </w:tc>
      </w:tr>
      <w:tr w:rsidR="00772358" w14:paraId="3A2A53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6492538B" w14:textId="77777777" w:rsidR="00772358" w:rsidRDefault="00000000">
            <w:r>
              <w:rPr>
                <w:sz w:val="18"/>
                <w:szCs w:val="18"/>
              </w:rPr>
              <w:t>Clean claim rate</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5C9BEB36" w14:textId="77777777" w:rsidR="00772358" w:rsidRDefault="00000000">
            <w:r>
              <w:rPr>
                <w:sz w:val="18"/>
                <w:szCs w:val="18"/>
              </w:rPr>
              <w:t>≥97%</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649B7026" w14:textId="77777777" w:rsidR="00772358" w:rsidRDefault="00000000">
            <w:r>
              <w:rPr>
                <w:sz w:val="18"/>
                <w:szCs w:val="18"/>
              </w:rPr>
              <w:t>92–94%</w:t>
            </w:r>
          </w:p>
        </w:tc>
      </w:tr>
      <w:tr w:rsidR="00772358" w14:paraId="15B9EA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04D1117E" w14:textId="77777777" w:rsidR="00772358" w:rsidRDefault="00000000">
            <w:r>
              <w:rPr>
                <w:sz w:val="18"/>
                <w:szCs w:val="18"/>
              </w:rPr>
              <w:t>Days in AR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6398BBA7" w14:textId="77777777" w:rsidR="00772358" w:rsidRDefault="00000000">
            <w:r>
              <w:rPr>
                <w:sz w:val="18"/>
                <w:szCs w:val="18"/>
              </w:rPr>
              <w:t>&lt;35 days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7563EE4D" w14:textId="77777777" w:rsidR="00772358" w:rsidRDefault="00000000">
            <w:r>
              <w:rPr>
                <w:sz w:val="18"/>
                <w:szCs w:val="18"/>
              </w:rPr>
              <w:t>42–50 days</w:t>
            </w:r>
          </w:p>
        </w:tc>
      </w:tr>
      <w:tr w:rsidR="00772358" w14:paraId="22FC43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186F7516" w14:textId="77777777" w:rsidR="00772358" w:rsidRDefault="00000000">
            <w:r>
              <w:rPr>
                <w:sz w:val="18"/>
                <w:szCs w:val="18"/>
              </w:rPr>
              <w:t>Denial rate (first pass)</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06EB7C5A" w14:textId="77777777" w:rsidR="00772358" w:rsidRDefault="00000000">
            <w:r>
              <w:rPr>
                <w:sz w:val="18"/>
                <w:szCs w:val="18"/>
              </w:rPr>
              <w:t>&lt;5%</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130E3462" w14:textId="77777777" w:rsidR="00772358" w:rsidRDefault="00000000">
            <w:r>
              <w:rPr>
                <w:sz w:val="18"/>
                <w:szCs w:val="18"/>
              </w:rPr>
              <w:t>10–12%</w:t>
            </w:r>
          </w:p>
        </w:tc>
      </w:tr>
      <w:tr w:rsidR="00772358" w14:paraId="1E16CB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42A742CB" w14:textId="77777777" w:rsidR="00772358" w:rsidRDefault="00000000">
            <w:r>
              <w:rPr>
                <w:sz w:val="18"/>
                <w:szCs w:val="18"/>
              </w:rPr>
              <w:t>Denial overturn rate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25BA3360" w14:textId="77777777" w:rsidR="00772358" w:rsidRDefault="00000000">
            <w:r>
              <w:rPr>
                <w:sz w:val="18"/>
                <w:szCs w:val="18"/>
              </w:rPr>
              <w:t>&gt;65%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7351A43E" w14:textId="77777777" w:rsidR="00772358" w:rsidRDefault="00000000">
            <w:r>
              <w:rPr>
                <w:sz w:val="18"/>
                <w:szCs w:val="18"/>
              </w:rPr>
              <w:t>45–55%</w:t>
            </w:r>
          </w:p>
        </w:tc>
      </w:tr>
      <w:tr w:rsidR="00772358" w14:paraId="680324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6B8898A0" w14:textId="77777777" w:rsidR="00772358" w:rsidRDefault="00000000">
            <w:r>
              <w:rPr>
                <w:sz w:val="18"/>
                <w:szCs w:val="18"/>
              </w:rPr>
              <w:t>Cost to collect</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725430C0" w14:textId="77777777" w:rsidR="00772358" w:rsidRDefault="00000000">
            <w:r>
              <w:rPr>
                <w:sz w:val="18"/>
                <w:szCs w:val="18"/>
              </w:rPr>
              <w:t>&lt;3% of net revenue</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22DF350E" w14:textId="77777777" w:rsidR="00772358" w:rsidRDefault="00000000">
            <w:r>
              <w:rPr>
                <w:sz w:val="18"/>
                <w:szCs w:val="18"/>
              </w:rPr>
              <w:t>4–6%</w:t>
            </w:r>
          </w:p>
        </w:tc>
      </w:tr>
      <w:tr w:rsidR="00772358" w14:paraId="534DCC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5BACF6A2" w14:textId="77777777" w:rsidR="00772358" w:rsidRDefault="00000000">
            <w:r>
              <w:rPr>
                <w:sz w:val="18"/>
                <w:szCs w:val="18"/>
              </w:rPr>
              <w:t>POS collection rate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157E90D3" w14:textId="77777777" w:rsidR="00772358" w:rsidRDefault="00000000">
            <w:r>
              <w:rPr>
                <w:sz w:val="18"/>
                <w:szCs w:val="18"/>
              </w:rPr>
              <w:t>&gt;85%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3386BEAD" w14:textId="77777777" w:rsidR="00772358" w:rsidRDefault="00000000">
            <w:r>
              <w:rPr>
                <w:sz w:val="18"/>
                <w:szCs w:val="18"/>
              </w:rPr>
              <w:t>60–70%</w:t>
            </w:r>
          </w:p>
        </w:tc>
      </w:tr>
    </w:tbl>
    <w:p w14:paraId="6AA6CE20" w14:textId="77777777" w:rsidR="00772358" w:rsidRDefault="00772358">
      <w:pPr>
        <w:spacing w:after="80"/>
      </w:pPr>
    </w:p>
    <w:p w14:paraId="1C3E8B80" w14:textId="77777777" w:rsidR="00772358" w:rsidRDefault="00000000">
      <w:pPr>
        <w:pStyle w:val="Heading2"/>
        <w:pBdr>
          <w:bottom w:val="single" w:sz="4" w:space="2" w:color="E8A020"/>
        </w:pBdr>
      </w:pPr>
      <w:r>
        <w:t>Questions for Leadership</w:t>
      </w:r>
    </w:p>
    <w:p w14:paraId="267A7A3A" w14:textId="77777777" w:rsidR="00772358" w:rsidRDefault="00000000">
      <w:pPr>
        <w:spacing w:before="60" w:after="120" w:line="280" w:lineRule="auto"/>
        <w:jc w:val="both"/>
      </w:pPr>
      <w:r>
        <w:t>What is your organisation's current clean claim rate, and what are the top three failure reasons in your pre-claim edit engine? Have you mapped the authorisation requirements for your top 20 payers by claim volume, and are those requirements reflected in real-time workflow decision support for your scheduling and access teams? Is your denial management function structured as a prevention-focused capability with root-cause analytics driving upstream process improvement, or primarily as a back-end recovery function?</w:t>
      </w:r>
    </w:p>
    <w:p w14:paraId="43AFDCE9" w14:textId="77777777" w:rsidR="00772358" w:rsidRDefault="00000000">
      <w:pPr>
        <w:spacing w:before="60" w:after="120" w:line="280" w:lineRule="auto"/>
        <w:jc w:val="both"/>
      </w:pPr>
      <w:r>
        <w:rPr>
          <w:i/>
          <w:iCs/>
        </w:rPr>
        <w:t>Chapter 2 complete.</w:t>
      </w:r>
    </w:p>
    <w:p w14:paraId="4CBAA851" w14:textId="77777777" w:rsidR="00772358" w:rsidRDefault="00000000">
      <w:r>
        <w:br/>
      </w:r>
    </w:p>
    <w:p w14:paraId="2FD804D1" w14:textId="77777777" w:rsidR="00772358" w:rsidRDefault="00000000">
      <w:pPr>
        <w:pStyle w:val="Heading1"/>
        <w:pBdr>
          <w:bottom w:val="single" w:sz="8" w:space="4" w:color="E8A020"/>
        </w:pBdr>
        <w:shd w:val="clear" w:color="auto" w:fill="0B4F6C"/>
        <w:ind w:left="160" w:right="160"/>
      </w:pPr>
      <w:r>
        <w:t>Chapter 3: Provider Domain — Clinical Operations &amp; Governance</w:t>
      </w:r>
    </w:p>
    <w:p w14:paraId="0D3D9428"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1C89EB01" w14:textId="77777777">
        <w:tblPrEx>
          <w:tblCellMar>
            <w:top w:w="0" w:type="dxa"/>
            <w:bottom w:w="0" w:type="dxa"/>
          </w:tblCellMar>
        </w:tblPrEx>
        <w:tc>
          <w:tcPr>
            <w:tcW w:w="9360" w:type="dxa"/>
            <w:tcBorders>
              <w:top w:val="single" w:sz="6" w:space="0" w:color="17A8C8"/>
              <w:left w:val="single" w:sz="18" w:space="0" w:color="17A8C8"/>
              <w:bottom w:val="single" w:sz="6" w:space="0" w:color="17A8C8"/>
              <w:right w:val="single" w:sz="6" w:space="0" w:color="17A8C8"/>
            </w:tcBorders>
            <w:shd w:val="clear" w:color="auto" w:fill="E8F8FC"/>
            <w:tcMar>
              <w:top w:w="140" w:type="dxa"/>
              <w:left w:w="200" w:type="dxa"/>
              <w:bottom w:w="140" w:type="dxa"/>
              <w:right w:w="200" w:type="dxa"/>
            </w:tcMar>
          </w:tcPr>
          <w:p w14:paraId="0E6967EC" w14:textId="77777777" w:rsidR="00772358" w:rsidRDefault="00000000">
            <w:pPr>
              <w:spacing w:after="80"/>
            </w:pPr>
            <w:r>
              <w:rPr>
                <w:b/>
                <w:bCs/>
                <w:color w:val="E8A020"/>
                <w:sz w:val="17"/>
                <w:szCs w:val="17"/>
              </w:rPr>
              <w:t>EXECUTIVE SUMMARY</w:t>
            </w:r>
          </w:p>
          <w:p w14:paraId="7CC494B5" w14:textId="77777777" w:rsidR="00772358" w:rsidRDefault="00000000">
            <w:pPr>
              <w:jc w:val="both"/>
            </w:pPr>
            <w:r>
              <w:rPr>
                <w:i/>
                <w:iCs/>
                <w:sz w:val="20"/>
                <w:szCs w:val="20"/>
              </w:rPr>
              <w:t>Provider organisations — hospitals, health systems, physician groups, ambulatory surgery centres — are the care delivery engine of the healthcare system. Their digital and operational transformation is driven by four simultaneous forces: margin compression demanding cost efficiency, payer friction driving administrative investment, workforce shortage creating automation urgency, and patient expectations requiring consumer-grade experience. This chapter examines the seven pillars of clinical governance, patient flow optimisation, and the GCC opportunities that are reshaping provider operations.</w:t>
            </w:r>
          </w:p>
        </w:tc>
      </w:tr>
    </w:tbl>
    <w:p w14:paraId="72093397" w14:textId="77777777" w:rsidR="00772358" w:rsidRDefault="00772358">
      <w:pPr>
        <w:spacing w:after="80"/>
      </w:pPr>
    </w:p>
    <w:p w14:paraId="660D2AD4" w14:textId="77777777" w:rsidR="00772358" w:rsidRDefault="00000000">
      <w:pPr>
        <w:pStyle w:val="Heading2"/>
        <w:pBdr>
          <w:bottom w:val="single" w:sz="4" w:space="2" w:color="E8A020"/>
        </w:pBdr>
      </w:pPr>
      <w:r>
        <w:t>3.1 Seven Pillars of Clinical Governance</w:t>
      </w:r>
    </w:p>
    <w:p w14:paraId="2230F457" w14:textId="77777777" w:rsidR="00772358" w:rsidRDefault="00000000">
      <w:pPr>
        <w:spacing w:before="60" w:after="120" w:line="280" w:lineRule="auto"/>
        <w:jc w:val="both"/>
      </w:pPr>
      <w:r>
        <w:t>Clinical governance is the system by which healthcare organisations are accountable for continuously improving the quality of their services and safeguarding high standards of care. It comprises seven interdependent pillars that must function together to create a high-performing provider organisation.</w:t>
      </w:r>
    </w:p>
    <w:p w14:paraId="4B1A619B" w14:textId="77777777" w:rsidR="00772358" w:rsidRDefault="00000000">
      <w:pPr>
        <w:spacing w:before="60" w:after="120" w:line="280" w:lineRule="auto"/>
        <w:jc w:val="both"/>
      </w:pPr>
      <w:r>
        <w:rPr>
          <w:b/>
          <w:bCs/>
          <w:color w:val="0B4F6C"/>
        </w:rPr>
        <w:t>Pillar 1: Clinical Effectiveness.</w:t>
      </w:r>
      <w:r>
        <w:t xml:space="preserve"> Evidence-based protocols, clinical pathway adherence, outcome measurement, and benchmarking against national quality standards. Organisations that adopt and monitor clinical pathways consistently achieve 15–25% reductions in unnecessary variation, length of stay, and complications.</w:t>
      </w:r>
    </w:p>
    <w:p w14:paraId="4E1F5365" w14:textId="77777777" w:rsidR="00772358" w:rsidRDefault="00000000">
      <w:pPr>
        <w:spacing w:before="60" w:after="120" w:line="280" w:lineRule="auto"/>
        <w:jc w:val="both"/>
      </w:pPr>
      <w:r>
        <w:rPr>
          <w:b/>
          <w:bCs/>
          <w:color w:val="0B4F6C"/>
        </w:rPr>
        <w:t>Pillar 2: Patient Safety.</w:t>
      </w:r>
      <w:r>
        <w:t xml:space="preserve"> Adverse event reporting, near-miss analysis, medication safety programs, surgical safety checklists, infection control, and the culture of psychological safety that enables clinicians to report concerns without fear of blame. The Institute for Healthcare Improvement's frameworks for safety culture measurement are the industry standard.</w:t>
      </w:r>
    </w:p>
    <w:p w14:paraId="22CF2C99" w14:textId="77777777" w:rsidR="00772358" w:rsidRDefault="00000000">
      <w:pPr>
        <w:spacing w:before="60" w:after="120" w:line="280" w:lineRule="auto"/>
        <w:jc w:val="both"/>
      </w:pPr>
      <w:r>
        <w:rPr>
          <w:b/>
          <w:bCs/>
          <w:color w:val="0B4F6C"/>
        </w:rPr>
        <w:t>Pillar 3: Patient Experience.</w:t>
      </w:r>
      <w:r>
        <w:t xml:space="preserve"> HCAHPS (Hospital Consumer Assessment of Healthcare Providers and Systems) performance, patient engagement, communication quality, care coordination, and discharge experience. Patient experience scores increasingly affect value-based payment and CMS star ratings.</w:t>
      </w:r>
    </w:p>
    <w:p w14:paraId="00EEBA6F" w14:textId="77777777" w:rsidR="00772358" w:rsidRDefault="00000000">
      <w:pPr>
        <w:spacing w:before="60" w:after="120" w:line="280" w:lineRule="auto"/>
        <w:jc w:val="both"/>
      </w:pPr>
      <w:r>
        <w:rPr>
          <w:b/>
          <w:bCs/>
          <w:color w:val="0B4F6C"/>
        </w:rPr>
        <w:t>Pillar 4: Workforce Development.</w:t>
      </w:r>
      <w:r>
        <w:t xml:space="preserve"> Clinical competency frameworks, continuing medical education, nursing certification programs, and the succession planning that ensures leadership continuity in high-turnover clinical environments.</w:t>
      </w:r>
    </w:p>
    <w:p w14:paraId="6172E76C" w14:textId="77777777" w:rsidR="00772358" w:rsidRDefault="00000000">
      <w:pPr>
        <w:spacing w:before="60" w:after="120" w:line="280" w:lineRule="auto"/>
        <w:jc w:val="both"/>
      </w:pPr>
      <w:r>
        <w:rPr>
          <w:b/>
          <w:bCs/>
          <w:color w:val="0B4F6C"/>
        </w:rPr>
        <w:t>Pillar 5: Risk Management.</w:t>
      </w:r>
      <w:r>
        <w:t xml:space="preserve"> Clinical liability identification, incident investigation, malpractice exposure management, and the documentation practices that protect both patients and organisations.</w:t>
      </w:r>
    </w:p>
    <w:p w14:paraId="102515CC" w14:textId="77777777" w:rsidR="00772358" w:rsidRDefault="00000000">
      <w:pPr>
        <w:spacing w:before="60" w:after="120" w:line="280" w:lineRule="auto"/>
        <w:jc w:val="both"/>
      </w:pPr>
      <w:r>
        <w:rPr>
          <w:b/>
          <w:bCs/>
          <w:color w:val="0B4F6C"/>
        </w:rPr>
        <w:t>Pillar 6: Information Governance.</w:t>
      </w:r>
      <w:r>
        <w:t xml:space="preserve"> Clinical data quality, EHR documentation standards, interoperability compliance, and the data stewardship practices that determine whether the organisation's information assets can be used for quality improvement, research, and analytics.</w:t>
      </w:r>
    </w:p>
    <w:p w14:paraId="79C1DFD7" w14:textId="77777777" w:rsidR="00772358" w:rsidRDefault="00000000">
      <w:pPr>
        <w:spacing w:before="60" w:after="120" w:line="280" w:lineRule="auto"/>
        <w:jc w:val="both"/>
      </w:pPr>
      <w:r>
        <w:rPr>
          <w:b/>
          <w:bCs/>
          <w:color w:val="0B4F6C"/>
        </w:rPr>
        <w:t>Pillar 7: Clinical Audit and Improvement.</w:t>
      </w:r>
      <w:r>
        <w:t xml:space="preserve"> The systematic review of clinical practice against defined standards, with structured improvement cycles that close the loop between assessment and action.</w:t>
      </w:r>
    </w:p>
    <w:p w14:paraId="1DB525CE" w14:textId="77777777" w:rsidR="00772358" w:rsidRDefault="00000000">
      <w:pPr>
        <w:pStyle w:val="Heading2"/>
        <w:pBdr>
          <w:bottom w:val="single" w:sz="4" w:space="2" w:color="E8A020"/>
        </w:pBdr>
      </w:pPr>
      <w:r>
        <w:t>3.2 Patient Flow Optimisation</w:t>
      </w:r>
    </w:p>
    <w:p w14:paraId="49781C7D" w14:textId="77777777" w:rsidR="00772358" w:rsidRDefault="00000000">
      <w:pPr>
        <w:spacing w:before="60" w:after="120" w:line="280" w:lineRule="auto"/>
        <w:jc w:val="both"/>
      </w:pPr>
      <w:r>
        <w:t>Patient flow — the movement of patients through the healthcare system from initial access through discharge and follow-up — is one of the highest-value operational improvement domains in provider organisations. Flow inefficiencies manifest as ED overcrowding, surgical case delays, excessive length of stay, and care transitions that expose patients to readmission risk.</w:t>
      </w:r>
    </w:p>
    <w:p w14:paraId="1FE9BA48" w14:textId="77777777" w:rsidR="00772358" w:rsidRDefault="00000000">
      <w:pPr>
        <w:spacing w:before="60" w:after="120" w:line="280" w:lineRule="auto"/>
        <w:jc w:val="both"/>
      </w:pPr>
      <w:r>
        <w:rPr>
          <w:b/>
          <w:bCs/>
          <w:color w:val="0B4F6C"/>
        </w:rPr>
        <w:t>Emergency Department flow:</w:t>
      </w:r>
      <w:r>
        <w:t xml:space="preserve"> ED throughput is measured by Door-to-Provider time (target &lt;30 minutes for ESI-2 patients), Left Without Being Seen rate (&lt;2%), and ED Length of Stay. AI-powered triage decision support tools, real-time patient tracking systems, and predictive volume modelling are the leading technology interventions.</w:t>
      </w:r>
    </w:p>
    <w:p w14:paraId="649C31F2" w14:textId="77777777" w:rsidR="00772358" w:rsidRDefault="00000000">
      <w:pPr>
        <w:spacing w:before="60" w:after="120" w:line="280" w:lineRule="auto"/>
        <w:jc w:val="both"/>
      </w:pPr>
      <w:r>
        <w:rPr>
          <w:b/>
          <w:bCs/>
          <w:color w:val="0B4F6C"/>
        </w:rPr>
        <w:t>Inpatient flow:</w:t>
      </w:r>
      <w:r>
        <w:t xml:space="preserve"> The core inpatient flow metric is Average Length of Stay (ALOS) versus Geometric Mean Length of Stay (GMLOS) — the CMS-expected length of stay for each DRG. Organisations with ALOS significantly exceeding GMLOS are leaving case mix-adjusted revenue unrealised and creating bed capacity constraints. Care management, utilisation review, and discharge planning functions are the primary levers.</w:t>
      </w:r>
    </w:p>
    <w:p w14:paraId="5735104B" w14:textId="77777777" w:rsidR="00772358" w:rsidRDefault="00000000">
      <w:pPr>
        <w:spacing w:before="60" w:after="120" w:line="280" w:lineRule="auto"/>
        <w:jc w:val="both"/>
      </w:pPr>
      <w:r>
        <w:rPr>
          <w:b/>
          <w:bCs/>
          <w:color w:val="0B4F6C"/>
        </w:rPr>
        <w:t>Surgical throughput:</w:t>
      </w:r>
      <w:r>
        <w:t xml:space="preserve"> Surgical schedule block utilisation, first-case on-time starts, turnover time between cases, and case cancellation rates are the operational metrics that determine OR efficiency. AI-powered surgical scheduling tools that optimise block assignments, predict case duration, and flag cancellation risk are demonstrating 15–20% improvements in OR utilisation.</w:t>
      </w:r>
    </w:p>
    <w:p w14:paraId="29BEDEFF" w14:textId="77777777" w:rsidR="00772358" w:rsidRDefault="00000000">
      <w:pPr>
        <w:pStyle w:val="Heading2"/>
        <w:pBdr>
          <w:bottom w:val="single" w:sz="4" w:space="2" w:color="E8A020"/>
        </w:pBdr>
      </w:pPr>
      <w:r>
        <w:t xml:space="preserve">3.3 Provider Credentialing and </w:t>
      </w:r>
      <w:proofErr w:type="spellStart"/>
      <w:r>
        <w:t>Enrollment</w:t>
      </w:r>
      <w:proofErr w:type="spellEnd"/>
    </w:p>
    <w:p w14:paraId="1A7D96A2" w14:textId="77777777" w:rsidR="00772358" w:rsidRDefault="00000000">
      <w:pPr>
        <w:spacing w:before="60" w:after="120" w:line="280" w:lineRule="auto"/>
        <w:jc w:val="both"/>
      </w:pPr>
      <w:r>
        <w:t xml:space="preserve">Provider credentialing is the process by which healthcare organisations verify that clinicians have the education, training, licensure, and competency required to deliver safe care. Provider </w:t>
      </w:r>
      <w:proofErr w:type="spellStart"/>
      <w:r>
        <w:t>enrollment</w:t>
      </w:r>
      <w:proofErr w:type="spellEnd"/>
      <w:r>
        <w:t xml:space="preserve"> is the related process of registering providers with payers to establish billing rights.</w:t>
      </w:r>
    </w:p>
    <w:p w14:paraId="5F088EF4" w14:textId="77777777" w:rsidR="00772358" w:rsidRDefault="00000000">
      <w:pPr>
        <w:spacing w:before="60" w:after="120" w:line="280" w:lineRule="auto"/>
        <w:jc w:val="both"/>
      </w:pPr>
      <w:r>
        <w:t xml:space="preserve">Credentialing failures — privileging a provider who does not meet competency standards, failing to detect a licence suspension, or missing a malpractice exclusion — create profound patient safety and liability risk. </w:t>
      </w:r>
      <w:proofErr w:type="spellStart"/>
      <w:r>
        <w:t>Enrollment</w:t>
      </w:r>
      <w:proofErr w:type="spellEnd"/>
      <w:r>
        <w:t xml:space="preserve"> failures — missed </w:t>
      </w:r>
      <w:proofErr w:type="spellStart"/>
      <w:r>
        <w:t>enrollment</w:t>
      </w:r>
      <w:proofErr w:type="spellEnd"/>
      <w:r>
        <w:t xml:space="preserve"> deadlines, incorrect taxonomy codes, invalid billing identifiers — create revenue loss through claim denials and payment delays.</w:t>
      </w:r>
    </w:p>
    <w:p w14:paraId="66611921" w14:textId="77777777" w:rsidR="00772358" w:rsidRDefault="00000000">
      <w:pPr>
        <w:spacing w:before="60" w:after="120" w:line="280" w:lineRule="auto"/>
        <w:jc w:val="both"/>
      </w:pPr>
      <w:r>
        <w:rPr>
          <w:b/>
          <w:bCs/>
          <w:color w:val="0B4F6C"/>
        </w:rPr>
        <w:t>Credentialing data elements:</w:t>
      </w:r>
      <w:r>
        <w:t xml:space="preserve"> Medical school and residency verification, board certification, state licensure (all active states), DEA registration, malpractice history (National Practitioner Data Bank query), exclusion screening (OIG, SAM.gov), hospital privileges, and peer references.</w:t>
      </w:r>
    </w:p>
    <w:p w14:paraId="360DF5CF" w14:textId="77777777" w:rsidR="00772358" w:rsidRDefault="00000000">
      <w:pPr>
        <w:spacing w:before="60" w:after="120" w:line="280" w:lineRule="auto"/>
        <w:jc w:val="both"/>
      </w:pPr>
      <w:r>
        <w:rPr>
          <w:b/>
          <w:bCs/>
          <w:color w:val="0B4F6C"/>
        </w:rPr>
        <w:t>GCC opportunity:</w:t>
      </w:r>
      <w:r>
        <w:t xml:space="preserve"> Credentialing primary source verification, </w:t>
      </w:r>
      <w:proofErr w:type="spellStart"/>
      <w:r>
        <w:t>enrollment</w:t>
      </w:r>
      <w:proofErr w:type="spellEnd"/>
      <w:r>
        <w:t xml:space="preserve"> application processing, CAQH profile maintenance, payer portal management, and re-credentialing monitoring are high-volume, rules-based functions with significant GCC delivery potential.</w:t>
      </w:r>
    </w:p>
    <w:p w14:paraId="509BD27A" w14:textId="77777777" w:rsidR="00772358" w:rsidRDefault="00000000">
      <w:pPr>
        <w:pStyle w:val="Heading2"/>
        <w:pBdr>
          <w:bottom w:val="single" w:sz="4" w:space="2" w:color="E8A020"/>
        </w:pBdr>
      </w:pPr>
      <w:r>
        <w:t>3.4 Ambulatory Surgery Center (ASC) and Hospital at Home Models</w:t>
      </w:r>
    </w:p>
    <w:p w14:paraId="04E668B7" w14:textId="77777777" w:rsidR="00772358" w:rsidRDefault="00000000">
      <w:pPr>
        <w:spacing w:before="60" w:after="120" w:line="280" w:lineRule="auto"/>
        <w:jc w:val="both"/>
      </w:pPr>
      <w:r>
        <w:rPr>
          <w:b/>
          <w:bCs/>
          <w:color w:val="0B4F6C"/>
        </w:rPr>
        <w:t xml:space="preserve">Ambulatory Surgery </w:t>
      </w:r>
      <w:proofErr w:type="spellStart"/>
      <w:r>
        <w:rPr>
          <w:b/>
          <w:bCs/>
          <w:color w:val="0B4F6C"/>
        </w:rPr>
        <w:t>Centers</w:t>
      </w:r>
      <w:proofErr w:type="spellEnd"/>
      <w:r>
        <w:t xml:space="preserve"> are free-standing outpatient surgical facilities that perform procedures that do not require hospital admission. ASCs represent the most significant site-of-care shift in surgical delivery — driven by payer pressure to move appropriate cases from hospital outpatient to ASC settings (at 40–60% lower reimbursement) and by patient preference for convenience.</w:t>
      </w:r>
    </w:p>
    <w:p w14:paraId="164BF885" w14:textId="77777777" w:rsidR="00772358" w:rsidRDefault="00000000">
      <w:pPr>
        <w:spacing w:before="60" w:after="120" w:line="280" w:lineRule="auto"/>
        <w:jc w:val="both"/>
      </w:pPr>
      <w:r>
        <w:rPr>
          <w:b/>
          <w:bCs/>
          <w:color w:val="0B4F6C"/>
        </w:rPr>
        <w:t>Hospital at Home</w:t>
      </w:r>
      <w:r>
        <w:t xml:space="preserve"> programs — accelerated by the CMS Acute Hospital Care at Home waiver during COVID-19 — provide hospital-level care in the patient's home for medically appropriate admissions. Hospital at Home requires a sophisticated remote monitoring, nursing visit, and physician oversight infrastructure that is increasingly supported by AI-powered monitoring platforms and GCC-delivered clinical support teams.</w:t>
      </w:r>
    </w:p>
    <w:p w14:paraId="7B89B717" w14:textId="77777777" w:rsidR="00772358" w:rsidRDefault="00000000">
      <w:pPr>
        <w:pStyle w:val="Heading2"/>
        <w:pBdr>
          <w:bottom w:val="single" w:sz="4" w:space="2" w:color="E8A020"/>
        </w:pBdr>
      </w:pPr>
      <w:r>
        <w:t>Questions for Leadership</w:t>
      </w:r>
    </w:p>
    <w:p w14:paraId="6D41F712" w14:textId="77777777" w:rsidR="00772358" w:rsidRDefault="00000000">
      <w:pPr>
        <w:spacing w:before="60" w:after="120" w:line="280" w:lineRule="auto"/>
        <w:jc w:val="both"/>
      </w:pPr>
      <w:r>
        <w:t>What is your organisation's provider credentialing cycle time from application to privileges, and where are the top delay points? Has the organisation modelled the site-of-care economics of migrating appropriate surgical volume to ASC settings? Is the clinical governance framework operating as an integrated system, or as seven separate departmental functions?</w:t>
      </w:r>
    </w:p>
    <w:p w14:paraId="16B06859" w14:textId="77777777" w:rsidR="00772358" w:rsidRDefault="00000000">
      <w:pPr>
        <w:spacing w:before="60" w:after="120" w:line="280" w:lineRule="auto"/>
        <w:jc w:val="both"/>
      </w:pPr>
      <w:r>
        <w:rPr>
          <w:i/>
          <w:iCs/>
        </w:rPr>
        <w:t>Chapter 3 complete.</w:t>
      </w:r>
    </w:p>
    <w:p w14:paraId="089FED16" w14:textId="77777777" w:rsidR="00772358" w:rsidRDefault="00000000">
      <w:pPr>
        <w:pStyle w:val="Heading2"/>
        <w:pBdr>
          <w:bottom w:val="single" w:sz="4" w:space="2" w:color="E8A020"/>
        </w:pBdr>
      </w:pPr>
      <w:r>
        <w:t>3.3 Charge Capture and CDI Integration</w:t>
      </w:r>
    </w:p>
    <w:p w14:paraId="7A5714CB" w14:textId="77777777" w:rsidR="00772358" w:rsidRDefault="00000000">
      <w:pPr>
        <w:spacing w:before="60" w:after="120" w:line="280" w:lineRule="auto"/>
        <w:jc w:val="both"/>
      </w:pPr>
      <w:r>
        <w:t>The financial integrity of the provider depends on capturing the full revenue attributable to every clinical encounter. Charge capture failures — services rendered but never billed — are invisible losses that only systematic reconciliation reveals. Best-practice charge capture reconciles clinical orders against charges posted within 24 hours, escalating late or missing charges for review before the claim is generated.</w:t>
      </w:r>
    </w:p>
    <w:p w14:paraId="79C5AB99" w14:textId="77777777" w:rsidR="00772358" w:rsidRDefault="00000000">
      <w:pPr>
        <w:spacing w:before="60" w:after="120" w:line="280" w:lineRule="auto"/>
        <w:jc w:val="both"/>
      </w:pPr>
      <w:r>
        <w:rPr>
          <w:b/>
          <w:bCs/>
          <w:color w:val="0B4F6C"/>
        </w:rPr>
        <w:t>Chargemaster governance:</w:t>
      </w:r>
      <w:r>
        <w:t xml:space="preserve"> The charge description master (CDM) must be reviewed quarterly for CPT code accuracy, CMS compliance, and pricing competitiveness. Outdated CDMs — with retired CPT codes, incorrect revenue codes, or prices that no longer reflect contractual realities — generate systematic billing errors that compound across thousands of claims before detection.</w:t>
      </w:r>
    </w:p>
    <w:p w14:paraId="2F551687" w14:textId="77777777" w:rsidR="00772358" w:rsidRDefault="00000000">
      <w:pPr>
        <w:spacing w:before="60" w:after="120" w:line="280" w:lineRule="auto"/>
        <w:jc w:val="both"/>
      </w:pPr>
      <w:r>
        <w:rPr>
          <w:b/>
          <w:bCs/>
          <w:color w:val="0B4F6C"/>
        </w:rPr>
        <w:t>CDI integration at the point of care:</w:t>
      </w:r>
      <w:r>
        <w:t xml:space="preserve"> The most effective CDI programs embed CDI specialists in clinical units during patient care, reviewing documentation in real time and querying physicians before the encounter closes. Concurrent CDI achieves query response rates of 85–95% versus 65–75% for retrospective review, generating higher case mix index improvement and more accurate risk-adjusted quality reporting.</w:t>
      </w:r>
    </w:p>
    <w:p w14:paraId="6E4DFBF4" w14:textId="77777777" w:rsidR="00772358" w:rsidRDefault="00000000">
      <w:pPr>
        <w:spacing w:before="60" w:after="120" w:line="280" w:lineRule="auto"/>
        <w:jc w:val="both"/>
      </w:pPr>
      <w:r>
        <w:rPr>
          <w:b/>
          <w:bCs/>
          <w:color w:val="0B4F6C"/>
        </w:rPr>
        <w:t>Hospitalist programs:</w:t>
      </w:r>
      <w:r>
        <w:t xml:space="preserve"> Hospitalist medicine — hospital-based physicians who manage inpatient medical cases — has become the dominant care model for adult inpatient medicine. Hospitalist documentation quality is a primary CDI target because hospitalists manage the highest volume of complex inpatient cases and their documentation most directly drives DRG assignment. CDI programs that build strong working relationships with hospitalist groups through education and feedback consistently outperform those that rely on query alone.</w:t>
      </w:r>
    </w:p>
    <w:p w14:paraId="40C7A159" w14:textId="77777777" w:rsidR="00772358" w:rsidRDefault="00000000">
      <w:pPr>
        <w:pStyle w:val="Heading2"/>
        <w:pBdr>
          <w:bottom w:val="single" w:sz="4" w:space="2" w:color="E8A020"/>
        </w:pBdr>
      </w:pPr>
      <w:r>
        <w:t>3.4 Care Coordination and Transitional Care</w:t>
      </w:r>
    </w:p>
    <w:p w14:paraId="4585A7C7" w14:textId="77777777" w:rsidR="00772358" w:rsidRDefault="00000000">
      <w:pPr>
        <w:spacing w:before="60" w:after="120" w:line="280" w:lineRule="auto"/>
        <w:jc w:val="both"/>
      </w:pPr>
      <w:r>
        <w:t>The transition from hospital to post-acute care — the handoff from inpatient to rehabilitation, skilled nursing, home health, or outpatient follow-up — is the highest-risk juncture in the care continuum. Preventable readmissions within 30 days of discharge cost the average large health system $5–15 million annually in CMS penalties under the Hospital Readmissions Reduction Program. Digital care coordination tools that automate discharge instructions, medication reconciliation, follow-up appointment scheduling, and remote patient monitoring alerts are demonstrating 15–25% reductions in 30-day readmission rates at organisations with mature implementation.</w:t>
      </w:r>
    </w:p>
    <w:p w14:paraId="33824BF8" w14:textId="77777777" w:rsidR="00772358" w:rsidRDefault="00000000">
      <w:pPr>
        <w:spacing w:before="60" w:after="120" w:line="280" w:lineRule="auto"/>
        <w:jc w:val="both"/>
      </w:pPr>
      <w:r>
        <w:rPr>
          <w:b/>
          <w:bCs/>
          <w:color w:val="0B4F6C"/>
        </w:rPr>
        <w:t>Transition of care programs:</w:t>
      </w:r>
      <w:r>
        <w:t xml:space="preserve"> High-risk discharge programs that identify patients at elevated readmission risk using predictive models (incorporating diagnosis complexity, prior utilisation, social determinants, and post-discharge support availability) and assign care coordinators or community health workers to support the first 30 days post-discharge have demonstrated readmission reductions of 18–32% in published studies.</w:t>
      </w:r>
    </w:p>
    <w:p w14:paraId="28A9384B" w14:textId="77777777" w:rsidR="00772358" w:rsidRDefault="00000000">
      <w:pPr>
        <w:pStyle w:val="Heading2"/>
        <w:pBdr>
          <w:bottom w:val="single" w:sz="4" w:space="2" w:color="E8A020"/>
        </w:pBdr>
      </w:pPr>
      <w:r>
        <w:t>3.5 GCC Opportunity — Provider Operations</w:t>
      </w:r>
    </w:p>
    <w:p w14:paraId="7EE16EDB"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72358" w14:paraId="4235BD7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2966D10E" w14:textId="77777777" w:rsidR="00772358" w:rsidRDefault="00000000">
            <w:r>
              <w:rPr>
                <w:b/>
                <w:bCs/>
                <w:color w:val="FFFFFF"/>
                <w:sz w:val="18"/>
                <w:szCs w:val="18"/>
              </w:rPr>
              <w:t>Function</w:t>
            </w:r>
          </w:p>
        </w:tc>
        <w:tc>
          <w:tcPr>
            <w:tcW w:w="312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686EC58C" w14:textId="77777777" w:rsidR="00772358" w:rsidRDefault="00000000">
            <w:r>
              <w:rPr>
                <w:b/>
                <w:bCs/>
                <w:color w:val="FFFFFF"/>
                <w:sz w:val="18"/>
                <w:szCs w:val="18"/>
              </w:rPr>
              <w:t>GCC Fit</w:t>
            </w:r>
          </w:p>
        </w:tc>
        <w:tc>
          <w:tcPr>
            <w:tcW w:w="312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7C9D864A" w14:textId="77777777" w:rsidR="00772358" w:rsidRDefault="00000000">
            <w:r>
              <w:rPr>
                <w:b/>
                <w:bCs/>
                <w:color w:val="FFFFFF"/>
                <w:sz w:val="18"/>
                <w:szCs w:val="18"/>
              </w:rPr>
              <w:t>Value Driver</w:t>
            </w:r>
          </w:p>
        </w:tc>
      </w:tr>
      <w:tr w:rsidR="00772358" w14:paraId="6D7C90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22B17BEF" w14:textId="77777777" w:rsidR="00772358" w:rsidRDefault="00000000">
            <w:r>
              <w:rPr>
                <w:sz w:val="18"/>
                <w:szCs w:val="18"/>
              </w:rPr>
              <w:t>Pre-registration &amp; demographics</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0DEC382C" w14:textId="77777777" w:rsidR="00772358" w:rsidRDefault="00000000">
            <w:r>
              <w:rPr>
                <w:sz w:val="18"/>
                <w:szCs w:val="18"/>
              </w:rPr>
              <w:t>Excellent</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3A33BA3D" w14:textId="77777777" w:rsidR="00772358" w:rsidRDefault="00000000">
            <w:r>
              <w:rPr>
                <w:sz w:val="18"/>
                <w:szCs w:val="18"/>
              </w:rPr>
              <w:t>Volume, rules-based, high impact</w:t>
            </w:r>
          </w:p>
        </w:tc>
      </w:tr>
      <w:tr w:rsidR="00772358" w14:paraId="231ECE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5EB5C148" w14:textId="77777777" w:rsidR="00772358" w:rsidRDefault="00000000">
            <w:r>
              <w:rPr>
                <w:sz w:val="18"/>
                <w:szCs w:val="18"/>
              </w:rPr>
              <w:t>Eligibility verification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7DC4DA9E" w14:textId="77777777" w:rsidR="00772358" w:rsidRDefault="00000000">
            <w:r>
              <w:rPr>
                <w:sz w:val="18"/>
                <w:szCs w:val="18"/>
              </w:rPr>
              <w:t>Excellent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0403DC15" w14:textId="77777777" w:rsidR="00772358" w:rsidRDefault="00000000">
            <w:r>
              <w:rPr>
                <w:sz w:val="18"/>
                <w:szCs w:val="18"/>
              </w:rPr>
              <w:t>High throughput, automation-ready</w:t>
            </w:r>
          </w:p>
        </w:tc>
      </w:tr>
      <w:tr w:rsidR="00772358" w14:paraId="370FA5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6FEC5DED" w14:textId="77777777" w:rsidR="00772358" w:rsidRDefault="00000000">
            <w:r>
              <w:rPr>
                <w:sz w:val="18"/>
                <w:szCs w:val="18"/>
              </w:rPr>
              <w:t>CDI support (concurrent)</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59DC3014" w14:textId="77777777" w:rsidR="00772358" w:rsidRDefault="00000000">
            <w:r>
              <w:rPr>
                <w:sz w:val="18"/>
                <w:szCs w:val="18"/>
              </w:rPr>
              <w:t>Good</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6F2D4727" w14:textId="77777777" w:rsidR="00772358" w:rsidRDefault="00000000">
            <w:r>
              <w:rPr>
                <w:sz w:val="18"/>
                <w:szCs w:val="18"/>
              </w:rPr>
              <w:t>Requires clinical training</w:t>
            </w:r>
          </w:p>
        </w:tc>
      </w:tr>
      <w:tr w:rsidR="00772358" w14:paraId="3CF56B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6E5A20EA" w14:textId="77777777" w:rsidR="00772358" w:rsidRDefault="00000000">
            <w:r>
              <w:rPr>
                <w:sz w:val="18"/>
                <w:szCs w:val="18"/>
              </w:rPr>
              <w:t>Coding (inpatient DRG)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12AD9BDC" w14:textId="77777777" w:rsidR="00772358" w:rsidRDefault="00000000">
            <w:r>
              <w:rPr>
                <w:sz w:val="18"/>
                <w:szCs w:val="18"/>
              </w:rPr>
              <w:t>Excellent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2940FB4C" w14:textId="77777777" w:rsidR="00772358" w:rsidRDefault="00000000">
            <w:r>
              <w:rPr>
                <w:sz w:val="18"/>
                <w:szCs w:val="18"/>
              </w:rPr>
              <w:t>Core GCC capability</w:t>
            </w:r>
          </w:p>
        </w:tc>
      </w:tr>
      <w:tr w:rsidR="00772358" w14:paraId="4285D05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2E1D6BA6" w14:textId="77777777" w:rsidR="00772358" w:rsidRDefault="00000000">
            <w:r>
              <w:rPr>
                <w:sz w:val="18"/>
                <w:szCs w:val="18"/>
              </w:rPr>
              <w:t>Denial analytics</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39B79207" w14:textId="77777777" w:rsidR="00772358" w:rsidRDefault="00000000">
            <w:r>
              <w:rPr>
                <w:sz w:val="18"/>
                <w:szCs w:val="18"/>
              </w:rPr>
              <w:t>Excellent</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5269DE66" w14:textId="77777777" w:rsidR="00772358" w:rsidRDefault="00000000">
            <w:r>
              <w:rPr>
                <w:sz w:val="18"/>
                <w:szCs w:val="18"/>
              </w:rPr>
              <w:t>Analytics factory model</w:t>
            </w:r>
          </w:p>
        </w:tc>
      </w:tr>
      <w:tr w:rsidR="00772358" w14:paraId="5AB4BE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22955E10" w14:textId="77777777" w:rsidR="00772358" w:rsidRDefault="00000000">
            <w:r>
              <w:rPr>
                <w:sz w:val="18"/>
                <w:szCs w:val="18"/>
              </w:rPr>
              <w:t>Charge reconciliation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57464CD9" w14:textId="77777777" w:rsidR="00772358" w:rsidRDefault="00000000">
            <w:r>
              <w:rPr>
                <w:sz w:val="18"/>
                <w:szCs w:val="18"/>
              </w:rPr>
              <w:t>Excellent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3EFF1426" w14:textId="77777777" w:rsidR="00772358" w:rsidRDefault="00000000">
            <w:r>
              <w:rPr>
                <w:sz w:val="18"/>
                <w:szCs w:val="18"/>
              </w:rPr>
              <w:t>Rules-based, daily cadence</w:t>
            </w:r>
          </w:p>
        </w:tc>
      </w:tr>
      <w:tr w:rsidR="00772358" w14:paraId="243932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62F0FCBF" w14:textId="77777777" w:rsidR="00772358" w:rsidRDefault="00000000">
            <w:r>
              <w:rPr>
                <w:sz w:val="18"/>
                <w:szCs w:val="18"/>
              </w:rPr>
              <w:t>Care coordination support</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521D05E6" w14:textId="77777777" w:rsidR="00772358" w:rsidRDefault="00000000">
            <w:r>
              <w:rPr>
                <w:sz w:val="18"/>
                <w:szCs w:val="18"/>
              </w:rPr>
              <w:t>Good</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3E783294" w14:textId="77777777" w:rsidR="00772358" w:rsidRDefault="00000000">
            <w:r>
              <w:rPr>
                <w:sz w:val="18"/>
                <w:szCs w:val="18"/>
              </w:rPr>
              <w:t>Structured outreach workflows</w:t>
            </w:r>
          </w:p>
        </w:tc>
      </w:tr>
      <w:tr w:rsidR="00772358" w14:paraId="07C46C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4150778F" w14:textId="77777777" w:rsidR="00772358" w:rsidRDefault="00000000">
            <w:r>
              <w:rPr>
                <w:sz w:val="18"/>
                <w:szCs w:val="18"/>
              </w:rPr>
              <w:t>Reporting &amp; dashboards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47077B5F" w14:textId="77777777" w:rsidR="00772358" w:rsidRDefault="00000000">
            <w:r>
              <w:rPr>
                <w:sz w:val="18"/>
                <w:szCs w:val="18"/>
              </w:rPr>
              <w:t>Excellent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0514BDDD" w14:textId="77777777" w:rsidR="00772358" w:rsidRDefault="00000000">
            <w:r>
              <w:rPr>
                <w:sz w:val="18"/>
                <w:szCs w:val="18"/>
              </w:rPr>
              <w:t>Analytics tower model</w:t>
            </w:r>
          </w:p>
        </w:tc>
      </w:tr>
    </w:tbl>
    <w:p w14:paraId="157B9579" w14:textId="77777777" w:rsidR="00772358" w:rsidRDefault="00772358">
      <w:pPr>
        <w:spacing w:after="80"/>
      </w:pPr>
    </w:p>
    <w:p w14:paraId="41221215" w14:textId="77777777" w:rsidR="00772358" w:rsidRDefault="00000000">
      <w:r>
        <w:br/>
      </w:r>
    </w:p>
    <w:p w14:paraId="531C8246" w14:textId="77777777" w:rsidR="00772358" w:rsidRDefault="00000000">
      <w:pPr>
        <w:shd w:val="clear" w:color="auto" w:fill="072D3D"/>
        <w:spacing w:after="100"/>
        <w:jc w:val="center"/>
      </w:pPr>
      <w:r>
        <w:rPr>
          <w:b/>
          <w:bCs/>
          <w:color w:val="E8A020"/>
          <w:sz w:val="24"/>
          <w:szCs w:val="24"/>
        </w:rPr>
        <w:t>PART II</w:t>
      </w:r>
    </w:p>
    <w:p w14:paraId="07BE9EAF" w14:textId="77777777" w:rsidR="00772358" w:rsidRDefault="00000000">
      <w:pPr>
        <w:pBdr>
          <w:bottom w:val="single" w:sz="8" w:space="8" w:color="E8A020"/>
        </w:pBdr>
        <w:shd w:val="clear" w:color="auto" w:fill="072D3D"/>
        <w:spacing w:after="600"/>
        <w:jc w:val="center"/>
      </w:pPr>
      <w:r>
        <w:rPr>
          <w:b/>
          <w:bCs/>
          <w:color w:val="FFFFFF"/>
          <w:sz w:val="44"/>
          <w:szCs w:val="44"/>
        </w:rPr>
        <w:t>Payer &amp; Provider Operations</w:t>
      </w:r>
    </w:p>
    <w:p w14:paraId="36DA5E97" w14:textId="77777777" w:rsidR="00772358" w:rsidRDefault="00000000">
      <w:r>
        <w:br/>
      </w:r>
    </w:p>
    <w:p w14:paraId="726B977A" w14:textId="77777777" w:rsidR="00772358" w:rsidRDefault="00000000">
      <w:pPr>
        <w:pStyle w:val="Heading1"/>
        <w:pBdr>
          <w:bottom w:val="single" w:sz="8" w:space="4" w:color="E8A020"/>
        </w:pBdr>
        <w:shd w:val="clear" w:color="auto" w:fill="0B4F6C"/>
        <w:ind w:left="160" w:right="160"/>
      </w:pPr>
      <w:r>
        <w:t>Chapter 4: Payer Domain — Claims Administration &amp; Risk Adjustment</w:t>
      </w:r>
    </w:p>
    <w:p w14:paraId="249F0E3F"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36190D86" w14:textId="77777777">
        <w:tblPrEx>
          <w:tblCellMar>
            <w:top w:w="0" w:type="dxa"/>
            <w:bottom w:w="0" w:type="dxa"/>
          </w:tblCellMar>
        </w:tblPrEx>
        <w:tc>
          <w:tcPr>
            <w:tcW w:w="9360" w:type="dxa"/>
            <w:tcBorders>
              <w:top w:val="single" w:sz="6" w:space="0" w:color="17A8C8"/>
              <w:left w:val="single" w:sz="18" w:space="0" w:color="17A8C8"/>
              <w:bottom w:val="single" w:sz="6" w:space="0" w:color="17A8C8"/>
              <w:right w:val="single" w:sz="6" w:space="0" w:color="17A8C8"/>
            </w:tcBorders>
            <w:shd w:val="clear" w:color="auto" w:fill="E8F8FC"/>
            <w:tcMar>
              <w:top w:w="140" w:type="dxa"/>
              <w:left w:w="200" w:type="dxa"/>
              <w:bottom w:w="140" w:type="dxa"/>
              <w:right w:w="200" w:type="dxa"/>
            </w:tcMar>
          </w:tcPr>
          <w:p w14:paraId="04F24229" w14:textId="77777777" w:rsidR="00772358" w:rsidRDefault="00000000">
            <w:pPr>
              <w:spacing w:after="80"/>
            </w:pPr>
            <w:r>
              <w:rPr>
                <w:b/>
                <w:bCs/>
                <w:color w:val="E8A020"/>
                <w:sz w:val="17"/>
                <w:szCs w:val="17"/>
              </w:rPr>
              <w:t>EXECUTIVE SUMMARY</w:t>
            </w:r>
          </w:p>
          <w:p w14:paraId="5CE0C601" w14:textId="77777777" w:rsidR="00772358" w:rsidRDefault="00000000">
            <w:pPr>
              <w:jc w:val="both"/>
            </w:pPr>
            <w:r>
              <w:rPr>
                <w:i/>
                <w:iCs/>
                <w:sz w:val="20"/>
                <w:szCs w:val="20"/>
              </w:rPr>
              <w:t>Payers sit at the financial centre of the healthcare system — managing the risk, benefits, and payments for hundreds of millions of Americans across commercial, Medicare Advantage, and Medicaid managed care programs. Their operational complexity is enormous: every plan has unique benefit designs, network configurations, authorisation requirements, and medical policies. Their financial stakes are high: a 1% improvement in medical cost management at a large payer translates to hundreds of millions of dollars. This chapter examines the payer operating model, the CMS-HCC V28 risk adjustment transition, the claims adjudication architecture, and the GCC opportunities across payer operations.</w:t>
            </w:r>
          </w:p>
        </w:tc>
      </w:tr>
    </w:tbl>
    <w:p w14:paraId="7A289C80" w14:textId="77777777" w:rsidR="00772358" w:rsidRDefault="00772358">
      <w:pPr>
        <w:spacing w:after="80"/>
      </w:pPr>
    </w:p>
    <w:p w14:paraId="0308DE01" w14:textId="77777777" w:rsidR="00772358" w:rsidRDefault="00000000">
      <w:pPr>
        <w:pStyle w:val="Heading2"/>
        <w:pBdr>
          <w:bottom w:val="single" w:sz="4" w:space="2" w:color="E8A020"/>
        </w:pBdr>
      </w:pPr>
      <w:r>
        <w:t>4.1 The Payer Operating Model</w:t>
      </w:r>
    </w:p>
    <w:p w14:paraId="06397773" w14:textId="77777777" w:rsidR="00772358" w:rsidRDefault="00000000">
      <w:pPr>
        <w:spacing w:before="60" w:after="120" w:line="280" w:lineRule="auto"/>
        <w:jc w:val="both"/>
      </w:pPr>
      <w:r>
        <w:t>Payer organisations operate across five interconnected functional domains.</w:t>
      </w:r>
    </w:p>
    <w:p w14:paraId="65A83B43" w14:textId="77777777" w:rsidR="00772358" w:rsidRDefault="00000000">
      <w:pPr>
        <w:spacing w:before="60" w:after="120" w:line="280" w:lineRule="auto"/>
        <w:jc w:val="both"/>
      </w:pPr>
      <w:r>
        <w:rPr>
          <w:b/>
          <w:bCs/>
          <w:color w:val="0B4F6C"/>
        </w:rPr>
        <w:t xml:space="preserve">Member services and </w:t>
      </w:r>
      <w:proofErr w:type="spellStart"/>
      <w:r>
        <w:rPr>
          <w:b/>
          <w:bCs/>
          <w:color w:val="0B4F6C"/>
        </w:rPr>
        <w:t>enrollment</w:t>
      </w:r>
      <w:proofErr w:type="spellEnd"/>
      <w:r>
        <w:rPr>
          <w:b/>
          <w:bCs/>
          <w:color w:val="0B4F6C"/>
        </w:rPr>
        <w:t>.</w:t>
      </w:r>
      <w:r>
        <w:t xml:space="preserve"> Managing the member lifecycle from application and eligibility determination through ongoing benefits administration, member communications, and disenrollment. Member </w:t>
      </w:r>
      <w:proofErr w:type="spellStart"/>
      <w:r>
        <w:t>enrollment</w:t>
      </w:r>
      <w:proofErr w:type="spellEnd"/>
      <w:r>
        <w:t xml:space="preserve"> accuracy is foundational to all downstream operations — eligibility errors propagate through claims adjudication, prior authorisation, and member experience.</w:t>
      </w:r>
    </w:p>
    <w:p w14:paraId="01F66AED" w14:textId="77777777" w:rsidR="00772358" w:rsidRDefault="00000000">
      <w:pPr>
        <w:spacing w:before="60" w:after="120" w:line="280" w:lineRule="auto"/>
        <w:jc w:val="both"/>
      </w:pPr>
      <w:r>
        <w:rPr>
          <w:b/>
          <w:bCs/>
          <w:color w:val="0B4F6C"/>
        </w:rPr>
        <w:t>Network management.</w:t>
      </w:r>
      <w:r>
        <w:t xml:space="preserve"> Recruiting, contracting, credentialing, and managing the provider network that serves plan members. Network adequacy — having sufficient providers within geographic access standards for each specialty — is a regulatory requirement and a competitive differentiator. Network management GCCs own provider data management, contract loading, credentialing support, and directory accuracy maintenance.</w:t>
      </w:r>
    </w:p>
    <w:p w14:paraId="6570B85F" w14:textId="77777777" w:rsidR="00772358" w:rsidRDefault="00000000">
      <w:pPr>
        <w:spacing w:before="60" w:after="120" w:line="280" w:lineRule="auto"/>
        <w:jc w:val="both"/>
      </w:pPr>
      <w:r>
        <w:rPr>
          <w:b/>
          <w:bCs/>
          <w:color w:val="0B4F6C"/>
        </w:rPr>
        <w:t>Claims administration.</w:t>
      </w:r>
      <w:r>
        <w:t xml:space="preserve"> The full claims lifecycle from intake through adjudication, payment, and appeals. Claims operations are the highest-volume, most rules-intensive, and most automation-receptive function in payer organisations. The claims adjudication architecture is detailed in Section 4.3.</w:t>
      </w:r>
    </w:p>
    <w:p w14:paraId="305E1026" w14:textId="77777777" w:rsidR="00772358" w:rsidRDefault="00000000">
      <w:pPr>
        <w:spacing w:before="60" w:after="120" w:line="280" w:lineRule="auto"/>
        <w:jc w:val="both"/>
      </w:pPr>
      <w:r>
        <w:rPr>
          <w:b/>
          <w:bCs/>
          <w:color w:val="0B4F6C"/>
        </w:rPr>
        <w:t>Medical management.</w:t>
      </w:r>
      <w:r>
        <w:t xml:space="preserve"> Utilisation management (prior authorisation, concurrent review, discharge planning), case management, disease management, and care management programs that collectively determine how efficiently plan members use healthcare services. Medical management is the primary lever for controlling the Medical Loss Ratio.</w:t>
      </w:r>
    </w:p>
    <w:p w14:paraId="239E410C" w14:textId="77777777" w:rsidR="00772358" w:rsidRDefault="00000000">
      <w:pPr>
        <w:spacing w:before="60" w:after="120" w:line="280" w:lineRule="auto"/>
        <w:jc w:val="both"/>
      </w:pPr>
      <w:r>
        <w:rPr>
          <w:b/>
          <w:bCs/>
          <w:color w:val="0B4F6C"/>
        </w:rPr>
        <w:t>Analytics and actuarial.</w:t>
      </w:r>
      <w:r>
        <w:t xml:space="preserve"> Risk adjustment, premium setting, reserve management, quality reporting (HEDIS, STAR), and population health analytics. Analytics functions are increasingly the strategic differentiator between payers — organisations with superior predictive models for risk stratification, denials management, and fraud detection consistently outperform peers on both MLR and member satisfaction.</w:t>
      </w:r>
    </w:p>
    <w:p w14:paraId="09322887" w14:textId="77777777" w:rsidR="00772358" w:rsidRDefault="00000000">
      <w:pPr>
        <w:pStyle w:val="Heading2"/>
        <w:pBdr>
          <w:bottom w:val="single" w:sz="4" w:space="2" w:color="E8A020"/>
        </w:pBdr>
      </w:pPr>
      <w:r>
        <w:t>4.2 CMS-HCC V28: The Risk Adjustment Revolution</w:t>
      </w:r>
    </w:p>
    <w:p w14:paraId="64497B3D" w14:textId="77777777" w:rsidR="00772358" w:rsidRDefault="00000000">
      <w:pPr>
        <w:spacing w:before="60" w:after="120" w:line="280" w:lineRule="auto"/>
        <w:jc w:val="both"/>
      </w:pPr>
      <w:r>
        <w:t>The CMS Hierarchical Condition Category (HCC) risk adjustment model is used to adjust Medicare Advantage capitation payments based on the expected health needs of each plan's enrolled population. A plan with sicker members (higher risk scores) receives higher capitation payments; a plan with healthier members receives lower payments.</w:t>
      </w:r>
    </w:p>
    <w:p w14:paraId="7209B5D7" w14:textId="77777777" w:rsidR="00772358" w:rsidRDefault="00000000">
      <w:pPr>
        <w:spacing w:before="60" w:after="120" w:line="280" w:lineRule="auto"/>
        <w:jc w:val="both"/>
      </w:pPr>
      <w:r>
        <w:rPr>
          <w:b/>
          <w:bCs/>
          <w:color w:val="0B4F6C"/>
        </w:rPr>
        <w:t>V28 transition.</w:t>
      </w:r>
      <w:r>
        <w:t xml:space="preserve"> CMS implemented HCC V28 in 2024, replacing the V24 model that had been in use since 2015. V28 makes significant changes to the condition hierarchy, adds new condition categories, removes conditions previously used for risk adjustment, and changes the relative weights of conditions. The transition to V28 is expected to reduce risk scores for most Medicare Advantage plans, creating significant pressure on plan economics.</w:t>
      </w:r>
    </w:p>
    <w:p w14:paraId="7991DB68" w14:textId="77777777" w:rsidR="00772358" w:rsidRDefault="00000000">
      <w:pPr>
        <w:spacing w:before="60" w:after="120" w:line="280" w:lineRule="auto"/>
        <w:jc w:val="both"/>
      </w:pPr>
      <w:r>
        <w:rPr>
          <w:b/>
          <w:bCs/>
          <w:color w:val="0B4F6C"/>
        </w:rPr>
        <w:t>Risk adjustment accuracy.</w:t>
      </w:r>
      <w:r>
        <w:t xml:space="preserve"> Plans that accurately identify and document the diagnoses of their enrolled population receive appropriate risk-adjusted payments. Plans that under-document — fail to capture chronic conditions that have been assessed and managed during the plan year — receive less than their actuarially appropriate payment. This creates a financial incentive for robust clinical documentation, retrospective chart review, and member outreach to capture diagnosed conditions.</w:t>
      </w:r>
    </w:p>
    <w:p w14:paraId="6B9B30F8" w14:textId="77777777" w:rsidR="00772358" w:rsidRDefault="00000000">
      <w:pPr>
        <w:spacing w:before="60" w:after="120" w:line="280" w:lineRule="auto"/>
        <w:jc w:val="both"/>
      </w:pPr>
      <w:r>
        <w:rPr>
          <w:b/>
          <w:bCs/>
          <w:color w:val="0B4F6C"/>
        </w:rPr>
        <w:t>GCC risk adjustment operations.</w:t>
      </w:r>
      <w:r>
        <w:t xml:space="preserve"> Risk adjustment coding, chart retrieval, retrospective coding review, provider documentation outreach, and RAF (Risk Adjustment Factor) analytics are GCC-deliverable functions. Major payer GCCs in India are significant contributors to their parent organisations' risk adjustment programs.</w:t>
      </w:r>
    </w:p>
    <w:p w14:paraId="3BB2949A" w14:textId="77777777" w:rsidR="00772358" w:rsidRDefault="00000000">
      <w:pPr>
        <w:pStyle w:val="Heading2"/>
        <w:pBdr>
          <w:bottom w:val="single" w:sz="4" w:space="2" w:color="E8A020"/>
        </w:pBdr>
      </w:pPr>
      <w:r>
        <w:t>4.3 Claims Adjudication Architecture</w:t>
      </w:r>
    </w:p>
    <w:p w14:paraId="4CFBB12F" w14:textId="77777777" w:rsidR="00772358" w:rsidRDefault="00000000">
      <w:pPr>
        <w:spacing w:before="60" w:after="120" w:line="280" w:lineRule="auto"/>
        <w:jc w:val="both"/>
      </w:pPr>
      <w:r>
        <w:t>Claims adjudication is the core payer process that converts submitted claims into payment decisions. The architecture involves multiple sequential stages, each performing specific validations and applying specific business rules.</w:t>
      </w:r>
    </w:p>
    <w:p w14:paraId="6EC93EB9" w14:textId="77777777" w:rsidR="00772358" w:rsidRDefault="00000000">
      <w:pPr>
        <w:spacing w:before="60" w:after="120" w:line="280" w:lineRule="auto"/>
        <w:jc w:val="both"/>
      </w:pPr>
      <w:r>
        <w:rPr>
          <w:b/>
          <w:bCs/>
          <w:color w:val="0B4F6C"/>
        </w:rPr>
        <w:t>Intake and syntax validation.</w:t>
      </w:r>
      <w:r>
        <w:t xml:space="preserve"> The first stage confirms that the claim file is properly formatted (ANSI X12 837 standard), complete, and non-duplicative. Syntax errors trigger rejections before adjudication begins.</w:t>
      </w:r>
    </w:p>
    <w:p w14:paraId="39783991" w14:textId="77777777" w:rsidR="00772358" w:rsidRDefault="00000000">
      <w:pPr>
        <w:spacing w:before="60" w:after="120" w:line="280" w:lineRule="auto"/>
        <w:jc w:val="both"/>
      </w:pPr>
      <w:r>
        <w:rPr>
          <w:b/>
          <w:bCs/>
          <w:color w:val="0B4F6C"/>
        </w:rPr>
        <w:t xml:space="preserve">Eligibility and </w:t>
      </w:r>
      <w:proofErr w:type="spellStart"/>
      <w:r>
        <w:rPr>
          <w:b/>
          <w:bCs/>
          <w:color w:val="0B4F6C"/>
        </w:rPr>
        <w:t>enrollment</w:t>
      </w:r>
      <w:proofErr w:type="spellEnd"/>
      <w:r>
        <w:rPr>
          <w:b/>
          <w:bCs/>
          <w:color w:val="0B4F6C"/>
        </w:rPr>
        <w:t xml:space="preserve"> verification.</w:t>
      </w:r>
      <w:r>
        <w:t xml:space="preserve"> The claim is matched against the member </w:t>
      </w:r>
      <w:proofErr w:type="spellStart"/>
      <w:r>
        <w:t>enrollment</w:t>
      </w:r>
      <w:proofErr w:type="spellEnd"/>
      <w:r>
        <w:t xml:space="preserve"> database to confirm active coverage on the date of service. Coverage type, plan, and effective date are verified.</w:t>
      </w:r>
    </w:p>
    <w:p w14:paraId="54453AFA" w14:textId="77777777" w:rsidR="00772358" w:rsidRDefault="00000000">
      <w:pPr>
        <w:spacing w:before="60" w:after="120" w:line="280" w:lineRule="auto"/>
        <w:jc w:val="both"/>
      </w:pPr>
      <w:r>
        <w:rPr>
          <w:b/>
          <w:bCs/>
          <w:color w:val="0B4F6C"/>
        </w:rPr>
        <w:t>Provider verification.</w:t>
      </w:r>
      <w:r>
        <w:t xml:space="preserve"> The billing and rendering provider NPIs are validated against the provider directory, network status is determined, and taxonomy codes are verified against the billed services.</w:t>
      </w:r>
    </w:p>
    <w:p w14:paraId="7EF477B6" w14:textId="77777777" w:rsidR="00772358" w:rsidRDefault="00000000">
      <w:pPr>
        <w:spacing w:before="60" w:after="120" w:line="280" w:lineRule="auto"/>
        <w:jc w:val="both"/>
      </w:pPr>
      <w:r>
        <w:rPr>
          <w:b/>
          <w:bCs/>
          <w:color w:val="0B4F6C"/>
        </w:rPr>
        <w:t>Benefit and policy application.</w:t>
      </w:r>
      <w:r>
        <w:t xml:space="preserve"> The claim is evaluated against the member's specific benefit plan — copay, coinsurance, deductible, coverage limits, exclusions, and prior authorisation requirements. Medical policy is applied to determine coverage for specific services.</w:t>
      </w:r>
    </w:p>
    <w:p w14:paraId="03A17ABB" w14:textId="77777777" w:rsidR="00772358" w:rsidRDefault="00000000">
      <w:pPr>
        <w:spacing w:before="60" w:after="120" w:line="280" w:lineRule="auto"/>
        <w:jc w:val="both"/>
      </w:pPr>
      <w:r>
        <w:rPr>
          <w:b/>
          <w:bCs/>
          <w:color w:val="0B4F6C"/>
        </w:rPr>
        <w:t>Pricing and payment calculation.</w:t>
      </w:r>
      <w:r>
        <w:t xml:space="preserve"> For in-network providers, contracted rates are applied. For out-of-network providers, applicable reimbursement rules (UCR rates, reference-based pricing, balance billing protections) determine payment.</w:t>
      </w:r>
    </w:p>
    <w:p w14:paraId="64EE03EA" w14:textId="77777777" w:rsidR="00772358" w:rsidRDefault="00000000">
      <w:pPr>
        <w:spacing w:before="60" w:after="120" w:line="280" w:lineRule="auto"/>
        <w:jc w:val="both"/>
      </w:pPr>
      <w:r>
        <w:rPr>
          <w:b/>
          <w:bCs/>
          <w:color w:val="0B4F6C"/>
        </w:rPr>
        <w:t>Coordination of benefits.</w:t>
      </w:r>
      <w:r>
        <w:t xml:space="preserve"> For members with multiple payers, COB rules determine primary versus secondary payment responsibility.</w:t>
      </w:r>
    </w:p>
    <w:p w14:paraId="1A1919C0" w14:textId="77777777" w:rsidR="00772358" w:rsidRDefault="00000000">
      <w:pPr>
        <w:spacing w:before="60" w:after="120" w:line="280" w:lineRule="auto"/>
        <w:jc w:val="both"/>
      </w:pPr>
      <w:r>
        <w:rPr>
          <w:b/>
          <w:bCs/>
          <w:color w:val="0B4F6C"/>
        </w:rPr>
        <w:t>Decisioning and output.</w:t>
      </w:r>
      <w:r>
        <w:t xml:space="preserve"> The claim receives a disposition: pay, deny, pend, or adjust. The ERA (835 transaction) is generated with payment details and denial reason codes.</w:t>
      </w:r>
    </w:p>
    <w:p w14:paraId="4FFDAA40" w14:textId="77777777" w:rsidR="00772358" w:rsidRDefault="00000000">
      <w:pPr>
        <w:pStyle w:val="Heading2"/>
        <w:pBdr>
          <w:bottom w:val="single" w:sz="4" w:space="2" w:color="E8A020"/>
        </w:pBdr>
      </w:pPr>
      <w:r>
        <w:t>4.4 Medical Loss Ratio Management</w:t>
      </w:r>
    </w:p>
    <w:p w14:paraId="51792860" w14:textId="77777777" w:rsidR="00772358" w:rsidRDefault="00000000">
      <w:pPr>
        <w:spacing w:before="60" w:after="120" w:line="280" w:lineRule="auto"/>
        <w:jc w:val="both"/>
      </w:pPr>
      <w:r>
        <w:t>The Medical Loss Ratio (MLR) is the percentage of premium revenue that a health insurer spends on medical claims and quality improvement activities. The ACA mandates minimum MLR of 80% for individual and small group markets and 85% for large group markets. For Medicare Advantage plans, CMS monitors MLR as a financial sustainability indicator.</w:t>
      </w:r>
    </w:p>
    <w:p w14:paraId="300EBD86" w14:textId="77777777" w:rsidR="00772358" w:rsidRDefault="00000000">
      <w:pPr>
        <w:spacing w:before="60" w:after="120" w:line="280" w:lineRule="auto"/>
        <w:jc w:val="both"/>
      </w:pPr>
      <w:r>
        <w:t>Managing MLR requires simultaneous optimisation of the numerator (medical costs) and denominator (premium revenue). Medical cost management includes utilisation management, care management, network strategy, and payment integrity. Revenue management includes accurate risk adjustment, appropriate premium setting, and member mix management.</w:t>
      </w:r>
    </w:p>
    <w:p w14:paraId="40897E91" w14:textId="77777777" w:rsidR="00772358" w:rsidRDefault="00000000">
      <w:pPr>
        <w:spacing w:before="60" w:after="120" w:line="280" w:lineRule="auto"/>
        <w:jc w:val="both"/>
      </w:pPr>
      <w:r>
        <w:rPr>
          <w:b/>
          <w:bCs/>
          <w:color w:val="0B4F6C"/>
        </w:rPr>
        <w:t>Payment integrity</w:t>
      </w:r>
      <w:r>
        <w:t xml:space="preserve"> — detecting and recovering fraudulent, wasteful, and erroneous payments — is a critical MLR management tool. US healthcare fraud, waste, and abuse (FWA) is estimated to cost $300+ billion annually. Payer payment integrity programs using AI, predictive analytics, and clinical review are recovering billions annually in overpayments.</w:t>
      </w:r>
    </w:p>
    <w:p w14:paraId="75C9660D" w14:textId="77777777" w:rsidR="00772358" w:rsidRDefault="00000000">
      <w:pPr>
        <w:pStyle w:val="Heading2"/>
        <w:pBdr>
          <w:bottom w:val="single" w:sz="4" w:space="2" w:color="E8A020"/>
        </w:pBdr>
      </w:pPr>
      <w:r>
        <w:t>Questions for Leadership</w:t>
      </w:r>
    </w:p>
    <w:p w14:paraId="4A5CF7B5" w14:textId="77777777" w:rsidR="00772358" w:rsidRDefault="00000000">
      <w:pPr>
        <w:spacing w:before="60" w:after="120" w:line="280" w:lineRule="auto"/>
        <w:jc w:val="both"/>
      </w:pPr>
      <w:r>
        <w:t>Has the organisation assessed the full financial impact of the CMS-HCC V28 transition on its Medicare Advantage plan risk scores, and is there a documentation improvement program in place to capture appropriately documented conditions? What is the current auto-adjudication rate for your claims operation, and what are the primary barriers to increasing it? Is the payment integrity program using AI-powered anomaly detection, or primarily relying on retrospective audit sampling?</w:t>
      </w:r>
    </w:p>
    <w:p w14:paraId="6B97C5AD" w14:textId="77777777" w:rsidR="00772358" w:rsidRDefault="00000000">
      <w:pPr>
        <w:spacing w:before="60" w:after="120" w:line="280" w:lineRule="auto"/>
        <w:jc w:val="both"/>
      </w:pPr>
      <w:r>
        <w:rPr>
          <w:i/>
          <w:iCs/>
        </w:rPr>
        <w:t>Chapter 4 complete.</w:t>
      </w:r>
    </w:p>
    <w:p w14:paraId="38875F68" w14:textId="77777777" w:rsidR="00772358" w:rsidRDefault="00000000">
      <w:r>
        <w:br/>
      </w:r>
    </w:p>
    <w:p w14:paraId="3C63DF70" w14:textId="77777777" w:rsidR="00772358" w:rsidRDefault="00000000">
      <w:pPr>
        <w:pStyle w:val="Heading1"/>
        <w:pBdr>
          <w:bottom w:val="single" w:sz="8" w:space="4" w:color="E8A020"/>
        </w:pBdr>
        <w:shd w:val="clear" w:color="auto" w:fill="0B4F6C"/>
        <w:ind w:left="160" w:right="160"/>
      </w:pPr>
      <w:r>
        <w:t>Chapter 5: Denial Management &amp; Prevention — The Revenue Recovery Playbook</w:t>
      </w:r>
    </w:p>
    <w:p w14:paraId="5E7FB08A"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0F13FD0C" w14:textId="77777777">
        <w:tblPrEx>
          <w:tblCellMar>
            <w:top w:w="0" w:type="dxa"/>
            <w:bottom w:w="0" w:type="dxa"/>
          </w:tblCellMar>
        </w:tblPrEx>
        <w:tc>
          <w:tcPr>
            <w:tcW w:w="9360" w:type="dxa"/>
            <w:tcBorders>
              <w:top w:val="single" w:sz="6" w:space="0" w:color="17A8C8"/>
              <w:left w:val="single" w:sz="18" w:space="0" w:color="17A8C8"/>
              <w:bottom w:val="single" w:sz="6" w:space="0" w:color="17A8C8"/>
              <w:right w:val="single" w:sz="6" w:space="0" w:color="17A8C8"/>
            </w:tcBorders>
            <w:shd w:val="clear" w:color="auto" w:fill="E8F8FC"/>
            <w:tcMar>
              <w:top w:w="140" w:type="dxa"/>
              <w:left w:w="200" w:type="dxa"/>
              <w:bottom w:w="140" w:type="dxa"/>
              <w:right w:w="200" w:type="dxa"/>
            </w:tcMar>
          </w:tcPr>
          <w:p w14:paraId="63A48AB4" w14:textId="77777777" w:rsidR="00772358" w:rsidRDefault="00000000">
            <w:pPr>
              <w:spacing w:after="80"/>
            </w:pPr>
            <w:r>
              <w:rPr>
                <w:b/>
                <w:bCs/>
                <w:color w:val="E8A020"/>
                <w:sz w:val="17"/>
                <w:szCs w:val="17"/>
              </w:rPr>
              <w:t>EXECUTIVE SUMMARY</w:t>
            </w:r>
          </w:p>
          <w:p w14:paraId="3A69FCCC" w14:textId="77777777" w:rsidR="00772358" w:rsidRDefault="00000000">
            <w:pPr>
              <w:jc w:val="both"/>
            </w:pPr>
            <w:r>
              <w:rPr>
                <w:i/>
                <w:iCs/>
                <w:sz w:val="20"/>
                <w:szCs w:val="20"/>
              </w:rPr>
              <w:t>Denial management is the most strategically consequential function in the revenue cycle. Denials represent 10–15% of gross charges at the average US health system — a revenue leakage that directly compresses operating margins. The Optum 2024 Denials Index confirmed that 84% of denials are potentially avoidable. This means denial management done right is not primarily a back-end recovery function: it is a prevention architecture that addresses the root causes of denials upstream, before claims are submitted. This chapter provides the complete denial management playbook.</w:t>
            </w:r>
          </w:p>
        </w:tc>
      </w:tr>
    </w:tbl>
    <w:p w14:paraId="0CDF6E29" w14:textId="77777777" w:rsidR="00772358" w:rsidRDefault="00772358">
      <w:pPr>
        <w:spacing w:after="80"/>
      </w:pPr>
    </w:p>
    <w:p w14:paraId="7291C23B" w14:textId="77777777" w:rsidR="00772358" w:rsidRDefault="00000000">
      <w:pPr>
        <w:pStyle w:val="Heading2"/>
        <w:pBdr>
          <w:bottom w:val="single" w:sz="4" w:space="2" w:color="E8A020"/>
        </w:pBdr>
      </w:pPr>
      <w:r>
        <w:t>5.1 Denial Taxonomy</w:t>
      </w:r>
    </w:p>
    <w:p w14:paraId="5CD53922" w14:textId="77777777" w:rsidR="00772358" w:rsidRDefault="00000000">
      <w:pPr>
        <w:spacing w:before="200" w:after="80"/>
        <w:jc w:val="center"/>
      </w:pPr>
      <w:r>
        <w:rPr>
          <w:noProof/>
        </w:rPr>
        <w:drawing>
          <wp:inline distT="0" distB="0" distL="0" distR="0" wp14:anchorId="61E7D00E" wp14:editId="1525A339">
            <wp:extent cx="3924300" cy="1704975"/>
            <wp:effectExtent l="0" t="0" r="0" b="0"/>
            <wp:docPr id="2022331057" name="Picture 202233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924300" cy="1704975"/>
                    </a:xfrm>
                    <a:prstGeom prst="rect">
                      <a:avLst/>
                    </a:prstGeom>
                  </pic:spPr>
                </pic:pic>
              </a:graphicData>
            </a:graphic>
          </wp:inline>
        </w:drawing>
      </w:r>
    </w:p>
    <w:p w14:paraId="7AFDB62C" w14:textId="77777777" w:rsidR="00772358" w:rsidRDefault="00000000">
      <w:pPr>
        <w:spacing w:after="200"/>
        <w:jc w:val="center"/>
      </w:pPr>
      <w:r>
        <w:rPr>
          <w:i/>
          <w:iCs/>
          <w:color w:val="5B8FA8"/>
          <w:sz w:val="18"/>
          <w:szCs w:val="18"/>
        </w:rPr>
        <w:t>Figure 5.1: Denial Waterfall — Category Distribution &amp; Prevention Targets</w:t>
      </w:r>
    </w:p>
    <w:p w14:paraId="7242BA9B" w14:textId="77777777" w:rsidR="00772358" w:rsidRDefault="00000000">
      <w:pPr>
        <w:spacing w:before="60" w:after="120" w:line="280" w:lineRule="auto"/>
        <w:jc w:val="both"/>
      </w:pPr>
      <w:r>
        <w:t>A mature denial management system begins with a clear, operational taxonomy. Without consistent classification, denial data cannot drive prevention actions. The industry-standard taxonomy separates denials into five major categories.</w:t>
      </w:r>
    </w:p>
    <w:p w14:paraId="04FDB9A2" w14:textId="77777777" w:rsidR="00772358" w:rsidRDefault="00000000">
      <w:pPr>
        <w:spacing w:before="60" w:after="120" w:line="280" w:lineRule="auto"/>
        <w:jc w:val="both"/>
      </w:pPr>
      <w:r>
        <w:rPr>
          <w:b/>
          <w:bCs/>
          <w:color w:val="0B4F6C"/>
        </w:rPr>
        <w:t>Eligibility and Coverage Denials.</w:t>
      </w:r>
      <w:r>
        <w:t xml:space="preserve"> The patient was not covered on the date of service, the service was not covered under the plan, or the coverage information captured at registration was inaccurate. Prevention: real-time eligibility verification at multiple touchpoints.</w:t>
      </w:r>
    </w:p>
    <w:p w14:paraId="14C72FEE" w14:textId="77777777" w:rsidR="00772358" w:rsidRDefault="00000000">
      <w:pPr>
        <w:spacing w:before="60" w:after="120" w:line="280" w:lineRule="auto"/>
        <w:jc w:val="both"/>
      </w:pPr>
      <w:r>
        <w:rPr>
          <w:b/>
          <w:bCs/>
          <w:color w:val="0B4F6C"/>
        </w:rPr>
        <w:t>Authorization and Pre-Certification Denials.</w:t>
      </w:r>
      <w:r>
        <w:t xml:space="preserve"> A required prior authorisation was not obtained, was obtained for a different service, or was obtained from a different payer. Prevention: payer-specific auth requirement libraries embedded in scheduling and access workflows.</w:t>
      </w:r>
    </w:p>
    <w:p w14:paraId="38867A27" w14:textId="77777777" w:rsidR="00772358" w:rsidRDefault="00000000">
      <w:pPr>
        <w:spacing w:before="60" w:after="120" w:line="280" w:lineRule="auto"/>
        <w:jc w:val="both"/>
      </w:pPr>
      <w:r>
        <w:rPr>
          <w:b/>
          <w:bCs/>
          <w:color w:val="0B4F6C"/>
        </w:rPr>
        <w:t>Coding and Modifier Denials.</w:t>
      </w:r>
      <w:r>
        <w:t xml:space="preserve"> Diagnosis or procedure codes were incorrect, mutually exclusive, unbundled inappropriately, or missing required modifiers. Prevention: CDI programs, coder education, and AI-powered coding review.</w:t>
      </w:r>
    </w:p>
    <w:p w14:paraId="1A0908F4" w14:textId="77777777" w:rsidR="00772358" w:rsidRDefault="00000000">
      <w:pPr>
        <w:spacing w:before="60" w:after="120" w:line="280" w:lineRule="auto"/>
        <w:jc w:val="both"/>
      </w:pPr>
      <w:r>
        <w:rPr>
          <w:b/>
          <w:bCs/>
          <w:color w:val="0B4F6C"/>
        </w:rPr>
        <w:t>Documentation and Medical Necessity Denials.</w:t>
      </w:r>
      <w:r>
        <w:t xml:space="preserve"> The clinical documentation does not support the level of service billed, the diagnosis does not support the procedure, or medical necessity criteria were not met. Prevention: concurrent CDI, physician advisor review, and medical necessity criteria integration in utilisation management.</w:t>
      </w:r>
    </w:p>
    <w:p w14:paraId="67A949DC" w14:textId="77777777" w:rsidR="00772358" w:rsidRDefault="00000000">
      <w:pPr>
        <w:spacing w:before="60" w:after="120" w:line="280" w:lineRule="auto"/>
        <w:jc w:val="both"/>
      </w:pPr>
      <w:r>
        <w:rPr>
          <w:b/>
          <w:bCs/>
          <w:color w:val="0B4F6C"/>
        </w:rPr>
        <w:t>Timely Filing and Administrative Denials.</w:t>
      </w:r>
      <w:r>
        <w:t xml:space="preserve"> The claim was submitted after the payer's filing deadline, or an administrative requirement (NPI, referring provider, taxonomy code) was missing. Prevention: claim submission tracking and workflow management.</w:t>
      </w:r>
    </w:p>
    <w:p w14:paraId="6483793A" w14:textId="77777777" w:rsidR="00772358" w:rsidRDefault="00000000">
      <w:pPr>
        <w:pStyle w:val="Heading2"/>
        <w:pBdr>
          <w:bottom w:val="single" w:sz="4" w:space="2" w:color="E8A020"/>
        </w:pBdr>
      </w:pPr>
      <w:r>
        <w:t>5.2 The Prevention Architecture</w:t>
      </w:r>
    </w:p>
    <w:p w14:paraId="22CE8D06" w14:textId="77777777" w:rsidR="00772358" w:rsidRDefault="00000000">
      <w:pPr>
        <w:spacing w:before="60" w:after="120" w:line="280" w:lineRule="auto"/>
        <w:jc w:val="both"/>
      </w:pPr>
      <w:r>
        <w:t>The HFMA position paper on denial prevention establishes that prevention requires connecting denial codes to operational process origins — not just tracking denial codes in isolation. The prevention architecture must span all three revenue cycle offices.</w:t>
      </w:r>
    </w:p>
    <w:p w14:paraId="6904E8AF" w14:textId="77777777" w:rsidR="00772358" w:rsidRDefault="00000000">
      <w:pPr>
        <w:spacing w:before="60" w:after="120" w:line="280" w:lineRule="auto"/>
        <w:jc w:val="both"/>
      </w:pPr>
      <w:r>
        <w:rPr>
          <w:b/>
          <w:bCs/>
          <w:color w:val="0B4F6C"/>
        </w:rPr>
        <w:t>Front-end prevention:</w:t>
      </w:r>
      <w:r>
        <w:t xml:space="preserve"> Real-time eligibility verification at scheduling and day-before-service. Automated auth requirement lookup at order entry. Pre-registration completeness scoring with visit-day hold for incomplete demographics. Staff training on most common front-end failure patterns.</w:t>
      </w:r>
    </w:p>
    <w:p w14:paraId="7C5F62AE" w14:textId="77777777" w:rsidR="00772358" w:rsidRDefault="00000000">
      <w:pPr>
        <w:spacing w:before="60" w:after="120" w:line="280" w:lineRule="auto"/>
        <w:jc w:val="both"/>
      </w:pPr>
      <w:r>
        <w:rPr>
          <w:b/>
          <w:bCs/>
          <w:color w:val="0B4F6C"/>
        </w:rPr>
        <w:t>Mid-cycle prevention:</w:t>
      </w:r>
      <w:r>
        <w:t xml:space="preserve"> CDI concurrent query workflow for complex inpatient cases. Coding quality audits with physician education feedback loops. Charge capture reconciliation against OR logs and procedure documentation. Pre-claim edit engine with payer-specific edit libraries.</w:t>
      </w:r>
    </w:p>
    <w:p w14:paraId="725996A2" w14:textId="77777777" w:rsidR="00772358" w:rsidRDefault="00000000">
      <w:pPr>
        <w:spacing w:before="60" w:after="120" w:line="280" w:lineRule="auto"/>
        <w:jc w:val="both"/>
      </w:pPr>
      <w:r>
        <w:rPr>
          <w:b/>
          <w:bCs/>
          <w:color w:val="0B4F6C"/>
        </w:rPr>
        <w:t>Back-end prevention:</w:t>
      </w:r>
      <w:r>
        <w:t xml:space="preserve"> Root-cause analysis of every denial class exceeding $50K monthly impact. Prevention action tracking with accountability owners. Payer escalation for systemic denial patterns. Monthly denial prevention governance meeting with VP-level ownership.</w:t>
      </w:r>
    </w:p>
    <w:p w14:paraId="71F4B491" w14:textId="77777777" w:rsidR="00772358" w:rsidRDefault="00000000">
      <w:pPr>
        <w:pStyle w:val="Heading2"/>
        <w:pBdr>
          <w:bottom w:val="single" w:sz="4" w:space="2" w:color="E8A020"/>
        </w:pBdr>
      </w:pPr>
      <w:r>
        <w:t>5.3 Denial Workflow Management</w:t>
      </w:r>
    </w:p>
    <w:p w14:paraId="53C01849" w14:textId="77777777" w:rsidR="00772358" w:rsidRDefault="00000000">
      <w:pPr>
        <w:spacing w:before="60" w:after="120" w:line="280" w:lineRule="auto"/>
        <w:jc w:val="both"/>
      </w:pPr>
      <w:r>
        <w:t>The denial workflow must be structured to maximise recovery while generating the data needed for prevention.</w:t>
      </w:r>
    </w:p>
    <w:p w14:paraId="0B707ADF" w14:textId="77777777" w:rsidR="00772358" w:rsidRDefault="00000000">
      <w:pPr>
        <w:spacing w:before="60" w:after="120" w:line="280" w:lineRule="auto"/>
        <w:jc w:val="both"/>
      </w:pPr>
      <w:r>
        <w:rPr>
          <w:b/>
          <w:bCs/>
          <w:color w:val="0B4F6C"/>
        </w:rPr>
        <w:t>Step 1 — Classification:</w:t>
      </w:r>
      <w:r>
        <w:t xml:space="preserve"> Assign the denial to a category (taxonomy above) and subcategory (specific denial code and payer-specific reason).</w:t>
      </w:r>
    </w:p>
    <w:p w14:paraId="75266206" w14:textId="77777777" w:rsidR="00772358" w:rsidRDefault="00000000">
      <w:pPr>
        <w:spacing w:before="60" w:after="120" w:line="280" w:lineRule="auto"/>
        <w:jc w:val="both"/>
      </w:pPr>
      <w:r>
        <w:rPr>
          <w:b/>
          <w:bCs/>
          <w:color w:val="0B4F6C"/>
        </w:rPr>
        <w:t>Step 2 — Financial triage:</w:t>
      </w:r>
      <w:r>
        <w:t xml:space="preserve"> Calculate the dollar value and age of the denial. Prioritise appeals by financial impact and appeal deadline proximity.</w:t>
      </w:r>
    </w:p>
    <w:p w14:paraId="5C8B760A" w14:textId="77777777" w:rsidR="00772358" w:rsidRDefault="00000000">
      <w:pPr>
        <w:spacing w:before="60" w:after="120" w:line="280" w:lineRule="auto"/>
        <w:jc w:val="both"/>
      </w:pPr>
      <w:r>
        <w:rPr>
          <w:b/>
          <w:bCs/>
          <w:color w:val="0B4F6C"/>
        </w:rPr>
        <w:t>Step 3 — Root-cause analysis:</w:t>
      </w:r>
      <w:r>
        <w:t xml:space="preserve"> Identify the specific process failure that caused the denial. Was it a missing auth? An incorrect ICD code? An expired insurance card? Document the root cause at the workflow system level.</w:t>
      </w:r>
    </w:p>
    <w:p w14:paraId="6D3C5331" w14:textId="77777777" w:rsidR="00772358" w:rsidRDefault="00000000">
      <w:pPr>
        <w:spacing w:before="60" w:after="120" w:line="280" w:lineRule="auto"/>
        <w:jc w:val="both"/>
      </w:pPr>
      <w:r>
        <w:rPr>
          <w:b/>
          <w:bCs/>
          <w:color w:val="0B4F6C"/>
        </w:rPr>
        <w:t>Step 4 — Appeal decision:</w:t>
      </w:r>
      <w:r>
        <w:t xml:space="preserve"> Determine whether the denial is appealable, correctable and </w:t>
      </w:r>
      <w:proofErr w:type="spellStart"/>
      <w:r>
        <w:t>resubmittable</w:t>
      </w:r>
      <w:proofErr w:type="spellEnd"/>
      <w:r>
        <w:t>, or appropriate for write-off. Do not write off without root-cause documentation.</w:t>
      </w:r>
    </w:p>
    <w:p w14:paraId="3E507EC7" w14:textId="77777777" w:rsidR="00772358" w:rsidRDefault="00000000">
      <w:pPr>
        <w:spacing w:before="60" w:after="120" w:line="280" w:lineRule="auto"/>
        <w:jc w:val="both"/>
      </w:pPr>
      <w:r>
        <w:rPr>
          <w:b/>
          <w:bCs/>
          <w:color w:val="0B4F6C"/>
        </w:rPr>
        <w:t>Step 5 — Appeal execution:</w:t>
      </w:r>
      <w:r>
        <w:t xml:space="preserve"> Prepare the appeal with all supporting documentation — medical records, authorisation numbers, clinical criteria justification. Submit within the payer's appeal window (typically 60–180 days from denial date).</w:t>
      </w:r>
    </w:p>
    <w:p w14:paraId="311C7B6D" w14:textId="77777777" w:rsidR="00772358" w:rsidRDefault="00000000">
      <w:pPr>
        <w:spacing w:before="60" w:after="120" w:line="280" w:lineRule="auto"/>
        <w:jc w:val="both"/>
      </w:pPr>
      <w:r>
        <w:rPr>
          <w:b/>
          <w:bCs/>
          <w:color w:val="0B4F6C"/>
        </w:rPr>
        <w:t>Step 6 — Outcome tracking:</w:t>
      </w:r>
      <w:r>
        <w:t xml:space="preserve"> Track appeal resolution rates, denial overturn rates by category and payer, and time to resolution.</w:t>
      </w:r>
    </w:p>
    <w:p w14:paraId="2CB7C3FD" w14:textId="77777777" w:rsidR="00772358" w:rsidRDefault="00000000">
      <w:pPr>
        <w:spacing w:before="60" w:after="120" w:line="280" w:lineRule="auto"/>
        <w:jc w:val="both"/>
      </w:pPr>
      <w:r>
        <w:rPr>
          <w:b/>
          <w:bCs/>
          <w:color w:val="0B4F6C"/>
        </w:rPr>
        <w:t>Step 7 — Prevention feedback:</w:t>
      </w:r>
      <w:r>
        <w:t xml:space="preserve"> Route root-cause data to the relevant upstream process owner — scheduling, registration, coding, CDI, utilisation management — for workflow improvement.</w:t>
      </w:r>
    </w:p>
    <w:p w14:paraId="20E68E03" w14:textId="77777777" w:rsidR="00772358" w:rsidRDefault="00000000">
      <w:pPr>
        <w:pStyle w:val="Heading2"/>
        <w:pBdr>
          <w:bottom w:val="single" w:sz="4" w:space="2" w:color="E8A020"/>
        </w:pBdr>
      </w:pPr>
      <w:r>
        <w:t>5.4 AI in Denial Prevention and Management</w:t>
      </w:r>
    </w:p>
    <w:p w14:paraId="47E2DF68" w14:textId="77777777" w:rsidR="00772358" w:rsidRDefault="00000000">
      <w:pPr>
        <w:spacing w:before="60" w:after="120" w:line="280" w:lineRule="auto"/>
        <w:jc w:val="both"/>
      </w:pPr>
      <w:r>
        <w:t>AI is transforming denial management across three application categories.</w:t>
      </w:r>
    </w:p>
    <w:p w14:paraId="65A17C36" w14:textId="77777777" w:rsidR="00772358" w:rsidRDefault="00000000">
      <w:pPr>
        <w:spacing w:before="60" w:after="120" w:line="280" w:lineRule="auto"/>
        <w:jc w:val="both"/>
      </w:pPr>
      <w:r>
        <w:rPr>
          <w:b/>
          <w:bCs/>
          <w:color w:val="0B4F6C"/>
        </w:rPr>
        <w:t>Predictive denial prevention.</w:t>
      </w:r>
      <w:r>
        <w:t xml:space="preserve"> Machine learning models trained on historical claim and denial data can predict, at the point of claim creation, which claims have elevated denial risk. Claims flagged as high-risk are routed for human review before submission, enabling intervention before the claim reaches the payer. Leading implementations report 25–40% reductions in preventable denials.</w:t>
      </w:r>
    </w:p>
    <w:p w14:paraId="7F26FEE0" w14:textId="77777777" w:rsidR="00772358" w:rsidRDefault="00000000">
      <w:pPr>
        <w:spacing w:before="60" w:after="120" w:line="280" w:lineRule="auto"/>
        <w:jc w:val="both"/>
      </w:pPr>
      <w:r>
        <w:rPr>
          <w:b/>
          <w:bCs/>
          <w:color w:val="0B4F6C"/>
        </w:rPr>
        <w:t>Automated appeal generation.</w:t>
      </w:r>
      <w:r>
        <w:t xml:space="preserve"> NLP tools can draft payer-specific appeal letters from clinical documentation, authorisation records, and denial reason codes — reducing appeal preparation time from 45 minutes to under 5 minutes per appeal and increasing appeal volume without additional staffing.</w:t>
      </w:r>
    </w:p>
    <w:p w14:paraId="160CE0B9" w14:textId="77777777" w:rsidR="00772358" w:rsidRDefault="00000000">
      <w:pPr>
        <w:spacing w:before="60" w:after="120" w:line="280" w:lineRule="auto"/>
        <w:jc w:val="both"/>
      </w:pPr>
      <w:r>
        <w:rPr>
          <w:b/>
          <w:bCs/>
          <w:color w:val="0B4F6C"/>
        </w:rPr>
        <w:t>Pattern recognition and payer intelligence.</w:t>
      </w:r>
      <w:r>
        <w:t xml:space="preserve"> AI analytics platforms that continuously monitor denial patterns by payer, service type, provider, and time period identify emerging payer policy changes and systemic denial spikes before they reach significant dollar impact.</w:t>
      </w:r>
    </w:p>
    <w:p w14:paraId="0715CABD" w14:textId="77777777" w:rsidR="00772358" w:rsidRDefault="00000000">
      <w:pPr>
        <w:pStyle w:val="Heading2"/>
        <w:pBdr>
          <w:bottom w:val="single" w:sz="4" w:space="2" w:color="E8A020"/>
        </w:pBdr>
      </w:pPr>
      <w:r>
        <w:t>5.5 KPIs for Denial Management</w:t>
      </w:r>
    </w:p>
    <w:p w14:paraId="6A0F6A9B"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72358" w14:paraId="226FEB3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6C79B41E" w14:textId="77777777" w:rsidR="00772358" w:rsidRDefault="00000000">
            <w:r>
              <w:rPr>
                <w:b/>
                <w:bCs/>
                <w:color w:val="FFFFFF"/>
                <w:sz w:val="18"/>
                <w:szCs w:val="18"/>
              </w:rPr>
              <w:t>KPI</w:t>
            </w:r>
          </w:p>
        </w:tc>
        <w:tc>
          <w:tcPr>
            <w:tcW w:w="312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13FFCDC0" w14:textId="77777777" w:rsidR="00772358" w:rsidRDefault="00000000">
            <w:r>
              <w:rPr>
                <w:b/>
                <w:bCs/>
                <w:color w:val="FFFFFF"/>
                <w:sz w:val="18"/>
                <w:szCs w:val="18"/>
              </w:rPr>
              <w:t>Definition</w:t>
            </w:r>
          </w:p>
        </w:tc>
        <w:tc>
          <w:tcPr>
            <w:tcW w:w="312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5784F320" w14:textId="77777777" w:rsidR="00772358" w:rsidRDefault="00000000">
            <w:r>
              <w:rPr>
                <w:b/>
                <w:bCs/>
                <w:color w:val="FFFFFF"/>
                <w:sz w:val="18"/>
                <w:szCs w:val="18"/>
              </w:rPr>
              <w:t>Target</w:t>
            </w:r>
          </w:p>
        </w:tc>
      </w:tr>
      <w:tr w:rsidR="00772358" w14:paraId="4789EF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3A9E851A" w14:textId="77777777" w:rsidR="00772358" w:rsidRDefault="00000000">
            <w:r>
              <w:rPr>
                <w:sz w:val="18"/>
                <w:szCs w:val="18"/>
              </w:rPr>
              <w:t>Denial rate (first pass)</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6E65092A" w14:textId="77777777" w:rsidR="00772358" w:rsidRDefault="00000000">
            <w:r>
              <w:rPr>
                <w:sz w:val="18"/>
                <w:szCs w:val="18"/>
              </w:rPr>
              <w:t>% claims denied on first submission</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351D7E7A" w14:textId="77777777" w:rsidR="00772358" w:rsidRDefault="00000000">
            <w:r>
              <w:rPr>
                <w:sz w:val="18"/>
                <w:szCs w:val="18"/>
              </w:rPr>
              <w:t>&lt;5%</w:t>
            </w:r>
          </w:p>
        </w:tc>
      </w:tr>
      <w:tr w:rsidR="00772358" w14:paraId="0CC778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11BBB1A3" w14:textId="77777777" w:rsidR="00772358" w:rsidRDefault="00000000">
            <w:r>
              <w:rPr>
                <w:sz w:val="18"/>
                <w:szCs w:val="18"/>
              </w:rPr>
              <w:t>Denial overturn rate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689A7721" w14:textId="77777777" w:rsidR="00772358" w:rsidRDefault="00000000">
            <w:r>
              <w:rPr>
                <w:sz w:val="18"/>
                <w:szCs w:val="18"/>
              </w:rPr>
              <w:t>% appealed denials reversed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08D920AE" w14:textId="77777777" w:rsidR="00772358" w:rsidRDefault="00000000">
            <w:r>
              <w:rPr>
                <w:sz w:val="18"/>
                <w:szCs w:val="18"/>
              </w:rPr>
              <w:t>&gt;65%</w:t>
            </w:r>
          </w:p>
        </w:tc>
      </w:tr>
      <w:tr w:rsidR="00772358" w14:paraId="793321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5B56219B" w14:textId="77777777" w:rsidR="00772358" w:rsidRDefault="00000000">
            <w:r>
              <w:rPr>
                <w:sz w:val="18"/>
                <w:szCs w:val="18"/>
              </w:rPr>
              <w:t>Net denial rate</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125413B3" w14:textId="77777777" w:rsidR="00772358" w:rsidRDefault="00000000">
            <w:r>
              <w:rPr>
                <w:sz w:val="18"/>
                <w:szCs w:val="18"/>
              </w:rPr>
              <w:t>% claims denied after appeals</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3E846C14" w14:textId="77777777" w:rsidR="00772358" w:rsidRDefault="00000000">
            <w:r>
              <w:rPr>
                <w:sz w:val="18"/>
                <w:szCs w:val="18"/>
              </w:rPr>
              <w:t>&lt;3%</w:t>
            </w:r>
          </w:p>
        </w:tc>
      </w:tr>
      <w:tr w:rsidR="00772358" w14:paraId="2A03ED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39ABE83D" w14:textId="77777777" w:rsidR="00772358" w:rsidRDefault="00000000">
            <w:r>
              <w:rPr>
                <w:sz w:val="18"/>
                <w:szCs w:val="18"/>
              </w:rPr>
              <w:t>Average appeal resolution days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12F9336C" w14:textId="77777777" w:rsidR="00772358" w:rsidRDefault="00000000">
            <w:r>
              <w:rPr>
                <w:sz w:val="18"/>
                <w:szCs w:val="18"/>
              </w:rPr>
              <w:t>Days from appeal to decision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7D365FBE" w14:textId="77777777" w:rsidR="00772358" w:rsidRDefault="00000000">
            <w:r>
              <w:rPr>
                <w:sz w:val="18"/>
                <w:szCs w:val="18"/>
              </w:rPr>
              <w:t>&lt;45</w:t>
            </w:r>
          </w:p>
        </w:tc>
      </w:tr>
      <w:tr w:rsidR="00772358" w14:paraId="343D08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73CDE763" w14:textId="77777777" w:rsidR="00772358" w:rsidRDefault="00000000">
            <w:r>
              <w:rPr>
                <w:sz w:val="18"/>
                <w:szCs w:val="18"/>
              </w:rPr>
              <w:t>Prevention rate</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3D32B10F" w14:textId="77777777" w:rsidR="00772358" w:rsidRDefault="00000000">
            <w:r>
              <w:rPr>
                <w:sz w:val="18"/>
                <w:szCs w:val="18"/>
              </w:rPr>
              <w:t>YoY reduction in avoidable denials</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5CBF5C19" w14:textId="77777777" w:rsidR="00772358" w:rsidRDefault="00000000">
            <w:r>
              <w:rPr>
                <w:sz w:val="18"/>
                <w:szCs w:val="18"/>
              </w:rPr>
              <w:t>&gt;20%</w:t>
            </w:r>
          </w:p>
        </w:tc>
      </w:tr>
      <w:tr w:rsidR="00772358" w14:paraId="23A474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246E3DD9" w14:textId="77777777" w:rsidR="00772358" w:rsidRDefault="00000000">
            <w:r>
              <w:rPr>
                <w:sz w:val="18"/>
                <w:szCs w:val="18"/>
              </w:rPr>
              <w:t>Cost per denial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34476F78" w14:textId="77777777" w:rsidR="00772358" w:rsidRDefault="00000000">
            <w:r>
              <w:rPr>
                <w:sz w:val="18"/>
                <w:szCs w:val="18"/>
              </w:rPr>
              <w:t>Admin cost per denial worked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338C2CEE" w14:textId="77777777" w:rsidR="00772358" w:rsidRDefault="00000000">
            <w:r>
              <w:rPr>
                <w:sz w:val="18"/>
                <w:szCs w:val="18"/>
              </w:rPr>
              <w:t>&lt;$25</w:t>
            </w:r>
          </w:p>
        </w:tc>
      </w:tr>
    </w:tbl>
    <w:p w14:paraId="770C1077" w14:textId="77777777" w:rsidR="00772358" w:rsidRDefault="00772358">
      <w:pPr>
        <w:spacing w:after="80"/>
      </w:pPr>
    </w:p>
    <w:p w14:paraId="24E089F0" w14:textId="77777777" w:rsidR="00772358" w:rsidRDefault="00000000">
      <w:pPr>
        <w:pStyle w:val="Heading2"/>
        <w:pBdr>
          <w:bottom w:val="single" w:sz="4" w:space="2" w:color="E8A020"/>
        </w:pBdr>
      </w:pPr>
      <w:r>
        <w:t>Questions for Leadership</w:t>
      </w:r>
    </w:p>
    <w:p w14:paraId="55187475" w14:textId="77777777" w:rsidR="00772358" w:rsidRDefault="00000000">
      <w:pPr>
        <w:spacing w:before="60" w:after="120" w:line="280" w:lineRule="auto"/>
        <w:jc w:val="both"/>
      </w:pPr>
      <w:r>
        <w:t>What proportion of your denial volume is classified by operational root cause (not just denial code), and is that root-cause data driving upstream process improvement? Is your appeal preparation process automated or manual, and what is your current appeal preparation cost per denial? Does your denial prevention governance meeting have VP-level ownership and monthly cadence?</w:t>
      </w:r>
    </w:p>
    <w:p w14:paraId="26389628" w14:textId="77777777" w:rsidR="00772358" w:rsidRDefault="00000000">
      <w:pPr>
        <w:spacing w:before="60" w:after="120" w:line="280" w:lineRule="auto"/>
        <w:jc w:val="both"/>
      </w:pPr>
      <w:r>
        <w:rPr>
          <w:i/>
          <w:iCs/>
        </w:rPr>
        <w:t>Chapter 5 complete.</w:t>
      </w:r>
    </w:p>
    <w:p w14:paraId="63E5345A" w14:textId="77777777" w:rsidR="00772358" w:rsidRDefault="00000000">
      <w:pPr>
        <w:pStyle w:val="Heading2"/>
        <w:pBdr>
          <w:bottom w:val="single" w:sz="4" w:space="2" w:color="E8A020"/>
        </w:pBdr>
      </w:pPr>
      <w:r>
        <w:t>5.6 Payer-Specific Denial Intelligence</w:t>
      </w:r>
    </w:p>
    <w:p w14:paraId="6B1646E5" w14:textId="77777777" w:rsidR="00772358" w:rsidRDefault="00000000">
      <w:pPr>
        <w:spacing w:before="60" w:after="120" w:line="280" w:lineRule="auto"/>
        <w:jc w:val="both"/>
      </w:pPr>
      <w:r>
        <w:t>Each payer has distinct denial behaviour patterns that a mature denial management function must understand and systematically address. Aetna, UnitedHealthcare, Cigna, and Humana each apply different edit logic, different prior authorisation requirements, and different clinical coverage policies. An organisation that manages denial prevention with generic protocols — rather than payer-specific intelligence — is permanently operating at a disadvantage.</w:t>
      </w:r>
    </w:p>
    <w:p w14:paraId="50AAB61A" w14:textId="77777777" w:rsidR="00772358" w:rsidRDefault="00000000">
      <w:pPr>
        <w:spacing w:before="60" w:after="120" w:line="280" w:lineRule="auto"/>
        <w:jc w:val="both"/>
      </w:pPr>
      <w:r>
        <w:rPr>
          <w:b/>
          <w:bCs/>
          <w:color w:val="0B4F6C"/>
        </w:rPr>
        <w:t>Payer intelligence framework:</w:t>
      </w:r>
      <w:r>
        <w:t xml:space="preserve"> Maintain a payer-specific denial library that documents the top 10 denial reasons by payer, the specific documentation requirements for each denial type, the appeal pathway and timeline for each payer, and the outcome history of appeals by payer and denial category. Update this library quarterly as payer policies change.</w:t>
      </w:r>
    </w:p>
    <w:p w14:paraId="4018E77A" w14:textId="77777777" w:rsidR="00772358" w:rsidRDefault="00000000">
      <w:pPr>
        <w:spacing w:before="60" w:after="120" w:line="280" w:lineRule="auto"/>
        <w:jc w:val="both"/>
      </w:pPr>
      <w:r>
        <w:rPr>
          <w:b/>
          <w:bCs/>
          <w:color w:val="0B4F6C"/>
        </w:rPr>
        <w:t>Payer escalation:</w:t>
      </w:r>
      <w:r>
        <w:t xml:space="preserve"> When denial rates from a specific payer spike beyond baseline, the denial management team should escalate through the provider relations team to the payer's provider dispute resolution department. Systematic claim denial patterns — where a payer consistently denies a specific service type or coding pattern that other payers approve — may indicate a payer policy error, a contract interpretation dispute, or a misconfigured edit in the payer's claims system.</w:t>
      </w:r>
    </w:p>
    <w:p w14:paraId="1674F99B" w14:textId="77777777" w:rsidR="00772358" w:rsidRDefault="00000000">
      <w:pPr>
        <w:pStyle w:val="Heading2"/>
        <w:pBdr>
          <w:bottom w:val="single" w:sz="4" w:space="2" w:color="E8A020"/>
        </w:pBdr>
      </w:pPr>
      <w:r>
        <w:t>5.7 CDI's Role in Denial Prevention</w:t>
      </w:r>
    </w:p>
    <w:p w14:paraId="20987153" w14:textId="77777777" w:rsidR="00772358" w:rsidRDefault="00000000">
      <w:pPr>
        <w:spacing w:before="60" w:after="120" w:line="280" w:lineRule="auto"/>
        <w:jc w:val="both"/>
      </w:pPr>
      <w:r>
        <w:t>Clinical Documentation Improvement is prevention's most powerful upstream lever for medical necessity and documentation-related denials. When physicians document diagnoses and procedures with sufficient specificity and clinical rationale, payers have the evidence they need to confirm medical necessity without requiring additional documentation.</w:t>
      </w:r>
    </w:p>
    <w:p w14:paraId="1340319B" w14:textId="77777777" w:rsidR="00772358" w:rsidRDefault="00000000">
      <w:pPr>
        <w:spacing w:before="60" w:after="120" w:line="280" w:lineRule="auto"/>
        <w:jc w:val="both"/>
      </w:pPr>
      <w:r>
        <w:rPr>
          <w:b/>
          <w:bCs/>
          <w:color w:val="0B4F6C"/>
        </w:rPr>
        <w:t>Concurrent CDI and denial prevention:</w:t>
      </w:r>
      <w:r>
        <w:t xml:space="preserve"> CDI specialists who identify, during the inpatient stay, that the current documentation is insufficient to justify the anticipated DRG or clinical severity level have the opportunity to query the physician and obtain more complete documentation before the claim is submitted. This concurrent intervention prevents documentation-related denials entirely — rather than requiring an after-the-fact appeal that may or may not succeed.</w:t>
      </w:r>
    </w:p>
    <w:p w14:paraId="20BBC07B" w14:textId="77777777" w:rsidR="00772358" w:rsidRDefault="00000000">
      <w:pPr>
        <w:spacing w:before="60" w:after="120" w:line="280" w:lineRule="auto"/>
        <w:jc w:val="both"/>
      </w:pPr>
      <w:r>
        <w:rPr>
          <w:b/>
          <w:bCs/>
          <w:color w:val="0B4F6C"/>
        </w:rPr>
        <w:t>CDI performance metrics linked to denial prevention:</w:t>
      </w:r>
      <w:r>
        <w:t xml:space="preserve"> Track the correlation between CDI query response rates and documentation denial rates by physician, service line, and facility. Physicians with low CDI query response rates and high documentation denial rates should be priority targets for CDI education programs.</w:t>
      </w:r>
    </w:p>
    <w:p w14:paraId="5DD3F8DC" w14:textId="77777777" w:rsidR="00772358" w:rsidRDefault="00000000">
      <w:pPr>
        <w:pStyle w:val="Heading2"/>
        <w:pBdr>
          <w:bottom w:val="single" w:sz="4" w:space="2" w:color="E8A020"/>
        </w:pBdr>
      </w:pPr>
      <w:r>
        <w:t>5.8 Technology Stack for Denial Management</w:t>
      </w:r>
    </w:p>
    <w:p w14:paraId="27FF0962" w14:textId="77777777" w:rsidR="00772358" w:rsidRDefault="00000000">
      <w:pPr>
        <w:spacing w:before="60" w:after="120" w:line="280" w:lineRule="auto"/>
        <w:jc w:val="both"/>
      </w:pPr>
      <w:r>
        <w:t>The modern denial management technology infrastructure spans four integrated components.</w:t>
      </w:r>
    </w:p>
    <w:p w14:paraId="7E17B8EF" w14:textId="77777777" w:rsidR="00772358" w:rsidRDefault="00000000">
      <w:pPr>
        <w:spacing w:before="60" w:after="120" w:line="280" w:lineRule="auto"/>
        <w:jc w:val="both"/>
      </w:pPr>
      <w:r>
        <w:rPr>
          <w:b/>
          <w:bCs/>
          <w:color w:val="0B4F6C"/>
        </w:rPr>
        <w:t>Denial tracking and workflow management:</w:t>
      </w:r>
      <w:r>
        <w:t xml:space="preserve"> A dedicated denial management platform (or revenue cycle platform module) that receives denied claims, classifies them by reason code, assigns them to work queues by priority and skill set, tracks appeal status and deadlines, and reports on denial and overturn metrics. Leading platforms include Waystar, </w:t>
      </w:r>
      <w:proofErr w:type="spellStart"/>
      <w:r>
        <w:t>nThrive</w:t>
      </w:r>
      <w:proofErr w:type="spellEnd"/>
      <w:r>
        <w:t>, Experian Health, and R1 RCM.</w:t>
      </w:r>
    </w:p>
    <w:p w14:paraId="6F1E9BD6" w14:textId="77777777" w:rsidR="00772358" w:rsidRDefault="00000000">
      <w:pPr>
        <w:spacing w:before="60" w:after="120" w:line="280" w:lineRule="auto"/>
        <w:jc w:val="both"/>
      </w:pPr>
      <w:r>
        <w:rPr>
          <w:b/>
          <w:bCs/>
          <w:color w:val="0B4F6C"/>
        </w:rPr>
        <w:t>Predictive denial analytics:</w:t>
      </w:r>
      <w:r>
        <w:t xml:space="preserve"> Machine learning models that analyse claim characteristics at the point of claim creation — diagnosis-procedure combinations, payer behaviour history, documentation completeness scores, authorisation status — to predict denial probability and flag high-risk claims for pre-submission review. Implementations consistently demonstrate 25–40% reductions in denial rates.</w:t>
      </w:r>
    </w:p>
    <w:p w14:paraId="044D5A0E" w14:textId="77777777" w:rsidR="00772358" w:rsidRDefault="00000000">
      <w:pPr>
        <w:spacing w:before="60" w:after="120" w:line="280" w:lineRule="auto"/>
        <w:jc w:val="both"/>
      </w:pPr>
      <w:r>
        <w:rPr>
          <w:b/>
          <w:bCs/>
          <w:color w:val="0B4F6C"/>
        </w:rPr>
        <w:t>Appeal automation:</w:t>
      </w:r>
      <w:r>
        <w:t xml:space="preserve"> AI tools that generate first-draft appeal letters from clinical documentation, denial reason codes, and payer-specific appeal templates. Appeal preparation time reductions of 60–75% have been documented, allowing the same appeal team to process significantly higher appeal volumes.</w:t>
      </w:r>
    </w:p>
    <w:p w14:paraId="26848190" w14:textId="77777777" w:rsidR="00772358" w:rsidRDefault="00000000">
      <w:pPr>
        <w:spacing w:before="60" w:after="120" w:line="280" w:lineRule="auto"/>
        <w:jc w:val="both"/>
      </w:pPr>
      <w:r>
        <w:rPr>
          <w:b/>
          <w:bCs/>
          <w:color w:val="0B4F6C"/>
        </w:rPr>
        <w:t>Root-cause analytics dashboard:</w:t>
      </w:r>
      <w:r>
        <w:t xml:space="preserve"> A data visualisation environment that presents denial data by root cause, department, payer, physician, and service line — enabling monthly denial prevention governance meetings with accountability owners.</w:t>
      </w:r>
    </w:p>
    <w:p w14:paraId="446B26D0" w14:textId="77777777" w:rsidR="00772358" w:rsidRDefault="00000000">
      <w:r>
        <w:br/>
      </w:r>
    </w:p>
    <w:p w14:paraId="5DBCC790" w14:textId="77777777" w:rsidR="00772358" w:rsidRDefault="00000000">
      <w:pPr>
        <w:pStyle w:val="Heading1"/>
        <w:pBdr>
          <w:bottom w:val="single" w:sz="8" w:space="4" w:color="E8A020"/>
        </w:pBdr>
        <w:shd w:val="clear" w:color="auto" w:fill="0B4F6C"/>
        <w:ind w:left="160" w:right="160"/>
      </w:pPr>
      <w:r>
        <w:t>Chapter 6: Patient Eligibility Verification &amp; Prior Authorisation</w:t>
      </w:r>
    </w:p>
    <w:p w14:paraId="2E40BC86"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51A66A7C" w14:textId="77777777">
        <w:tblPrEx>
          <w:tblCellMar>
            <w:top w:w="0" w:type="dxa"/>
            <w:bottom w:w="0" w:type="dxa"/>
          </w:tblCellMar>
        </w:tblPrEx>
        <w:tc>
          <w:tcPr>
            <w:tcW w:w="9360" w:type="dxa"/>
            <w:tcBorders>
              <w:top w:val="single" w:sz="6" w:space="0" w:color="17A8C8"/>
              <w:left w:val="single" w:sz="18" w:space="0" w:color="17A8C8"/>
              <w:bottom w:val="single" w:sz="6" w:space="0" w:color="17A8C8"/>
              <w:right w:val="single" w:sz="6" w:space="0" w:color="17A8C8"/>
            </w:tcBorders>
            <w:shd w:val="clear" w:color="auto" w:fill="E8F8FC"/>
            <w:tcMar>
              <w:top w:w="140" w:type="dxa"/>
              <w:left w:w="200" w:type="dxa"/>
              <w:bottom w:w="140" w:type="dxa"/>
              <w:right w:w="200" w:type="dxa"/>
            </w:tcMar>
          </w:tcPr>
          <w:p w14:paraId="048D3906" w14:textId="77777777" w:rsidR="00772358" w:rsidRDefault="00000000">
            <w:pPr>
              <w:spacing w:after="80"/>
            </w:pPr>
            <w:r>
              <w:rPr>
                <w:b/>
                <w:bCs/>
                <w:color w:val="E8A020"/>
                <w:sz w:val="17"/>
                <w:szCs w:val="17"/>
              </w:rPr>
              <w:t>EXECUTIVE SUMMARY</w:t>
            </w:r>
          </w:p>
          <w:p w14:paraId="38D15493" w14:textId="77777777" w:rsidR="00772358" w:rsidRDefault="00000000">
            <w:pPr>
              <w:jc w:val="both"/>
            </w:pPr>
            <w:r>
              <w:rPr>
                <w:i/>
                <w:iCs/>
                <w:sz w:val="20"/>
                <w:szCs w:val="20"/>
              </w:rPr>
              <w:t>Eligibility and prior authorisation failures account for nearly a third of all claim denials — and nearly all of them are preventable. Real-time eligibility verification and efficient authorisation management are the two highest-ROI investments a revenue cycle organisation can make. This chapter provides the operating model, technology requirements, and AI opportunity for both functions.</w:t>
            </w:r>
          </w:p>
        </w:tc>
      </w:tr>
    </w:tbl>
    <w:p w14:paraId="78500424" w14:textId="77777777" w:rsidR="00772358" w:rsidRDefault="00772358">
      <w:pPr>
        <w:spacing w:after="80"/>
      </w:pPr>
    </w:p>
    <w:p w14:paraId="30BBC4E7" w14:textId="77777777" w:rsidR="00772358" w:rsidRDefault="00000000">
      <w:pPr>
        <w:pStyle w:val="Heading2"/>
        <w:pBdr>
          <w:bottom w:val="single" w:sz="4" w:space="2" w:color="E8A020"/>
        </w:pBdr>
      </w:pPr>
      <w:r>
        <w:t>6.1 Eligibility Verification — Operating Model</w:t>
      </w:r>
    </w:p>
    <w:p w14:paraId="2E7D9415" w14:textId="77777777" w:rsidR="00772358" w:rsidRDefault="00000000">
      <w:pPr>
        <w:spacing w:before="200" w:after="80"/>
        <w:jc w:val="center"/>
      </w:pPr>
      <w:r>
        <w:rPr>
          <w:noProof/>
        </w:rPr>
        <w:drawing>
          <wp:inline distT="0" distB="0" distL="0" distR="0" wp14:anchorId="5FF37807" wp14:editId="1A5098D6">
            <wp:extent cx="3924300" cy="1647825"/>
            <wp:effectExtent l="0" t="0" r="0" b="0"/>
            <wp:docPr id="2082981895" name="Picture 2082981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24300" cy="1647825"/>
                    </a:xfrm>
                    <a:prstGeom prst="rect">
                      <a:avLst/>
                    </a:prstGeom>
                  </pic:spPr>
                </pic:pic>
              </a:graphicData>
            </a:graphic>
          </wp:inline>
        </w:drawing>
      </w:r>
    </w:p>
    <w:p w14:paraId="22A6AC04" w14:textId="77777777" w:rsidR="00772358" w:rsidRDefault="00000000">
      <w:pPr>
        <w:spacing w:after="200"/>
        <w:jc w:val="center"/>
      </w:pPr>
      <w:r>
        <w:rPr>
          <w:i/>
          <w:iCs/>
          <w:color w:val="5B8FA8"/>
          <w:sz w:val="18"/>
          <w:szCs w:val="18"/>
        </w:rPr>
        <w:t>Figure 6.1: Prior Authorization — End-to-End Workflow &amp; AI Automation</w:t>
      </w:r>
    </w:p>
    <w:p w14:paraId="6F21ECBE" w14:textId="77777777" w:rsidR="00772358" w:rsidRDefault="00000000">
      <w:pPr>
        <w:spacing w:before="60" w:after="120" w:line="280" w:lineRule="auto"/>
        <w:jc w:val="both"/>
      </w:pPr>
      <w:r>
        <w:t>Eligibility verification must occur at three touchpoints: at scheduling (to confirm insurance before committing the appointment), 48–72 hours before service (to catch coverage changes), and at point of service (to confirm card and ID match).</w:t>
      </w:r>
    </w:p>
    <w:p w14:paraId="03842652" w14:textId="77777777" w:rsidR="00772358" w:rsidRDefault="00000000">
      <w:pPr>
        <w:spacing w:before="60" w:after="120" w:line="280" w:lineRule="auto"/>
        <w:jc w:val="both"/>
      </w:pPr>
      <w:r>
        <w:rPr>
          <w:b/>
          <w:bCs/>
          <w:color w:val="0B4F6C"/>
        </w:rPr>
        <w:t>What to verify:</w:t>
      </w:r>
      <w:r>
        <w:t xml:space="preserve"> Active member status, plan name and effective dates, deductible and accumulator status (YTD amounts), copay and coinsurance for the service type, network status of the rendering provider, service-specific benefit limits (e.g., visit limits for physical therapy, mental health), and referral requirements.</w:t>
      </w:r>
    </w:p>
    <w:p w14:paraId="7FBEBD79" w14:textId="77777777" w:rsidR="00772358" w:rsidRDefault="00000000">
      <w:pPr>
        <w:spacing w:before="60" w:after="120" w:line="280" w:lineRule="auto"/>
        <w:jc w:val="both"/>
      </w:pPr>
      <w:r>
        <w:rPr>
          <w:b/>
          <w:bCs/>
          <w:color w:val="0B4F6C"/>
        </w:rPr>
        <w:t>Technology:</w:t>
      </w:r>
      <w:r>
        <w:t xml:space="preserve"> The 270/271 EDI transaction is the industry standard for electronic eligibility inquiry and response. Real-time payer API integration (increasingly FHIR-based under CMS mandates) provides faster and more granular eligibility data than batch 270/271 transactions. Clearinghouse-based eligibility tools aggregate multi-payer eligibility checking through a single portal.</w:t>
      </w:r>
    </w:p>
    <w:p w14:paraId="5377D92C" w14:textId="77777777" w:rsidR="00772358" w:rsidRDefault="00000000">
      <w:pPr>
        <w:spacing w:before="60" w:after="120" w:line="280" w:lineRule="auto"/>
        <w:jc w:val="both"/>
      </w:pPr>
      <w:r>
        <w:rPr>
          <w:b/>
          <w:bCs/>
          <w:color w:val="0B4F6C"/>
        </w:rPr>
        <w:t>AI opportunity:</w:t>
      </w:r>
      <w:r>
        <w:t xml:space="preserve"> Predictive eligibility risk scoring — identifying patients with historically unstable coverage, frequent plan switching, or high probability of coverage lapse — enables proactive outreach before the visit to confirm or update coverage.</w:t>
      </w:r>
    </w:p>
    <w:p w14:paraId="37D33D88" w14:textId="77777777" w:rsidR="00772358" w:rsidRDefault="00000000">
      <w:pPr>
        <w:pStyle w:val="Heading2"/>
        <w:pBdr>
          <w:bottom w:val="single" w:sz="4" w:space="2" w:color="E8A020"/>
        </w:pBdr>
      </w:pPr>
      <w:r>
        <w:t>6.2 Prior Authorisation — The Operational Challenge</w:t>
      </w:r>
    </w:p>
    <w:p w14:paraId="3DEC6E5C" w14:textId="77777777" w:rsidR="00772358" w:rsidRDefault="00000000">
      <w:pPr>
        <w:spacing w:before="60" w:after="120" w:line="280" w:lineRule="auto"/>
        <w:jc w:val="both"/>
      </w:pPr>
      <w:r>
        <w:t>Prior authorisation requires providers to obtain payer approval before delivering specific services. The operational challenge is the variability of PA requirements across payers, plans, and services — a provider group working with 200 payer contracts may face 1,000+ unique authorisation requirement combinations.</w:t>
      </w:r>
    </w:p>
    <w:p w14:paraId="3252A51A" w14:textId="77777777" w:rsidR="00772358" w:rsidRDefault="00000000">
      <w:pPr>
        <w:spacing w:before="60" w:after="120" w:line="280" w:lineRule="auto"/>
        <w:jc w:val="both"/>
      </w:pPr>
      <w:r>
        <w:rPr>
          <w:b/>
          <w:bCs/>
          <w:color w:val="0B4F6C"/>
        </w:rPr>
        <w:t>PA workflow:</w:t>
      </w:r>
    </w:p>
    <w:p w14:paraId="27949C94" w14:textId="77777777" w:rsidR="00772358" w:rsidRDefault="00000000">
      <w:pPr>
        <w:pStyle w:val="ListParagraph"/>
        <w:numPr>
          <w:ilvl w:val="0"/>
          <w:numId w:val="3"/>
        </w:numPr>
        <w:spacing w:before="40" w:after="80"/>
      </w:pPr>
      <w:r>
        <w:t>Identify whether the ordered service requires PA (payer-specific, plan-specific)</w:t>
      </w:r>
    </w:p>
    <w:p w14:paraId="0B47B435" w14:textId="77777777" w:rsidR="00772358" w:rsidRDefault="00000000">
      <w:pPr>
        <w:pStyle w:val="ListParagraph"/>
        <w:numPr>
          <w:ilvl w:val="0"/>
          <w:numId w:val="3"/>
        </w:numPr>
        <w:spacing w:before="40" w:after="80"/>
      </w:pPr>
      <w:r>
        <w:t>Verify member eligibility and plan details</w:t>
      </w:r>
    </w:p>
    <w:p w14:paraId="58D911F2" w14:textId="77777777" w:rsidR="00772358" w:rsidRDefault="00000000">
      <w:pPr>
        <w:pStyle w:val="ListParagraph"/>
        <w:numPr>
          <w:ilvl w:val="0"/>
          <w:numId w:val="3"/>
        </w:numPr>
        <w:spacing w:before="40" w:after="80"/>
      </w:pPr>
      <w:r>
        <w:t>Gather clinical documentation supporting medical necessity</w:t>
      </w:r>
    </w:p>
    <w:p w14:paraId="1A924FB3" w14:textId="77777777" w:rsidR="00772358" w:rsidRDefault="00000000">
      <w:pPr>
        <w:pStyle w:val="ListParagraph"/>
        <w:numPr>
          <w:ilvl w:val="0"/>
          <w:numId w:val="3"/>
        </w:numPr>
        <w:spacing w:before="40" w:after="80"/>
      </w:pPr>
      <w:r>
        <w:t>Submit PA request (fax, portal, phone, or API)</w:t>
      </w:r>
    </w:p>
    <w:p w14:paraId="7A08573F" w14:textId="77777777" w:rsidR="00772358" w:rsidRDefault="00000000">
      <w:pPr>
        <w:pStyle w:val="ListParagraph"/>
        <w:numPr>
          <w:ilvl w:val="0"/>
          <w:numId w:val="3"/>
        </w:numPr>
        <w:spacing w:before="40" w:after="80"/>
      </w:pPr>
      <w:r>
        <w:t>Track PA status and follow up on pending requests</w:t>
      </w:r>
    </w:p>
    <w:p w14:paraId="2D080832" w14:textId="77777777" w:rsidR="00772358" w:rsidRDefault="00000000">
      <w:pPr>
        <w:pStyle w:val="ListParagraph"/>
        <w:numPr>
          <w:ilvl w:val="0"/>
          <w:numId w:val="3"/>
        </w:numPr>
        <w:spacing w:before="40" w:after="80"/>
      </w:pPr>
      <w:r>
        <w:t>Document the authorisation number in the scheduling and billing systems</w:t>
      </w:r>
    </w:p>
    <w:p w14:paraId="282F26D4" w14:textId="77777777" w:rsidR="00772358" w:rsidRDefault="00000000">
      <w:pPr>
        <w:pStyle w:val="ListParagraph"/>
        <w:numPr>
          <w:ilvl w:val="0"/>
          <w:numId w:val="3"/>
        </w:numPr>
        <w:spacing w:before="40" w:after="80"/>
      </w:pPr>
      <w:r>
        <w:t>Verify that the authorised service matches the service to be rendered</w:t>
      </w:r>
    </w:p>
    <w:p w14:paraId="33F1637D" w14:textId="77777777" w:rsidR="00772358" w:rsidRDefault="00000000">
      <w:pPr>
        <w:pStyle w:val="ListParagraph"/>
        <w:numPr>
          <w:ilvl w:val="0"/>
          <w:numId w:val="3"/>
        </w:numPr>
        <w:spacing w:before="40" w:after="80"/>
      </w:pPr>
      <w:r>
        <w:t>Re-authorise when service dates or service scope changes</w:t>
      </w:r>
    </w:p>
    <w:p w14:paraId="4E828F65" w14:textId="77777777" w:rsidR="00772358" w:rsidRDefault="00000000">
      <w:pPr>
        <w:spacing w:before="60" w:after="120" w:line="280" w:lineRule="auto"/>
        <w:jc w:val="both"/>
      </w:pPr>
      <w:r>
        <w:rPr>
          <w:b/>
          <w:bCs/>
          <w:color w:val="0B4F6C"/>
        </w:rPr>
        <w:t>Common PA failure modes:</w:t>
      </w:r>
      <w:r>
        <w:t xml:space="preserve"> Missing PA (service not identified as requiring PA), expired PA (service delivered after authorisation period ended), PA for wrong service or wrong CPT code, PA obtained from wrong plan when COB primary has changed.</w:t>
      </w:r>
    </w:p>
    <w:p w14:paraId="01C3FF7F" w14:textId="77777777" w:rsidR="00772358" w:rsidRDefault="00000000">
      <w:pPr>
        <w:pStyle w:val="Heading2"/>
        <w:pBdr>
          <w:bottom w:val="single" w:sz="4" w:space="2" w:color="E8A020"/>
        </w:pBdr>
      </w:pPr>
      <w:r>
        <w:t>6.3 The CMS 2024 Prior Auth Rule</w:t>
      </w:r>
    </w:p>
    <w:p w14:paraId="572D4A88" w14:textId="77777777" w:rsidR="00772358" w:rsidRDefault="00000000">
      <w:pPr>
        <w:spacing w:before="60" w:after="120" w:line="280" w:lineRule="auto"/>
        <w:jc w:val="both"/>
      </w:pPr>
      <w:r>
        <w:t>The CMS Interoperability and Prior Authorization Final Rule (CMS-0057-F), effective for Medicare Advantage, Medicaid, and CHIP managed care plans by January 2026, mandates:</w:t>
      </w:r>
    </w:p>
    <w:p w14:paraId="7F91215D" w14:textId="77777777" w:rsidR="00772358" w:rsidRDefault="00000000">
      <w:pPr>
        <w:pStyle w:val="ListParagraph"/>
        <w:numPr>
          <w:ilvl w:val="0"/>
          <w:numId w:val="2"/>
        </w:numPr>
        <w:spacing w:before="40" w:after="80"/>
      </w:pPr>
      <w:r>
        <w:t>PA decisions within 72 hours for urgent/expedited requests</w:t>
      </w:r>
    </w:p>
    <w:p w14:paraId="7DB9FB72" w14:textId="77777777" w:rsidR="00772358" w:rsidRDefault="00000000">
      <w:pPr>
        <w:pStyle w:val="ListParagraph"/>
        <w:numPr>
          <w:ilvl w:val="0"/>
          <w:numId w:val="2"/>
        </w:numPr>
        <w:spacing w:before="40" w:after="80"/>
      </w:pPr>
      <w:r>
        <w:t>PA decisions within 7 calendar days for standard requests</w:t>
      </w:r>
    </w:p>
    <w:p w14:paraId="62F03E9F" w14:textId="77777777" w:rsidR="00772358" w:rsidRDefault="00000000">
      <w:pPr>
        <w:pStyle w:val="ListParagraph"/>
        <w:numPr>
          <w:ilvl w:val="0"/>
          <w:numId w:val="2"/>
        </w:numPr>
        <w:spacing w:before="40" w:after="80"/>
      </w:pPr>
      <w:r>
        <w:t>Plain-language denial explanations</w:t>
      </w:r>
    </w:p>
    <w:p w14:paraId="359F3D7E" w14:textId="77777777" w:rsidR="00772358" w:rsidRDefault="00000000">
      <w:pPr>
        <w:pStyle w:val="ListParagraph"/>
        <w:numPr>
          <w:ilvl w:val="0"/>
          <w:numId w:val="2"/>
        </w:numPr>
        <w:spacing w:before="40" w:after="80"/>
      </w:pPr>
      <w:r>
        <w:t>90-day PA validity for patients with chronic conditions</w:t>
      </w:r>
    </w:p>
    <w:p w14:paraId="3906DB8C" w14:textId="77777777" w:rsidR="00772358" w:rsidRDefault="00000000">
      <w:pPr>
        <w:pStyle w:val="ListParagraph"/>
        <w:numPr>
          <w:ilvl w:val="0"/>
          <w:numId w:val="2"/>
        </w:numPr>
        <w:spacing w:before="40" w:after="80"/>
      </w:pPr>
      <w:r>
        <w:t>FHIR-based APIs for electronic PA submission and status checking</w:t>
      </w:r>
    </w:p>
    <w:p w14:paraId="57215C5B" w14:textId="77777777" w:rsidR="00772358" w:rsidRDefault="00000000">
      <w:pPr>
        <w:pStyle w:val="ListParagraph"/>
        <w:numPr>
          <w:ilvl w:val="0"/>
          <w:numId w:val="2"/>
        </w:numPr>
        <w:spacing w:before="40" w:after="80"/>
      </w:pPr>
      <w:r>
        <w:t>Gold carding exemptions for high-performing providers</w:t>
      </w:r>
    </w:p>
    <w:p w14:paraId="35E0E860" w14:textId="77777777" w:rsidR="00772358" w:rsidRDefault="00000000">
      <w:pPr>
        <w:spacing w:before="60" w:after="120" w:line="280" w:lineRule="auto"/>
        <w:jc w:val="both"/>
      </w:pPr>
      <w:r>
        <w:rPr>
          <w:b/>
          <w:bCs/>
          <w:color w:val="0B4F6C"/>
        </w:rPr>
        <w:t>Provider impact:</w:t>
      </w:r>
      <w:r>
        <w:t xml:space="preserve"> FHIR-based PA APIs will transform the PA workflow from manual portal/fax interactions to automated, real-time API transactions — dramatically reducing administrative burden for high-volume PA requesters.</w:t>
      </w:r>
    </w:p>
    <w:p w14:paraId="103F7223" w14:textId="77777777" w:rsidR="00772358" w:rsidRDefault="00000000">
      <w:pPr>
        <w:pStyle w:val="Heading2"/>
        <w:pBdr>
          <w:bottom w:val="single" w:sz="4" w:space="2" w:color="E8A020"/>
        </w:pBdr>
      </w:pPr>
      <w:r>
        <w:t>6.4 Gold Carding and Exemption Programs</w:t>
      </w:r>
    </w:p>
    <w:p w14:paraId="6D0A5239" w14:textId="77777777" w:rsidR="00772358" w:rsidRDefault="00000000">
      <w:pPr>
        <w:spacing w:before="60" w:after="120" w:line="280" w:lineRule="auto"/>
        <w:jc w:val="both"/>
      </w:pPr>
      <w:r>
        <w:t>Gold carding programs exempt providers who demonstrate consistent prior authorisation approval rates (typically &gt;90%) for specific services from PA requirements for those services. Several states have enacted gold card legislation for commercial insurers. CMS has encouraged gold carding in Medicare Advantage.</w:t>
      </w:r>
    </w:p>
    <w:p w14:paraId="400146AC" w14:textId="77777777" w:rsidR="00772358" w:rsidRDefault="00000000">
      <w:pPr>
        <w:spacing w:before="60" w:after="120" w:line="280" w:lineRule="auto"/>
        <w:jc w:val="both"/>
      </w:pPr>
      <w:r>
        <w:t>Gold carding is the most impactful structural solution to prior authorisation burden — but requires payers to invest in performance tracking infrastructure and providers to maintain the documentation quality that supports their approval history.</w:t>
      </w:r>
    </w:p>
    <w:p w14:paraId="0C0118F7" w14:textId="77777777" w:rsidR="00772358" w:rsidRDefault="00000000">
      <w:pPr>
        <w:pStyle w:val="Heading2"/>
        <w:pBdr>
          <w:bottom w:val="single" w:sz="4" w:space="2" w:color="E8A020"/>
        </w:pBdr>
      </w:pPr>
      <w:r>
        <w:t>Questions for Leadership</w:t>
      </w:r>
    </w:p>
    <w:p w14:paraId="21278576" w14:textId="77777777" w:rsidR="00772358" w:rsidRDefault="00000000">
      <w:pPr>
        <w:spacing w:before="60" w:after="120" w:line="280" w:lineRule="auto"/>
        <w:jc w:val="both"/>
      </w:pPr>
      <w:r>
        <w:t>What percentage of your PA requests are submitted through automated FHIR API channels versus manual portal or fax? Have you mapped your top 20 payers' PA requirements for your top 50 service codes, and are those requirements embedded in your scheduling workflow decision support? Are you tracking PA compliance rate by ordering provider to identify individuals with systematic PA gaps?</w:t>
      </w:r>
    </w:p>
    <w:p w14:paraId="0437CF85" w14:textId="77777777" w:rsidR="00772358" w:rsidRDefault="00000000">
      <w:pPr>
        <w:spacing w:before="60" w:after="120" w:line="280" w:lineRule="auto"/>
        <w:jc w:val="both"/>
      </w:pPr>
      <w:r>
        <w:rPr>
          <w:i/>
          <w:iCs/>
        </w:rPr>
        <w:t>Chapter 6 complete.</w:t>
      </w:r>
    </w:p>
    <w:p w14:paraId="6C20D803" w14:textId="77777777" w:rsidR="00772358" w:rsidRDefault="00000000">
      <w:pPr>
        <w:pStyle w:val="Heading2"/>
        <w:pBdr>
          <w:bottom w:val="single" w:sz="4" w:space="2" w:color="E8A020"/>
        </w:pBdr>
      </w:pPr>
      <w:r>
        <w:t>6.3 PA Automation — Technology Architecture</w:t>
      </w:r>
    </w:p>
    <w:p w14:paraId="430BDBDB" w14:textId="77777777" w:rsidR="00772358" w:rsidRDefault="00000000">
      <w:pPr>
        <w:spacing w:before="60" w:after="120" w:line="280" w:lineRule="auto"/>
        <w:jc w:val="both"/>
      </w:pPr>
      <w:r>
        <w:t>The most effective PA automation architectures combine four technology layers:</w:t>
      </w:r>
    </w:p>
    <w:p w14:paraId="38FE48A2" w14:textId="77777777" w:rsidR="00772358" w:rsidRDefault="00000000">
      <w:pPr>
        <w:spacing w:before="60" w:after="120" w:line="280" w:lineRule="auto"/>
        <w:jc w:val="both"/>
      </w:pPr>
      <w:r>
        <w:rPr>
          <w:b/>
          <w:bCs/>
          <w:color w:val="0B4F6C"/>
        </w:rPr>
        <w:t>Layer 1 — Rules engine:</w:t>
      </w:r>
      <w:r>
        <w:t xml:space="preserve"> A payer-specific, service-specific PA requirement database that automatically determines at order entry whether PA is required, what documentation is needed, and which submission channel is appropriate. This database must be maintained in real time as payer policies change — a significant data management challenge given that large health systems work with 200+ payer contracts.</w:t>
      </w:r>
    </w:p>
    <w:p w14:paraId="0E355428" w14:textId="77777777" w:rsidR="00772358" w:rsidRDefault="00000000">
      <w:pPr>
        <w:spacing w:before="60" w:after="120" w:line="280" w:lineRule="auto"/>
        <w:jc w:val="both"/>
      </w:pPr>
      <w:r>
        <w:rPr>
          <w:b/>
          <w:bCs/>
          <w:color w:val="0B4F6C"/>
        </w:rPr>
        <w:t>Layer 2 — NLP chart mining:</w:t>
      </w:r>
      <w:r>
        <w:t xml:space="preserve"> Natural language processing tools that extract relevant clinical information from EHR notes, lab results, imaging reports, and prior visit documentation to pre-populate PA request fields. Manual documentation gathering for a single PA request takes 15–20 minutes; NLP-assisted extraction reduces this to 3–5 minutes with higher completeness rates.</w:t>
      </w:r>
    </w:p>
    <w:p w14:paraId="2EEA4C30" w14:textId="77777777" w:rsidR="00772358" w:rsidRDefault="00000000">
      <w:pPr>
        <w:spacing w:before="60" w:after="120" w:line="280" w:lineRule="auto"/>
        <w:jc w:val="both"/>
      </w:pPr>
      <w:r>
        <w:rPr>
          <w:b/>
          <w:bCs/>
          <w:color w:val="0B4F6C"/>
        </w:rPr>
        <w:t>Layer 3 — Submission automation:</w:t>
      </w:r>
      <w:r>
        <w:t xml:space="preserve"> RPA (Robotic Process Automation) tools that navigate payer portals, complete online PA forms, and submit requests without human intervention for routine, high-volume PA types. API-based submission (available with CMS-mandated FHIR PA APIs by 2026) provides even faster, more reliable submission for participating payers.</w:t>
      </w:r>
    </w:p>
    <w:p w14:paraId="6D79961E" w14:textId="77777777" w:rsidR="00772358" w:rsidRDefault="00000000">
      <w:pPr>
        <w:spacing w:before="60" w:after="120" w:line="280" w:lineRule="auto"/>
        <w:jc w:val="both"/>
      </w:pPr>
      <w:r>
        <w:rPr>
          <w:b/>
          <w:bCs/>
          <w:color w:val="0B4F6C"/>
        </w:rPr>
        <w:t>Layer 4 — Status tracking and analytics:</w:t>
      </w:r>
      <w:r>
        <w:t xml:space="preserve"> Real-time dashboards showing all open PA requests by status (submitted, pending, approved, denied, expired), with automated escalation of requests approaching clinical need dates and analytics on denial rates by payer, service type, and submitter.</w:t>
      </w:r>
    </w:p>
    <w:p w14:paraId="6C80DE14" w14:textId="77777777" w:rsidR="00772358" w:rsidRDefault="00000000">
      <w:pPr>
        <w:pStyle w:val="Heading2"/>
        <w:pBdr>
          <w:bottom w:val="single" w:sz="4" w:space="2" w:color="E8A020"/>
        </w:pBdr>
      </w:pPr>
      <w:r>
        <w:t>6.4 PA Reform — Regulatory Landscape</w:t>
      </w:r>
    </w:p>
    <w:p w14:paraId="26D495BC" w14:textId="77777777" w:rsidR="00772358" w:rsidRDefault="00000000">
      <w:pPr>
        <w:spacing w:before="60" w:after="120" w:line="280" w:lineRule="auto"/>
        <w:jc w:val="both"/>
      </w:pPr>
      <w:r>
        <w:t xml:space="preserve">The prior authorisation burden on providers is unsustainable and is generating significant regulatory response. The CMS Interoperability and Prior Authorization Final Rule (January 2024) </w:t>
      </w:r>
      <w:proofErr w:type="gramStart"/>
      <w:r>
        <w:t>requires</w:t>
      </w:r>
      <w:proofErr w:type="gramEnd"/>
      <w:r>
        <w:t xml:space="preserve"> Medicare Advantage, Medicaid, and CHIP plans to implement FHIR-based APIs for PA status transparency by 2026 and to reduce PA decision turnaround times (non-urgent: 72 hours → 7 calendar days; urgent: 24 hours). The Improving Seniors' Timely Access to Care Act, if enacted, would extend gold-carding protections (exempting providers with high approval histories from PA for certain services) across federal programs.</w:t>
      </w:r>
    </w:p>
    <w:p w14:paraId="44811980" w14:textId="77777777" w:rsidR="00772358" w:rsidRDefault="00000000">
      <w:pPr>
        <w:spacing w:before="60" w:after="120" w:line="280" w:lineRule="auto"/>
        <w:jc w:val="both"/>
      </w:pPr>
      <w:r>
        <w:rPr>
          <w:b/>
          <w:bCs/>
          <w:color w:val="0B4F6C"/>
        </w:rPr>
        <w:t>GCC opportunity:</w:t>
      </w:r>
      <w:r>
        <w:t xml:space="preserve"> PA intake and tracking centres in India serving US health systems have demonstrated significant value — Omega Healthcare, </w:t>
      </w:r>
      <w:proofErr w:type="spellStart"/>
      <w:r>
        <w:t>iEnergizer</w:t>
      </w:r>
      <w:proofErr w:type="spellEnd"/>
      <w:r>
        <w:t>, and Sutherland Healthcare all operate large PA operations from India GCCs. Best-in-class GCC PA teams achieve turnaround of under 24 hours for 90%+ of requests and maintain comprehensive payer-specific rule databases that would be cost-prohibitive to maintain locally.</w:t>
      </w:r>
    </w:p>
    <w:p w14:paraId="27BC12ED" w14:textId="77777777" w:rsidR="00772358" w:rsidRDefault="00000000">
      <w:pPr>
        <w:pStyle w:val="Heading2"/>
        <w:pBdr>
          <w:bottom w:val="single" w:sz="4" w:space="2" w:color="E8A020"/>
        </w:pBdr>
      </w:pPr>
      <w:r>
        <w:t>6.5 KPI Framework — Eligibility &amp; PA</w:t>
      </w:r>
    </w:p>
    <w:p w14:paraId="752ED640"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72358" w14:paraId="298FE0AE"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20DE5262" w14:textId="77777777" w:rsidR="00772358" w:rsidRDefault="00000000">
            <w:r>
              <w:rPr>
                <w:b/>
                <w:bCs/>
                <w:color w:val="FFFFFF"/>
                <w:sz w:val="18"/>
                <w:szCs w:val="18"/>
              </w:rPr>
              <w:t>KPI</w:t>
            </w:r>
          </w:p>
        </w:tc>
        <w:tc>
          <w:tcPr>
            <w:tcW w:w="234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0C0B3A45" w14:textId="77777777" w:rsidR="00772358" w:rsidRDefault="00000000">
            <w:r>
              <w:rPr>
                <w:b/>
                <w:bCs/>
                <w:color w:val="FFFFFF"/>
                <w:sz w:val="18"/>
                <w:szCs w:val="18"/>
              </w:rPr>
              <w:t>Best-in-Class</w:t>
            </w:r>
          </w:p>
        </w:tc>
        <w:tc>
          <w:tcPr>
            <w:tcW w:w="234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25C7132E" w14:textId="77777777" w:rsidR="00772358" w:rsidRDefault="00000000">
            <w:r>
              <w:rPr>
                <w:b/>
                <w:bCs/>
                <w:color w:val="FFFFFF"/>
                <w:sz w:val="18"/>
                <w:szCs w:val="18"/>
              </w:rPr>
              <w:t>Average</w:t>
            </w:r>
          </w:p>
        </w:tc>
        <w:tc>
          <w:tcPr>
            <w:tcW w:w="234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61378255" w14:textId="77777777" w:rsidR="00772358" w:rsidRDefault="00000000">
            <w:r>
              <w:rPr>
                <w:b/>
                <w:bCs/>
                <w:color w:val="FFFFFF"/>
                <w:sz w:val="18"/>
                <w:szCs w:val="18"/>
              </w:rPr>
              <w:t>At Risk</w:t>
            </w:r>
          </w:p>
        </w:tc>
      </w:tr>
      <w:tr w:rsidR="00772358" w14:paraId="46ECFA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0FAB38F9" w14:textId="77777777" w:rsidR="00772358" w:rsidRDefault="00000000">
            <w:r>
              <w:rPr>
                <w:sz w:val="18"/>
                <w:szCs w:val="18"/>
              </w:rPr>
              <w:t>Eligibility verification rate (pre-service)</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36B5600E" w14:textId="77777777" w:rsidR="00772358" w:rsidRDefault="00000000">
            <w:r>
              <w:rPr>
                <w:sz w:val="18"/>
                <w:szCs w:val="18"/>
              </w:rPr>
              <w:t>&gt;98%</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6732CA62" w14:textId="77777777" w:rsidR="00772358" w:rsidRDefault="00000000">
            <w:r>
              <w:rPr>
                <w:sz w:val="18"/>
                <w:szCs w:val="18"/>
              </w:rPr>
              <w:t>88–94%</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228AEE84" w14:textId="77777777" w:rsidR="00772358" w:rsidRDefault="00000000">
            <w:r>
              <w:rPr>
                <w:sz w:val="18"/>
                <w:szCs w:val="18"/>
              </w:rPr>
              <w:t>&lt;80%</w:t>
            </w:r>
          </w:p>
        </w:tc>
      </w:tr>
      <w:tr w:rsidR="00772358" w14:paraId="7EB79C9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0C4FCB1E" w14:textId="77777777" w:rsidR="00772358" w:rsidRDefault="00000000">
            <w:r>
              <w:rPr>
                <w:sz w:val="18"/>
                <w:szCs w:val="18"/>
              </w:rPr>
              <w:t>Eligibility-related denial 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6C2FF51E" w14:textId="77777777" w:rsidR="00772358" w:rsidRDefault="00000000">
            <w:r>
              <w:rPr>
                <w:sz w:val="18"/>
                <w:szCs w:val="18"/>
              </w:rPr>
              <w:t>&lt;1.5%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06DB7B16" w14:textId="77777777" w:rsidR="00772358" w:rsidRDefault="00000000">
            <w:r>
              <w:rPr>
                <w:sz w:val="18"/>
                <w:szCs w:val="18"/>
              </w:rPr>
              <w:t>3–6%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2D0D9FC9" w14:textId="77777777" w:rsidR="00772358" w:rsidRDefault="00000000">
            <w:r>
              <w:rPr>
                <w:sz w:val="18"/>
                <w:szCs w:val="18"/>
              </w:rPr>
              <w:t>&gt;8%</w:t>
            </w:r>
          </w:p>
        </w:tc>
      </w:tr>
      <w:tr w:rsidR="00772358" w14:paraId="3BABC3E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65000E85" w14:textId="77777777" w:rsidR="00772358" w:rsidRDefault="00000000">
            <w:r>
              <w:rPr>
                <w:sz w:val="18"/>
                <w:szCs w:val="18"/>
              </w:rPr>
              <w:t>PA submission completeness rate</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4E39FC47" w14:textId="77777777" w:rsidR="00772358" w:rsidRDefault="00000000">
            <w:r>
              <w:rPr>
                <w:sz w:val="18"/>
                <w:szCs w:val="18"/>
              </w:rPr>
              <w:t>&gt;95%</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21900237" w14:textId="77777777" w:rsidR="00772358" w:rsidRDefault="00000000">
            <w:r>
              <w:rPr>
                <w:sz w:val="18"/>
                <w:szCs w:val="18"/>
              </w:rPr>
              <w:t>80–88%</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2CB1CA54" w14:textId="77777777" w:rsidR="00772358" w:rsidRDefault="00000000">
            <w:r>
              <w:rPr>
                <w:sz w:val="18"/>
                <w:szCs w:val="18"/>
              </w:rPr>
              <w:t>&lt;72%</w:t>
            </w:r>
          </w:p>
        </w:tc>
      </w:tr>
      <w:tr w:rsidR="00772358" w14:paraId="49AA16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4786F7B1" w14:textId="77777777" w:rsidR="00772358" w:rsidRDefault="00000000">
            <w:r>
              <w:rPr>
                <w:sz w:val="18"/>
                <w:szCs w:val="18"/>
              </w:rPr>
              <w:t>PA turnaround (non-urgent)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1FD9106D" w14:textId="77777777" w:rsidR="00772358" w:rsidRDefault="00000000">
            <w:r>
              <w:rPr>
                <w:sz w:val="18"/>
                <w:szCs w:val="18"/>
              </w:rPr>
              <w:t>&lt;1.5 days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6557F83E" w14:textId="77777777" w:rsidR="00772358" w:rsidRDefault="00000000">
            <w:r>
              <w:rPr>
                <w:sz w:val="18"/>
                <w:szCs w:val="18"/>
              </w:rPr>
              <w:t>3–5 days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7ADB49C5" w14:textId="77777777" w:rsidR="00772358" w:rsidRDefault="00000000">
            <w:r>
              <w:rPr>
                <w:sz w:val="18"/>
                <w:szCs w:val="18"/>
              </w:rPr>
              <w:t>&gt;7 days</w:t>
            </w:r>
          </w:p>
        </w:tc>
      </w:tr>
      <w:tr w:rsidR="00772358" w14:paraId="5ABE903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1D26A566" w14:textId="77777777" w:rsidR="00772358" w:rsidRDefault="00000000">
            <w:r>
              <w:rPr>
                <w:sz w:val="18"/>
                <w:szCs w:val="18"/>
              </w:rPr>
              <w:t>PA approval rate</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6EA40594" w14:textId="77777777" w:rsidR="00772358" w:rsidRDefault="00000000">
            <w:r>
              <w:rPr>
                <w:sz w:val="18"/>
                <w:szCs w:val="18"/>
              </w:rPr>
              <w:t>&gt;78%</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25770291" w14:textId="77777777" w:rsidR="00772358" w:rsidRDefault="00000000">
            <w:r>
              <w:rPr>
                <w:sz w:val="18"/>
                <w:szCs w:val="18"/>
              </w:rPr>
              <w:t>68–74%</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61AA3BA2" w14:textId="77777777" w:rsidR="00772358" w:rsidRDefault="00000000">
            <w:r>
              <w:rPr>
                <w:sz w:val="18"/>
                <w:szCs w:val="18"/>
              </w:rPr>
              <w:t>&lt;60%</w:t>
            </w:r>
          </w:p>
        </w:tc>
      </w:tr>
      <w:tr w:rsidR="00772358" w14:paraId="6769AC1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5BAF6A11" w14:textId="77777777" w:rsidR="00772358" w:rsidRDefault="00000000">
            <w:r>
              <w:rPr>
                <w:sz w:val="18"/>
                <w:szCs w:val="18"/>
              </w:rPr>
              <w:t>Auth-related denial 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7384F114" w14:textId="77777777" w:rsidR="00772358" w:rsidRDefault="00000000">
            <w:r>
              <w:rPr>
                <w:sz w:val="18"/>
                <w:szCs w:val="18"/>
              </w:rPr>
              <w:t>&lt;4%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4E21837A" w14:textId="77777777" w:rsidR="00772358" w:rsidRDefault="00000000">
            <w:r>
              <w:rPr>
                <w:sz w:val="18"/>
                <w:szCs w:val="18"/>
              </w:rPr>
              <w:t>7–12%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76BDB8DB" w14:textId="77777777" w:rsidR="00772358" w:rsidRDefault="00000000">
            <w:r>
              <w:rPr>
                <w:sz w:val="18"/>
                <w:szCs w:val="18"/>
              </w:rPr>
              <w:t>&gt;16%</w:t>
            </w:r>
          </w:p>
        </w:tc>
      </w:tr>
      <w:tr w:rsidR="00772358" w14:paraId="6A071B5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5BFB8BA7" w14:textId="77777777" w:rsidR="00772358" w:rsidRDefault="00000000">
            <w:r>
              <w:rPr>
                <w:sz w:val="18"/>
                <w:szCs w:val="18"/>
              </w:rPr>
              <w:t>GCC PA throughput (cases/FTE/day)</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5C296054" w14:textId="77777777" w:rsidR="00772358" w:rsidRDefault="00000000">
            <w:r>
              <w:rPr>
                <w:sz w:val="18"/>
                <w:szCs w:val="18"/>
              </w:rPr>
              <w:t>35–45</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3A616E7A" w14:textId="77777777" w:rsidR="00772358" w:rsidRDefault="00000000">
            <w:r>
              <w:rPr>
                <w:sz w:val="18"/>
                <w:szCs w:val="18"/>
              </w:rPr>
              <w:t>20–28</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46D810BE" w14:textId="77777777" w:rsidR="00772358" w:rsidRDefault="00000000">
            <w:r>
              <w:rPr>
                <w:sz w:val="18"/>
                <w:szCs w:val="18"/>
              </w:rPr>
              <w:t>&lt;15</w:t>
            </w:r>
          </w:p>
        </w:tc>
      </w:tr>
    </w:tbl>
    <w:p w14:paraId="2DB1D6E4" w14:textId="77777777" w:rsidR="00772358" w:rsidRDefault="00772358">
      <w:pPr>
        <w:spacing w:after="80"/>
      </w:pPr>
    </w:p>
    <w:p w14:paraId="1A8DB854" w14:textId="77777777" w:rsidR="00772358" w:rsidRDefault="00000000">
      <w:r>
        <w:br/>
      </w:r>
    </w:p>
    <w:p w14:paraId="49E53DA4" w14:textId="77777777" w:rsidR="00772358" w:rsidRDefault="00000000">
      <w:pPr>
        <w:pStyle w:val="Heading1"/>
        <w:pBdr>
          <w:bottom w:val="single" w:sz="8" w:space="4" w:color="E8A020"/>
        </w:pBdr>
        <w:shd w:val="clear" w:color="auto" w:fill="0B4F6C"/>
        <w:ind w:left="160" w:right="160"/>
      </w:pPr>
      <w:r>
        <w:t>Chapter 7: Medical Coding &amp; Clinical Documentation Improvement</w:t>
      </w:r>
    </w:p>
    <w:p w14:paraId="7A7A8F39"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41AE6FF7" w14:textId="77777777">
        <w:tblPrEx>
          <w:tblCellMar>
            <w:top w:w="0" w:type="dxa"/>
            <w:bottom w:w="0" w:type="dxa"/>
          </w:tblCellMar>
        </w:tblPrEx>
        <w:tc>
          <w:tcPr>
            <w:tcW w:w="9360" w:type="dxa"/>
            <w:tcBorders>
              <w:top w:val="single" w:sz="6" w:space="0" w:color="17A8C8"/>
              <w:left w:val="single" w:sz="18" w:space="0" w:color="17A8C8"/>
              <w:bottom w:val="single" w:sz="6" w:space="0" w:color="17A8C8"/>
              <w:right w:val="single" w:sz="6" w:space="0" w:color="17A8C8"/>
            </w:tcBorders>
            <w:shd w:val="clear" w:color="auto" w:fill="E8F8FC"/>
            <w:tcMar>
              <w:top w:w="140" w:type="dxa"/>
              <w:left w:w="200" w:type="dxa"/>
              <w:bottom w:w="140" w:type="dxa"/>
              <w:right w:w="200" w:type="dxa"/>
            </w:tcMar>
          </w:tcPr>
          <w:p w14:paraId="4AD564F5" w14:textId="77777777" w:rsidR="00772358" w:rsidRDefault="00000000">
            <w:pPr>
              <w:spacing w:after="80"/>
            </w:pPr>
            <w:r>
              <w:rPr>
                <w:b/>
                <w:bCs/>
                <w:color w:val="E8A020"/>
                <w:sz w:val="17"/>
                <w:szCs w:val="17"/>
              </w:rPr>
              <w:t>EXECUTIVE SUMMARY</w:t>
            </w:r>
          </w:p>
          <w:p w14:paraId="778EF087" w14:textId="77777777" w:rsidR="00772358" w:rsidRDefault="00000000">
            <w:pPr>
              <w:jc w:val="both"/>
            </w:pPr>
            <w:r>
              <w:rPr>
                <w:i/>
                <w:iCs/>
                <w:sz w:val="20"/>
                <w:szCs w:val="20"/>
              </w:rPr>
              <w:t>Medical coding and Clinical Documentation Improvement (CDI) are the intellectual core of the revenue cycle. They translate clinical complexity into financial language — ICD-10 codes that define diagnoses, CPT codes that define procedures, and DRGs that determine inpatient payment. Coding accuracy is simultaneously a revenue integrity issue (</w:t>
            </w:r>
            <w:proofErr w:type="spellStart"/>
            <w:r>
              <w:rPr>
                <w:i/>
                <w:iCs/>
                <w:sz w:val="20"/>
                <w:szCs w:val="20"/>
              </w:rPr>
              <w:t>undercoding</w:t>
            </w:r>
            <w:proofErr w:type="spellEnd"/>
            <w:r>
              <w:rPr>
                <w:i/>
                <w:iCs/>
                <w:sz w:val="20"/>
                <w:szCs w:val="20"/>
              </w:rPr>
              <w:t xml:space="preserve"> leaves money on the table), a compliance issue (</w:t>
            </w:r>
            <w:proofErr w:type="spellStart"/>
            <w:r>
              <w:rPr>
                <w:i/>
                <w:iCs/>
                <w:sz w:val="20"/>
                <w:szCs w:val="20"/>
              </w:rPr>
              <w:t>overcoding</w:t>
            </w:r>
            <w:proofErr w:type="spellEnd"/>
            <w:r>
              <w:rPr>
                <w:i/>
                <w:iCs/>
                <w:sz w:val="20"/>
                <w:szCs w:val="20"/>
              </w:rPr>
              <w:t xml:space="preserve"> creates FWA risk), and a quality measurement issue (diagnosis codes drive quality metrics, risk scores, and population health analytics). This chapter provides the complete coding and CDI operating model.</w:t>
            </w:r>
          </w:p>
        </w:tc>
      </w:tr>
    </w:tbl>
    <w:p w14:paraId="5C0A398F" w14:textId="77777777" w:rsidR="00772358" w:rsidRDefault="00772358">
      <w:pPr>
        <w:spacing w:after="80"/>
      </w:pPr>
    </w:p>
    <w:p w14:paraId="0F4F1332" w14:textId="77777777" w:rsidR="00772358" w:rsidRDefault="00000000">
      <w:pPr>
        <w:pStyle w:val="Heading2"/>
        <w:pBdr>
          <w:bottom w:val="single" w:sz="4" w:space="2" w:color="E8A020"/>
        </w:pBdr>
      </w:pPr>
      <w:r>
        <w:t>7.1 The Coding Ecosystem</w:t>
      </w:r>
    </w:p>
    <w:p w14:paraId="67A01C62" w14:textId="77777777" w:rsidR="00772358" w:rsidRDefault="00000000">
      <w:pPr>
        <w:spacing w:before="200" w:after="80"/>
        <w:jc w:val="center"/>
      </w:pPr>
      <w:r>
        <w:rPr>
          <w:noProof/>
        </w:rPr>
        <w:drawing>
          <wp:inline distT="0" distB="0" distL="0" distR="0" wp14:anchorId="2103F9A0" wp14:editId="308C2539">
            <wp:extent cx="3924300" cy="1743075"/>
            <wp:effectExtent l="0" t="0" r="0" b="0"/>
            <wp:docPr id="1688482338" name="Picture 1688482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24300" cy="1743075"/>
                    </a:xfrm>
                    <a:prstGeom prst="rect">
                      <a:avLst/>
                    </a:prstGeom>
                  </pic:spPr>
                </pic:pic>
              </a:graphicData>
            </a:graphic>
          </wp:inline>
        </w:drawing>
      </w:r>
    </w:p>
    <w:p w14:paraId="046DD6CA" w14:textId="77777777" w:rsidR="00772358" w:rsidRDefault="00000000">
      <w:pPr>
        <w:spacing w:after="200"/>
        <w:jc w:val="center"/>
      </w:pPr>
      <w:r>
        <w:rPr>
          <w:i/>
          <w:iCs/>
          <w:color w:val="5B8FA8"/>
          <w:sz w:val="18"/>
          <w:szCs w:val="18"/>
        </w:rPr>
        <w:t>Figure 7.1: Medical Coding &amp; CDI — Classification Systems &amp; Revenue Integrity</w:t>
      </w:r>
    </w:p>
    <w:p w14:paraId="04D5A82D" w14:textId="77777777" w:rsidR="00772358" w:rsidRDefault="00000000">
      <w:pPr>
        <w:spacing w:before="60" w:after="120" w:line="280" w:lineRule="auto"/>
        <w:jc w:val="both"/>
      </w:pPr>
      <w:r>
        <w:rPr>
          <w:b/>
          <w:bCs/>
          <w:color w:val="0B4F6C"/>
        </w:rPr>
        <w:t>ICD-10-CM</w:t>
      </w:r>
      <w:r>
        <w:t xml:space="preserve"> (International Classification of Diseases, 10th Revision, Clinical Modification) classifies diseases, injuries, symptoms, and reasons for encounter. With 70,000+ codes organised in a hierarchical structure, ICD-10-CM provides the diagnostic specificity that drives DRG assignment, risk adjustment, quality reporting, and population health analytics.</w:t>
      </w:r>
    </w:p>
    <w:p w14:paraId="13A180F2" w14:textId="77777777" w:rsidR="00772358" w:rsidRDefault="00000000">
      <w:pPr>
        <w:spacing w:before="60" w:after="120" w:line="280" w:lineRule="auto"/>
        <w:jc w:val="both"/>
      </w:pPr>
      <w:r>
        <w:rPr>
          <w:b/>
          <w:bCs/>
          <w:color w:val="0B4F6C"/>
        </w:rPr>
        <w:t>CPT</w:t>
      </w:r>
      <w:r>
        <w:t xml:space="preserve"> (Current Procedural Terminology) describes physician and outpatient facility services and procedures. CPT codes drive professional fee billing and are required for all Part B claims. Modifier codes provide additional specificity — laterality, procedural context, session sequence — that affects both payment and compliance.</w:t>
      </w:r>
    </w:p>
    <w:p w14:paraId="35DC790A" w14:textId="77777777" w:rsidR="00772358" w:rsidRDefault="00000000">
      <w:pPr>
        <w:spacing w:before="60" w:after="120" w:line="280" w:lineRule="auto"/>
        <w:jc w:val="both"/>
      </w:pPr>
      <w:r>
        <w:rPr>
          <w:b/>
          <w:bCs/>
          <w:color w:val="0B4F6C"/>
        </w:rPr>
        <w:t>HCPCS</w:t>
      </w:r>
      <w:r>
        <w:t xml:space="preserve"> (Healthcare Common Procedure Coding System) Level II codes describe supplies, durable medical equipment, drugs, and services not covered by CPT — critical for outpatient pharmacy billing, DME, ambulance services, and prosthetics.</w:t>
      </w:r>
    </w:p>
    <w:p w14:paraId="661C4627" w14:textId="77777777" w:rsidR="00772358" w:rsidRDefault="00000000">
      <w:pPr>
        <w:spacing w:before="60" w:after="120" w:line="280" w:lineRule="auto"/>
        <w:jc w:val="both"/>
      </w:pPr>
      <w:r>
        <w:rPr>
          <w:b/>
          <w:bCs/>
          <w:color w:val="0B4F6C"/>
        </w:rPr>
        <w:t>DRG</w:t>
      </w:r>
      <w:r>
        <w:t xml:space="preserve"> (Diagnosis-Related Group) codes determine Medicare inpatient payment. Each MS-DRG maps to a payment weight that multiplies the hospital's base rate to determine the episode payment. The principal diagnosis, secondary diagnoses (complication and comorbidity status), procedures, and discharge disposition all affect DRG assignment.</w:t>
      </w:r>
    </w:p>
    <w:p w14:paraId="65BC37FB" w14:textId="77777777" w:rsidR="00772358" w:rsidRDefault="00000000">
      <w:pPr>
        <w:pStyle w:val="Heading2"/>
        <w:pBdr>
          <w:bottom w:val="single" w:sz="4" w:space="2" w:color="E8A020"/>
        </w:pBdr>
      </w:pPr>
      <w:r>
        <w:t>7.2 Clinical Documentation Improvement</w:t>
      </w:r>
    </w:p>
    <w:p w14:paraId="00BC9505" w14:textId="77777777" w:rsidR="00772358" w:rsidRDefault="00000000">
      <w:pPr>
        <w:spacing w:before="60" w:after="120" w:line="280" w:lineRule="auto"/>
        <w:jc w:val="both"/>
      </w:pPr>
      <w:r>
        <w:t>CDI is the proactive process of engaging clinicians to ensure that medical documentation accurately reflects the patient's clinical condition, the services provided, and the complexity of care — enabling accurate and complete coding.</w:t>
      </w:r>
    </w:p>
    <w:p w14:paraId="5DAD8574" w14:textId="77777777" w:rsidR="00772358" w:rsidRDefault="00000000">
      <w:pPr>
        <w:spacing w:before="60" w:after="120" w:line="280" w:lineRule="auto"/>
        <w:jc w:val="both"/>
      </w:pPr>
      <w:r>
        <w:rPr>
          <w:b/>
          <w:bCs/>
          <w:color w:val="0B4F6C"/>
        </w:rPr>
        <w:t>Concurrent CDI</w:t>
      </w:r>
      <w:r>
        <w:t xml:space="preserve"> (inpatient): CDI specialists review medical records while the patient is admitted, identifying documentation gaps and issuing physician queries to clarify ambiguous, contradictory, or incomplete clinical information. Concurrent CDI has direct impact on DRG assignment and case mix index.</w:t>
      </w:r>
    </w:p>
    <w:p w14:paraId="64E5AC86" w14:textId="77777777" w:rsidR="00772358" w:rsidRDefault="00000000">
      <w:pPr>
        <w:spacing w:before="60" w:after="120" w:line="280" w:lineRule="auto"/>
        <w:jc w:val="both"/>
      </w:pPr>
      <w:r>
        <w:rPr>
          <w:b/>
          <w:bCs/>
          <w:color w:val="0B4F6C"/>
        </w:rPr>
        <w:t>Retrospective CDI</w:t>
      </w:r>
      <w:r>
        <w:t xml:space="preserve"> (post-discharge): Review of discharged records to identify coding opportunities missed during concurrent review. Less impactful for DRG optimisation (most payers only allow DRG changes on appeal) but valuable for coding quality measurement and physician education.</w:t>
      </w:r>
    </w:p>
    <w:p w14:paraId="5A187FDF" w14:textId="77777777" w:rsidR="00772358" w:rsidRDefault="00000000">
      <w:pPr>
        <w:spacing w:before="60" w:after="120" w:line="280" w:lineRule="auto"/>
        <w:jc w:val="both"/>
      </w:pPr>
      <w:r>
        <w:rPr>
          <w:b/>
          <w:bCs/>
          <w:color w:val="0B4F6C"/>
        </w:rPr>
        <w:t>Ambulatory CDI</w:t>
      </w:r>
      <w:r>
        <w:t xml:space="preserve"> (outpatient): A rapidly growing CDI application focused on HCC risk adjustment documentation in physician and specialty clinic settings. Ensures that chronic condition diagnoses assessed and managed during ambulatory encounters are documented with ICD-10 specificity required for risk adjustment.</w:t>
      </w:r>
    </w:p>
    <w:p w14:paraId="78EE7D21" w14:textId="77777777" w:rsidR="00772358" w:rsidRDefault="00000000">
      <w:pPr>
        <w:pStyle w:val="Heading2"/>
        <w:pBdr>
          <w:bottom w:val="single" w:sz="4" w:space="2" w:color="E8A020"/>
        </w:pBdr>
      </w:pPr>
      <w:r>
        <w:t>7.3 The Physician Query Process</w:t>
      </w:r>
    </w:p>
    <w:p w14:paraId="70434323" w14:textId="77777777" w:rsidR="00772358" w:rsidRDefault="00000000">
      <w:pPr>
        <w:spacing w:before="60" w:after="120" w:line="280" w:lineRule="auto"/>
        <w:jc w:val="both"/>
      </w:pPr>
      <w:r>
        <w:t>When documentation is ambiguous, conflicting, or insufficiently specific for accurate coding, CDI specialists and coders submit physician queries — formal questions seeking clarification.</w:t>
      </w:r>
    </w:p>
    <w:p w14:paraId="5F738222" w14:textId="77777777" w:rsidR="00772358" w:rsidRDefault="00000000">
      <w:pPr>
        <w:spacing w:before="60" w:after="120" w:line="280" w:lineRule="auto"/>
        <w:jc w:val="both"/>
      </w:pPr>
      <w:r>
        <w:rPr>
          <w:b/>
          <w:bCs/>
          <w:color w:val="0B4F6C"/>
        </w:rPr>
        <w:t>Query standards:</w:t>
      </w:r>
      <w:r>
        <w:t xml:space="preserve"> AHIMA and ACDIS have established guidelines for compliant physician queries. Queries must be non-leading (not suggesting a specific diagnosis), clinically supported (based on documented clinical indicators), and professionally formatted. Non-compliant queries create FWA risk.</w:t>
      </w:r>
    </w:p>
    <w:p w14:paraId="6D544C42" w14:textId="77777777" w:rsidR="00772358" w:rsidRDefault="00000000">
      <w:pPr>
        <w:spacing w:before="60" w:after="120" w:line="280" w:lineRule="auto"/>
        <w:jc w:val="both"/>
      </w:pPr>
      <w:r>
        <w:rPr>
          <w:b/>
          <w:bCs/>
          <w:color w:val="0B4F6C"/>
        </w:rPr>
        <w:t>Query response rate</w:t>
      </w:r>
      <w:r>
        <w:t xml:space="preserve"> is a key CDI performance metric. Organisations with structured physician CDI engagement programs achieve query response rates of 85–95%. Those without structured programs typically see 40–60% response rates with slower turnaround times.</w:t>
      </w:r>
    </w:p>
    <w:p w14:paraId="55FE6E1F" w14:textId="77777777" w:rsidR="00772358" w:rsidRDefault="00000000">
      <w:pPr>
        <w:pStyle w:val="Heading2"/>
        <w:pBdr>
          <w:bottom w:val="single" w:sz="4" w:space="2" w:color="E8A020"/>
        </w:pBdr>
      </w:pPr>
      <w:r>
        <w:t>7.4 AI in Coding and CDI</w:t>
      </w:r>
    </w:p>
    <w:p w14:paraId="1CD375B4" w14:textId="77777777" w:rsidR="00772358" w:rsidRDefault="00000000">
      <w:pPr>
        <w:spacing w:before="60" w:after="120" w:line="280" w:lineRule="auto"/>
        <w:jc w:val="both"/>
      </w:pPr>
      <w:r>
        <w:rPr>
          <w:b/>
          <w:bCs/>
          <w:color w:val="0B4F6C"/>
        </w:rPr>
        <w:t>Computer-Assisted Coding (CAC):</w:t>
      </w:r>
      <w:r>
        <w:t xml:space="preserve"> NLP tools analyse clinical documentation and suggest ICD-10 and CPT codes. CAC tools increase coder throughput and reduce coding variation. The most advanced CAC platforms achieve 40–60% autonomous coding rates for straightforward encounter types (routine office visits, simple ED encounters) while routing complex cases to human coders.</w:t>
      </w:r>
    </w:p>
    <w:p w14:paraId="77573714" w14:textId="77777777" w:rsidR="00772358" w:rsidRDefault="00000000">
      <w:pPr>
        <w:spacing w:before="60" w:after="120" w:line="280" w:lineRule="auto"/>
        <w:jc w:val="both"/>
      </w:pPr>
      <w:r>
        <w:rPr>
          <w:b/>
          <w:bCs/>
          <w:color w:val="0B4F6C"/>
        </w:rPr>
        <w:t>CDI AI:</w:t>
      </w:r>
      <w:r>
        <w:t xml:space="preserve"> AI tools that identify documentation gaps in real time — flagging patients who likely have additional diagnoses based on clinical indicators in labs, medications, and nursing notes — increase CDI query rates and decrease the manual chart review time required per case.</w:t>
      </w:r>
    </w:p>
    <w:p w14:paraId="67E8FF69" w14:textId="77777777" w:rsidR="00772358" w:rsidRDefault="00000000">
      <w:pPr>
        <w:spacing w:before="60" w:after="120" w:line="280" w:lineRule="auto"/>
        <w:jc w:val="both"/>
      </w:pPr>
      <w:r>
        <w:rPr>
          <w:b/>
          <w:bCs/>
          <w:color w:val="0B4F6C"/>
        </w:rPr>
        <w:t>Autonomous CDI Queries:</w:t>
      </w:r>
      <w:r>
        <w:t xml:space="preserve"> Some platforms now generate physician queries automatically based on AI-identified documentation gaps, dramatically increasing query volume without proportional CDI staffing increases.</w:t>
      </w:r>
    </w:p>
    <w:p w14:paraId="709B56CD" w14:textId="77777777" w:rsidR="00772358" w:rsidRDefault="00000000">
      <w:pPr>
        <w:pStyle w:val="Heading2"/>
        <w:pBdr>
          <w:bottom w:val="single" w:sz="4" w:space="2" w:color="E8A020"/>
        </w:pBdr>
      </w:pPr>
      <w:r>
        <w:t>Questions for Leadership</w:t>
      </w:r>
    </w:p>
    <w:p w14:paraId="125DF9C0" w14:textId="77777777" w:rsidR="00772358" w:rsidRDefault="00000000">
      <w:pPr>
        <w:spacing w:before="60" w:after="120" w:line="280" w:lineRule="auto"/>
        <w:jc w:val="both"/>
      </w:pPr>
      <w:r>
        <w:t>What is your organisation's current Case Mix Index (CMI), and how does it compare to peer organisations with similar patient populations? What is your CDI query response rate and average response turnaround time? Has the organisation implemented AI-powered coding assistance, and has the impact on coder productivity and coding accuracy been measured?</w:t>
      </w:r>
    </w:p>
    <w:p w14:paraId="3A42F738" w14:textId="77777777" w:rsidR="00772358" w:rsidRDefault="00000000">
      <w:pPr>
        <w:spacing w:before="60" w:after="120" w:line="280" w:lineRule="auto"/>
        <w:jc w:val="both"/>
      </w:pPr>
      <w:r>
        <w:rPr>
          <w:i/>
          <w:iCs/>
        </w:rPr>
        <w:t>Chapter 7 complete.</w:t>
      </w:r>
    </w:p>
    <w:p w14:paraId="3612E939" w14:textId="77777777" w:rsidR="00772358" w:rsidRDefault="00000000">
      <w:pPr>
        <w:pStyle w:val="Heading2"/>
        <w:pBdr>
          <w:bottom w:val="single" w:sz="4" w:space="2" w:color="E8A020"/>
        </w:pBdr>
      </w:pPr>
      <w:r>
        <w:t>7.5 ICD-10 Specificity: The Revenue Impact</w:t>
      </w:r>
    </w:p>
    <w:p w14:paraId="0E8A0D4C" w14:textId="77777777" w:rsidR="00772358" w:rsidRDefault="00000000">
      <w:pPr>
        <w:spacing w:before="60" w:after="120" w:line="280" w:lineRule="auto"/>
        <w:jc w:val="both"/>
      </w:pPr>
      <w:r>
        <w:t>ICD-10-CM coding specificity directly determines DRG assignment for inpatient claims and risk adjustment score for managed care populations. A physician who documents "heart failure" without specifying systolic versus diastolic, acute versus chronic, and left versus right ventricular involvement leaves significant revenue on the table — the HCC risk adjustment score for "systolic heart failure" is materially higher than for generic "heart failure," and the DRG payment for a more complex HF presentation is meaningfully higher than for a simple HF diagnosis.</w:t>
      </w:r>
    </w:p>
    <w:p w14:paraId="612CCB10" w14:textId="77777777" w:rsidR="00772358" w:rsidRDefault="00000000">
      <w:pPr>
        <w:spacing w:before="60" w:after="120" w:line="280" w:lineRule="auto"/>
        <w:jc w:val="both"/>
      </w:pPr>
      <w:r>
        <w:rPr>
          <w:b/>
          <w:bCs/>
          <w:color w:val="0B4F6C"/>
        </w:rPr>
        <w:t>High-specificity diagnosis categories with major revenue impact:</w:t>
      </w:r>
    </w:p>
    <w:p w14:paraId="0E771655" w14:textId="77777777" w:rsidR="00772358" w:rsidRDefault="00000000">
      <w:pPr>
        <w:pStyle w:val="ListParagraph"/>
        <w:numPr>
          <w:ilvl w:val="0"/>
          <w:numId w:val="2"/>
        </w:numPr>
        <w:spacing w:before="40" w:after="80"/>
      </w:pPr>
      <w:r>
        <w:t>Heart failure (systolic vs diastolic; acute vs chronic; left vs right vs combined)</w:t>
      </w:r>
    </w:p>
    <w:p w14:paraId="09A0757A" w14:textId="77777777" w:rsidR="00772358" w:rsidRDefault="00000000">
      <w:pPr>
        <w:pStyle w:val="ListParagraph"/>
        <w:numPr>
          <w:ilvl w:val="0"/>
          <w:numId w:val="2"/>
        </w:numPr>
        <w:spacing w:before="40" w:after="80"/>
      </w:pPr>
      <w:r>
        <w:t>Sepsis (SIRS vs sepsis vs severe sepsis vs septic shock — major DRG payment differences)</w:t>
      </w:r>
    </w:p>
    <w:p w14:paraId="6BC77E71" w14:textId="77777777" w:rsidR="00772358" w:rsidRDefault="00000000">
      <w:pPr>
        <w:pStyle w:val="ListParagraph"/>
        <w:numPr>
          <w:ilvl w:val="0"/>
          <w:numId w:val="2"/>
        </w:numPr>
        <w:spacing w:before="40" w:after="80"/>
      </w:pPr>
      <w:r>
        <w:t>Malnutrition (mild vs moderate vs severe — affects complication status)</w:t>
      </w:r>
    </w:p>
    <w:p w14:paraId="5F4AACEF" w14:textId="77777777" w:rsidR="00772358" w:rsidRDefault="00000000">
      <w:pPr>
        <w:pStyle w:val="ListParagraph"/>
        <w:numPr>
          <w:ilvl w:val="0"/>
          <w:numId w:val="2"/>
        </w:numPr>
        <w:spacing w:before="40" w:after="80"/>
      </w:pPr>
      <w:r>
        <w:t>Acute kidney injury (vs chronic kidney disease vs end-stage renal disease)</w:t>
      </w:r>
    </w:p>
    <w:p w14:paraId="4ED93EA4" w14:textId="77777777" w:rsidR="00772358" w:rsidRDefault="00000000">
      <w:pPr>
        <w:pStyle w:val="ListParagraph"/>
        <w:numPr>
          <w:ilvl w:val="0"/>
          <w:numId w:val="2"/>
        </w:numPr>
        <w:spacing w:before="40" w:after="80"/>
      </w:pPr>
      <w:r>
        <w:t>Encephalopathy (metabolic, toxic, anoxic — CC vs MCC status varies)</w:t>
      </w:r>
    </w:p>
    <w:p w14:paraId="7F44F00B" w14:textId="77777777" w:rsidR="00772358" w:rsidRDefault="00000000">
      <w:pPr>
        <w:pStyle w:val="ListParagraph"/>
        <w:numPr>
          <w:ilvl w:val="0"/>
          <w:numId w:val="2"/>
        </w:numPr>
        <w:spacing w:before="40" w:after="80"/>
      </w:pPr>
      <w:r>
        <w:t>Pressure injuries (Stage 1–4 and unstageable — major CC/MCC implications)</w:t>
      </w:r>
    </w:p>
    <w:p w14:paraId="12B9C75E" w14:textId="77777777" w:rsidR="00772358" w:rsidRDefault="00000000">
      <w:pPr>
        <w:spacing w:before="60" w:after="120" w:line="280" w:lineRule="auto"/>
        <w:jc w:val="both"/>
      </w:pPr>
      <w:r>
        <w:rPr>
          <w:b/>
          <w:bCs/>
          <w:color w:val="0B4F6C"/>
        </w:rPr>
        <w:t>CDI impact on case mix index:</w:t>
      </w:r>
      <w:r>
        <w:t xml:space="preserve"> Organisations with mature CDI programs consistently report case mix index improvements of 0.08–0.15 over 2–</w:t>
      </w:r>
      <w:proofErr w:type="gramStart"/>
      <w:r>
        <w:t>3 year</w:t>
      </w:r>
      <w:proofErr w:type="gramEnd"/>
      <w:r>
        <w:t xml:space="preserve"> CDI program maturity periods. At a base rate of $7,000 per case and 20,000 annual discharges, a 0.10 CMI improvement generates approximately $14 million in additional annual net revenue — without billing a single additional service.</w:t>
      </w:r>
    </w:p>
    <w:p w14:paraId="7C220DE1" w14:textId="77777777" w:rsidR="00772358" w:rsidRDefault="00000000">
      <w:pPr>
        <w:pStyle w:val="Heading2"/>
        <w:pBdr>
          <w:bottom w:val="single" w:sz="4" w:space="2" w:color="E8A020"/>
        </w:pBdr>
      </w:pPr>
      <w:r>
        <w:t>7.6 Ambulatory Coding and Evaluation &amp; Management</w:t>
      </w:r>
    </w:p>
    <w:p w14:paraId="417B5B70" w14:textId="77777777" w:rsidR="00772358" w:rsidRDefault="00000000">
      <w:pPr>
        <w:spacing w:before="60" w:after="120" w:line="280" w:lineRule="auto"/>
        <w:jc w:val="both"/>
      </w:pPr>
      <w:r>
        <w:t>E/M (Evaluation and Management) coding for outpatient office visits underwent a fundamental restructuring with the 2021 AMA CPT code revisions, which replaced the four-element documentation-based E/M selection model with a two-element model: medical decision making (MDM) complexity OR total time.</w:t>
      </w:r>
    </w:p>
    <w:p w14:paraId="346FA457" w14:textId="77777777" w:rsidR="00772358" w:rsidRDefault="00000000">
      <w:pPr>
        <w:spacing w:before="60" w:after="120" w:line="280" w:lineRule="auto"/>
        <w:jc w:val="both"/>
      </w:pPr>
      <w:r>
        <w:rPr>
          <w:b/>
          <w:bCs/>
          <w:color w:val="0B4F6C"/>
        </w:rPr>
        <w:t>MDM complexity</w:t>
      </w:r>
      <w:r>
        <w:t xml:space="preserve"> is assessed across three elements: the number and complexity of problems addressed, the amount and complexity of data reviewed, and the risk of complications and morbidity. The intersection of these three elements — each scored as minimal, low, moderate, or high — determines the MDM complexity level (straightforward, low, moderate, high) and thus the E/M code (99213, 99214, 99215).</w:t>
      </w:r>
    </w:p>
    <w:p w14:paraId="3A00707A" w14:textId="77777777" w:rsidR="00772358" w:rsidRDefault="00000000">
      <w:pPr>
        <w:spacing w:before="60" w:after="120" w:line="280" w:lineRule="auto"/>
        <w:jc w:val="both"/>
      </w:pPr>
      <w:r>
        <w:rPr>
          <w:b/>
          <w:bCs/>
          <w:color w:val="0B4F6C"/>
        </w:rPr>
        <w:t>Time-based E/M coding:</w:t>
      </w:r>
      <w:r>
        <w:t xml:space="preserve"> Providers who spend a defined total time (minimum threshold) on the face-to-face encounter plus all related pre- and post-encounter work on the date of service may select the E/M code based solely on time — a significant simplification from the previous documentation-intensive approach.</w:t>
      </w:r>
    </w:p>
    <w:p w14:paraId="3DE7CE1D" w14:textId="77777777" w:rsidR="00772358" w:rsidRDefault="00000000">
      <w:pPr>
        <w:spacing w:before="60" w:after="120" w:line="280" w:lineRule="auto"/>
        <w:jc w:val="both"/>
      </w:pPr>
      <w:r>
        <w:rPr>
          <w:b/>
          <w:bCs/>
          <w:color w:val="0B4F6C"/>
        </w:rPr>
        <w:t>GCC coding quality applications:</w:t>
      </w:r>
      <w:r>
        <w:t xml:space="preserve"> Retrospective coding audits, E/M level analysis (identifying systematic </w:t>
      </w:r>
      <w:proofErr w:type="spellStart"/>
      <w:r>
        <w:t>undercoding</w:t>
      </w:r>
      <w:proofErr w:type="spellEnd"/>
      <w:r>
        <w:t xml:space="preserve"> or </w:t>
      </w:r>
      <w:proofErr w:type="spellStart"/>
      <w:r>
        <w:t>overcoding</w:t>
      </w:r>
      <w:proofErr w:type="spellEnd"/>
      <w:r>
        <w:t xml:space="preserve"> patterns by physician), and coder productivity analytics are GCC-deliverable functions that support both revenue integrity and compliance objectives.</w:t>
      </w:r>
    </w:p>
    <w:p w14:paraId="00DB078E" w14:textId="77777777" w:rsidR="00772358" w:rsidRDefault="00000000">
      <w:r>
        <w:br/>
      </w:r>
    </w:p>
    <w:p w14:paraId="6DBD7DF8" w14:textId="77777777" w:rsidR="00772358" w:rsidRDefault="00000000">
      <w:pPr>
        <w:pStyle w:val="Heading1"/>
        <w:pBdr>
          <w:bottom w:val="single" w:sz="8" w:space="4" w:color="E8A020"/>
        </w:pBdr>
        <w:shd w:val="clear" w:color="auto" w:fill="0B4F6C"/>
        <w:ind w:left="160" w:right="160"/>
      </w:pPr>
      <w:r>
        <w:t>Chapter 8: Claims Adjudication — The Payer Engine</w:t>
      </w:r>
    </w:p>
    <w:p w14:paraId="19967375"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4D800912" w14:textId="77777777">
        <w:tblPrEx>
          <w:tblCellMar>
            <w:top w:w="0" w:type="dxa"/>
            <w:bottom w:w="0" w:type="dxa"/>
          </w:tblCellMar>
        </w:tblPrEx>
        <w:tc>
          <w:tcPr>
            <w:tcW w:w="9360" w:type="dxa"/>
            <w:tcBorders>
              <w:top w:val="single" w:sz="6" w:space="0" w:color="17A8C8"/>
              <w:left w:val="single" w:sz="18" w:space="0" w:color="17A8C8"/>
              <w:bottom w:val="single" w:sz="6" w:space="0" w:color="17A8C8"/>
              <w:right w:val="single" w:sz="6" w:space="0" w:color="17A8C8"/>
            </w:tcBorders>
            <w:shd w:val="clear" w:color="auto" w:fill="E8F8FC"/>
            <w:tcMar>
              <w:top w:w="140" w:type="dxa"/>
              <w:left w:w="200" w:type="dxa"/>
              <w:bottom w:w="140" w:type="dxa"/>
              <w:right w:w="200" w:type="dxa"/>
            </w:tcMar>
          </w:tcPr>
          <w:p w14:paraId="3BD7FEC9" w14:textId="77777777" w:rsidR="00772358" w:rsidRDefault="00000000">
            <w:pPr>
              <w:spacing w:after="80"/>
            </w:pPr>
            <w:r>
              <w:rPr>
                <w:b/>
                <w:bCs/>
                <w:color w:val="E8A020"/>
                <w:sz w:val="17"/>
                <w:szCs w:val="17"/>
              </w:rPr>
              <w:t>EXECUTIVE SUMMARY</w:t>
            </w:r>
          </w:p>
          <w:p w14:paraId="68563018" w14:textId="77777777" w:rsidR="00772358" w:rsidRDefault="00000000">
            <w:pPr>
              <w:jc w:val="both"/>
            </w:pPr>
            <w:r>
              <w:rPr>
                <w:i/>
                <w:iCs/>
                <w:sz w:val="20"/>
                <w:szCs w:val="20"/>
              </w:rPr>
              <w:t>Claims adjudication is the core payer process that determines whether healthcare claims are paid, denied, adjusted, or pended. It is simultaneously the highest-volume operation in payer organisations and the most consequential — converting benefit design, provider contracts, eligibility, and medical policy into payment decisions that affect provider cash flow, member financial experience, and payer financial performance. This chapter provides the complete adjudication operating model.</w:t>
            </w:r>
          </w:p>
        </w:tc>
      </w:tr>
    </w:tbl>
    <w:p w14:paraId="43E8D726" w14:textId="77777777" w:rsidR="00772358" w:rsidRDefault="00772358">
      <w:pPr>
        <w:spacing w:after="80"/>
      </w:pPr>
    </w:p>
    <w:p w14:paraId="56929DF3" w14:textId="77777777" w:rsidR="00772358" w:rsidRDefault="00000000">
      <w:pPr>
        <w:pStyle w:val="Heading2"/>
        <w:pBdr>
          <w:bottom w:val="single" w:sz="4" w:space="2" w:color="E8A020"/>
        </w:pBdr>
      </w:pPr>
      <w:r>
        <w:t>8.1 The Five-Stage Adjudication Lifecycle</w:t>
      </w:r>
    </w:p>
    <w:p w14:paraId="51C2689D" w14:textId="77777777" w:rsidR="00772358" w:rsidRDefault="00000000">
      <w:pPr>
        <w:spacing w:before="200" w:after="80"/>
        <w:jc w:val="center"/>
      </w:pPr>
      <w:r>
        <w:rPr>
          <w:noProof/>
        </w:rPr>
        <w:drawing>
          <wp:inline distT="0" distB="0" distL="0" distR="0" wp14:anchorId="0B7CDB18" wp14:editId="4FEDE3F6">
            <wp:extent cx="3924300" cy="1419225"/>
            <wp:effectExtent l="0" t="0" r="0" b="0"/>
            <wp:docPr id="1291109955" name="Picture 1291109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924300" cy="1419225"/>
                    </a:xfrm>
                    <a:prstGeom prst="rect">
                      <a:avLst/>
                    </a:prstGeom>
                  </pic:spPr>
                </pic:pic>
              </a:graphicData>
            </a:graphic>
          </wp:inline>
        </w:drawing>
      </w:r>
    </w:p>
    <w:p w14:paraId="2A343A1C" w14:textId="77777777" w:rsidR="00772358" w:rsidRDefault="00000000">
      <w:pPr>
        <w:spacing w:after="200"/>
        <w:jc w:val="center"/>
      </w:pPr>
      <w:r>
        <w:rPr>
          <w:i/>
          <w:iCs/>
          <w:color w:val="5B8FA8"/>
          <w:sz w:val="18"/>
          <w:szCs w:val="18"/>
        </w:rPr>
        <w:t>Figure 8.1: Claims Adjudication — The Payer Decision Engine</w:t>
      </w:r>
    </w:p>
    <w:p w14:paraId="30A60D4E" w14:textId="77777777" w:rsidR="00772358" w:rsidRDefault="00000000">
      <w:pPr>
        <w:spacing w:before="60" w:after="120" w:line="280" w:lineRule="auto"/>
        <w:jc w:val="both"/>
      </w:pPr>
      <w:r>
        <w:rPr>
          <w:b/>
          <w:bCs/>
          <w:color w:val="0B4F6C"/>
        </w:rPr>
        <w:t>Stage 1 — Intake and Validation.</w:t>
      </w:r>
      <w:r>
        <w:t xml:space="preserve"> Claims received from providers (via clearinghouse or direct submission) are checked for format compliance (ANSI X12 837), completeness (required data elements), and non-duplication. Invalid claims generate rejections (returned without entering adjudication); duplicate claims are flagged for investigation.</w:t>
      </w:r>
    </w:p>
    <w:p w14:paraId="6D592799" w14:textId="77777777" w:rsidR="00772358" w:rsidRDefault="00000000">
      <w:pPr>
        <w:spacing w:before="60" w:after="120" w:line="280" w:lineRule="auto"/>
        <w:jc w:val="both"/>
      </w:pPr>
      <w:r>
        <w:rPr>
          <w:b/>
          <w:bCs/>
          <w:color w:val="0B4F6C"/>
        </w:rPr>
        <w:t>Stage 2 — Eligibility and Benefit Determination.</w:t>
      </w:r>
      <w:r>
        <w:t xml:space="preserve"> The claim is matched to the member </w:t>
      </w:r>
      <w:proofErr w:type="spellStart"/>
      <w:r>
        <w:t>enrollment</w:t>
      </w:r>
      <w:proofErr w:type="spellEnd"/>
      <w:r>
        <w:t xml:space="preserve"> record. Eligibility on the date of service, plan assignment, benefit design, deductible accumulator status, and cost-sharing obligations are determined. Claims for ineligible members generate eligibility denials.</w:t>
      </w:r>
    </w:p>
    <w:p w14:paraId="1051169D" w14:textId="77777777" w:rsidR="00772358" w:rsidRDefault="00000000">
      <w:pPr>
        <w:spacing w:before="60" w:after="120" w:line="280" w:lineRule="auto"/>
        <w:jc w:val="both"/>
      </w:pPr>
      <w:r>
        <w:rPr>
          <w:b/>
          <w:bCs/>
          <w:color w:val="0B4F6C"/>
        </w:rPr>
        <w:t>Stage 3 — Medical Policy and Authorisation Review.</w:t>
      </w:r>
      <w:r>
        <w:t xml:space="preserve"> The service is evaluated against the plan's medical policy — coverage criteria, quantity limits, age restrictions, and authorisation requirements. Claims lacking required authorisations, or where the service does not meet coverage criteria, are denied at this stage.</w:t>
      </w:r>
    </w:p>
    <w:p w14:paraId="11DD4C98" w14:textId="77777777" w:rsidR="00772358" w:rsidRDefault="00000000">
      <w:pPr>
        <w:spacing w:before="60" w:after="120" w:line="280" w:lineRule="auto"/>
        <w:jc w:val="both"/>
      </w:pPr>
      <w:r>
        <w:rPr>
          <w:b/>
          <w:bCs/>
          <w:color w:val="0B4F6C"/>
        </w:rPr>
        <w:t>Stage 4 — Pricing and Contract Application.</w:t>
      </w:r>
      <w:r>
        <w:t xml:space="preserve"> For contracted providers, the applicable fee schedule or alternative payment arrangement is applied to calculate allowed amounts. For non-contracted providers, applicable OON reimbursement rules are applied.</w:t>
      </w:r>
    </w:p>
    <w:p w14:paraId="71D0289A" w14:textId="77777777" w:rsidR="00772358" w:rsidRDefault="00000000">
      <w:pPr>
        <w:spacing w:before="60" w:after="120" w:line="280" w:lineRule="auto"/>
        <w:jc w:val="both"/>
      </w:pPr>
      <w:r>
        <w:rPr>
          <w:b/>
          <w:bCs/>
          <w:color w:val="0B4F6C"/>
        </w:rPr>
        <w:t>Stage 5 — Payment Calculation and Output.</w:t>
      </w:r>
      <w:r>
        <w:t xml:space="preserve"> Member cost-sharing (deductible, copay, coinsurance) is calculated and applied. The claim is finalised with a pay, deny, adjust, or pend disposition. The ERA (835 transaction) is generated. Member EOB is generated. Provider payment is released.</w:t>
      </w:r>
    </w:p>
    <w:p w14:paraId="59B27D6D" w14:textId="77777777" w:rsidR="00772358" w:rsidRDefault="00000000">
      <w:pPr>
        <w:pStyle w:val="Heading2"/>
        <w:pBdr>
          <w:bottom w:val="single" w:sz="4" w:space="2" w:color="E8A020"/>
        </w:pBdr>
      </w:pPr>
      <w:r>
        <w:t>8.2 Auto-Adjudication: The Efficiency Frontier</w:t>
      </w:r>
    </w:p>
    <w:p w14:paraId="2F82A494" w14:textId="77777777" w:rsidR="00772358" w:rsidRDefault="00000000">
      <w:pPr>
        <w:spacing w:before="60" w:after="120" w:line="280" w:lineRule="auto"/>
        <w:jc w:val="both"/>
      </w:pPr>
      <w:r>
        <w:t>Auto-adjudication — the processing of claims through all five stages without human intervention — is the primary efficiency metric for payer claims operations. Best-in-class payers achieve 90–95% auto-adjudication rates. Organisations below 80% are significantly inefficient.</w:t>
      </w:r>
    </w:p>
    <w:p w14:paraId="41F07D69" w14:textId="77777777" w:rsidR="00772358" w:rsidRDefault="00000000">
      <w:pPr>
        <w:spacing w:before="60" w:after="120" w:line="280" w:lineRule="auto"/>
        <w:jc w:val="both"/>
      </w:pPr>
      <w:r>
        <w:rPr>
          <w:b/>
          <w:bCs/>
          <w:color w:val="0B4F6C"/>
        </w:rPr>
        <w:t>Auto-adjudication barriers:</w:t>
      </w:r>
      <w:r>
        <w:t xml:space="preserve"> Complex clinical edits that require human judgment, missing provider contract data, incomplete benefit configuration, claims requiring coordination of benefits determination, and claims flagged for fraud review.</w:t>
      </w:r>
    </w:p>
    <w:p w14:paraId="4207EF19" w14:textId="77777777" w:rsidR="00772358" w:rsidRDefault="00000000">
      <w:pPr>
        <w:spacing w:before="60" w:after="120" w:line="280" w:lineRule="auto"/>
        <w:jc w:val="both"/>
      </w:pPr>
      <w:r>
        <w:rPr>
          <w:b/>
          <w:bCs/>
          <w:color w:val="0B4F6C"/>
        </w:rPr>
        <w:t>AI enhancement:</w:t>
      </w:r>
      <w:r>
        <w:t xml:space="preserve"> Machine learning models that predict which claims flagged by edit engines are likely to be payable (reducing unnecessary human review) and which auto-adjudicated claims have high payment error probability (enabling targeted post-payment audit) are increasing both auto-adjudication rates and payment accuracy simultaneously.</w:t>
      </w:r>
    </w:p>
    <w:p w14:paraId="456C76A3" w14:textId="77777777" w:rsidR="00772358" w:rsidRDefault="00000000">
      <w:pPr>
        <w:pStyle w:val="Heading2"/>
        <w:pBdr>
          <w:bottom w:val="single" w:sz="4" w:space="2" w:color="E8A020"/>
        </w:pBdr>
      </w:pPr>
      <w:r>
        <w:t>8.3 Claims Editing and Edit Management</w:t>
      </w:r>
    </w:p>
    <w:p w14:paraId="6D101BE9" w14:textId="77777777" w:rsidR="00772358" w:rsidRDefault="00000000">
      <w:pPr>
        <w:spacing w:before="60" w:after="120" w:line="280" w:lineRule="auto"/>
        <w:jc w:val="both"/>
      </w:pPr>
      <w:r>
        <w:t>Claims editing is the automated application of business rules to claims before adjudication decisions are made. Editing engines contain thousands of rules organised into categories.</w:t>
      </w:r>
    </w:p>
    <w:p w14:paraId="1E0BAB8A" w14:textId="77777777" w:rsidR="00772358" w:rsidRDefault="00000000">
      <w:pPr>
        <w:spacing w:before="60" w:after="120" w:line="280" w:lineRule="auto"/>
        <w:jc w:val="both"/>
      </w:pPr>
      <w:r>
        <w:rPr>
          <w:b/>
          <w:bCs/>
          <w:color w:val="0B4F6C"/>
        </w:rPr>
        <w:t>Correct Coding Initiative (CCI) edits:</w:t>
      </w:r>
      <w:r>
        <w:t xml:space="preserve"> CMS-developed edits that prevent improper payment when codes that should be reported together are billed separately (unbundling), or when codes that are mutually exclusive are billed on the same claim.</w:t>
      </w:r>
    </w:p>
    <w:p w14:paraId="40C08435" w14:textId="77777777" w:rsidR="00772358" w:rsidRDefault="00000000">
      <w:pPr>
        <w:spacing w:before="60" w:after="120" w:line="280" w:lineRule="auto"/>
        <w:jc w:val="both"/>
      </w:pPr>
      <w:r>
        <w:rPr>
          <w:b/>
          <w:bCs/>
          <w:color w:val="0B4F6C"/>
        </w:rPr>
        <w:t>Medical necessity edits:</w:t>
      </w:r>
      <w:r>
        <w:t xml:space="preserve"> Diagnosis-to-procedure links that confirm the billed procedure is appropriate for the billed diagnosis according to clinical coverage criteria.</w:t>
      </w:r>
    </w:p>
    <w:p w14:paraId="349CAC23" w14:textId="77777777" w:rsidR="00772358" w:rsidRDefault="00000000">
      <w:pPr>
        <w:spacing w:before="60" w:after="120" w:line="280" w:lineRule="auto"/>
        <w:jc w:val="both"/>
      </w:pPr>
      <w:r>
        <w:rPr>
          <w:b/>
          <w:bCs/>
          <w:color w:val="0B4F6C"/>
        </w:rPr>
        <w:t>Duplicate claim edits:</w:t>
      </w:r>
      <w:r>
        <w:t xml:space="preserve"> Logic that identifies claims that appear to duplicate a previously paid claim based on member, provider, date of service, and procedure code matching.</w:t>
      </w:r>
    </w:p>
    <w:p w14:paraId="79848E1B" w14:textId="77777777" w:rsidR="00772358" w:rsidRDefault="00000000">
      <w:pPr>
        <w:spacing w:before="60" w:after="120" w:line="280" w:lineRule="auto"/>
        <w:jc w:val="both"/>
      </w:pPr>
      <w:r>
        <w:rPr>
          <w:b/>
          <w:bCs/>
          <w:color w:val="0B4F6C"/>
        </w:rPr>
        <w:t>Payer-specific edits:</w:t>
      </w:r>
      <w:r>
        <w:t xml:space="preserve"> Custom rules reflecting each payer's unique benefit design, network configuration, and medical policy.</w:t>
      </w:r>
    </w:p>
    <w:p w14:paraId="6D4CA861" w14:textId="77777777" w:rsidR="00772358" w:rsidRDefault="00000000">
      <w:pPr>
        <w:pStyle w:val="Heading2"/>
        <w:pBdr>
          <w:bottom w:val="single" w:sz="4" w:space="2" w:color="E8A020"/>
        </w:pBdr>
      </w:pPr>
      <w:r>
        <w:t>8.4 Coordination of Benefits</w:t>
      </w:r>
    </w:p>
    <w:p w14:paraId="30E473C5" w14:textId="77777777" w:rsidR="00772358" w:rsidRDefault="00000000">
      <w:pPr>
        <w:spacing w:before="60" w:after="120" w:line="280" w:lineRule="auto"/>
        <w:jc w:val="both"/>
      </w:pPr>
      <w:r>
        <w:t>When a member has coverage from multiple payers, COB rules determine primary versus secondary payment responsibility. The COB determination prevents double payment for a single service. COB failures — where both payers pay independently, or where neither payer pays because each believes the other is primary — are a significant source of payment error.</w:t>
      </w:r>
    </w:p>
    <w:p w14:paraId="473A2103" w14:textId="77777777" w:rsidR="00772358" w:rsidRDefault="00000000">
      <w:pPr>
        <w:spacing w:before="60" w:after="120" w:line="280" w:lineRule="auto"/>
        <w:jc w:val="both"/>
      </w:pPr>
      <w:r>
        <w:rPr>
          <w:b/>
          <w:bCs/>
          <w:color w:val="0B4F6C"/>
        </w:rPr>
        <w:t>Birthday rule:</w:t>
      </w:r>
      <w:r>
        <w:t xml:space="preserve"> The most common COB determination for dependents covered by both parents' employer plans: the plan of the parent whose birthday falls earliest in the calendar year is primary.</w:t>
      </w:r>
    </w:p>
    <w:p w14:paraId="1C113EC4" w14:textId="77777777" w:rsidR="00772358" w:rsidRDefault="00000000">
      <w:pPr>
        <w:spacing w:before="60" w:after="120" w:line="280" w:lineRule="auto"/>
        <w:jc w:val="both"/>
      </w:pPr>
      <w:r>
        <w:rPr>
          <w:b/>
          <w:bCs/>
          <w:color w:val="0B4F6C"/>
        </w:rPr>
        <w:t>Medicare as secondary payer:</w:t>
      </w:r>
      <w:r>
        <w:t xml:space="preserve"> Medicare has specific rules for when it pays as secondary to employer group health plans, liability insurance, workers' compensation, and other primary payers.</w:t>
      </w:r>
    </w:p>
    <w:p w14:paraId="5CA1B467" w14:textId="77777777" w:rsidR="00772358" w:rsidRDefault="00000000">
      <w:pPr>
        <w:pStyle w:val="Heading2"/>
        <w:pBdr>
          <w:bottom w:val="single" w:sz="4" w:space="2" w:color="E8A020"/>
        </w:pBdr>
      </w:pPr>
      <w:r>
        <w:t>Questions for Leadership</w:t>
      </w:r>
    </w:p>
    <w:p w14:paraId="4292AD08" w14:textId="77777777" w:rsidR="00772358" w:rsidRDefault="00000000">
      <w:pPr>
        <w:spacing w:before="60" w:after="120" w:line="280" w:lineRule="auto"/>
        <w:jc w:val="both"/>
      </w:pPr>
      <w:r>
        <w:t xml:space="preserve">What is your organisation's current auto-adjudication rate, and what are the three most common reasons claims fall into manual review queues? Has the benefit configuration management process been standardised and automated to prevent configuration errors that create adjudication inconsistencies? </w:t>
      </w:r>
      <w:proofErr w:type="gramStart"/>
      <w:r>
        <w:t>Is</w:t>
      </w:r>
      <w:proofErr w:type="gramEnd"/>
      <w:r>
        <w:t xml:space="preserve"> the claims editing library updated systematically as CMS publishes quarterly CCI updates and payer medical policies change?</w:t>
      </w:r>
    </w:p>
    <w:p w14:paraId="1004EF0A" w14:textId="77777777" w:rsidR="00772358" w:rsidRDefault="00000000">
      <w:pPr>
        <w:spacing w:before="60" w:after="120" w:line="280" w:lineRule="auto"/>
        <w:jc w:val="both"/>
      </w:pPr>
      <w:r>
        <w:rPr>
          <w:i/>
          <w:iCs/>
        </w:rPr>
        <w:t>Chapter 8 complete.</w:t>
      </w:r>
    </w:p>
    <w:p w14:paraId="28531206" w14:textId="77777777" w:rsidR="00772358" w:rsidRDefault="00000000">
      <w:pPr>
        <w:pStyle w:val="Heading2"/>
        <w:pBdr>
          <w:bottom w:val="single" w:sz="4" w:space="2" w:color="E8A020"/>
        </w:pBdr>
      </w:pPr>
      <w:r>
        <w:t>8.4 Auto-Adjudication Architecture</w:t>
      </w:r>
    </w:p>
    <w:p w14:paraId="15E73D49" w14:textId="77777777" w:rsidR="00772358" w:rsidRDefault="00000000">
      <w:pPr>
        <w:spacing w:before="60" w:after="120" w:line="280" w:lineRule="auto"/>
        <w:jc w:val="both"/>
      </w:pPr>
      <w:r>
        <w:t xml:space="preserve">Auto-adjudication — the fully automated payment decision without human review — is the gold standard of payer claims operations. An auto-adjudication rate of 92%+ means 92 cents of every </w:t>
      </w:r>
      <w:proofErr w:type="gramStart"/>
      <w:r>
        <w:t>claims</w:t>
      </w:r>
      <w:proofErr w:type="gramEnd"/>
      <w:r>
        <w:t xml:space="preserve"> dollar is processed without a human touch. Achieving this requires clean data across every upstream dependency:</w:t>
      </w:r>
    </w:p>
    <w:p w14:paraId="6326C979" w14:textId="77777777" w:rsidR="00772358" w:rsidRDefault="00000000">
      <w:pPr>
        <w:spacing w:before="60" w:after="120" w:line="280" w:lineRule="auto"/>
        <w:jc w:val="both"/>
      </w:pPr>
      <w:r>
        <w:rPr>
          <w:b/>
          <w:bCs/>
          <w:color w:val="0B4F6C"/>
        </w:rPr>
        <w:t>Member data quality:</w:t>
      </w:r>
      <w:r>
        <w:t xml:space="preserve"> </w:t>
      </w:r>
      <w:proofErr w:type="spellStart"/>
      <w:r>
        <w:t>Enrollment</w:t>
      </w:r>
      <w:proofErr w:type="spellEnd"/>
      <w:r>
        <w:t xml:space="preserve"> records must be current, complete, and accessible in real time. Members who have changed plans, added dependents, or changed addresses without system update generate eligibility exceptions that require manual resolution.</w:t>
      </w:r>
    </w:p>
    <w:p w14:paraId="620C0A63" w14:textId="77777777" w:rsidR="00772358" w:rsidRDefault="00000000">
      <w:pPr>
        <w:spacing w:before="60" w:after="120" w:line="280" w:lineRule="auto"/>
        <w:jc w:val="both"/>
      </w:pPr>
      <w:r>
        <w:rPr>
          <w:b/>
          <w:bCs/>
          <w:color w:val="0B4F6C"/>
        </w:rPr>
        <w:t>Provider data quality:</w:t>
      </w:r>
      <w:r>
        <w:t xml:space="preserve"> Provider master records must include accurate NPI, specialty, network participation status, effective dates, and fee schedule assignments. Provider data quality is one of the most chronic failures in payer organisations — outdated provider directories are estimated to cause $13 billion in misdirected claims annually.</w:t>
      </w:r>
    </w:p>
    <w:p w14:paraId="02F7533B" w14:textId="77777777" w:rsidR="00772358" w:rsidRDefault="00000000">
      <w:pPr>
        <w:spacing w:before="60" w:after="120" w:line="280" w:lineRule="auto"/>
        <w:jc w:val="both"/>
      </w:pPr>
      <w:r>
        <w:rPr>
          <w:b/>
          <w:bCs/>
          <w:color w:val="0B4F6C"/>
        </w:rPr>
        <w:t>Benefit configuration quality:</w:t>
      </w:r>
      <w:r>
        <w:t xml:space="preserve"> Every plan, every line of business, every benefit variation must be configured accurately in the adjudication system. Configuration errors generate systematic payment errors that may affect thousands of claims before discovery.</w:t>
      </w:r>
    </w:p>
    <w:p w14:paraId="6540BB0C" w14:textId="77777777" w:rsidR="00772358" w:rsidRDefault="00000000">
      <w:pPr>
        <w:spacing w:before="60" w:after="120" w:line="280" w:lineRule="auto"/>
        <w:jc w:val="both"/>
      </w:pPr>
      <w:r>
        <w:rPr>
          <w:b/>
          <w:bCs/>
          <w:color w:val="0B4F6C"/>
        </w:rPr>
        <w:t>Medical policy library:</w:t>
      </w:r>
      <w:r>
        <w:t xml:space="preserve"> Current, payer-authored medical policies defining covered services, coverage criteria, and non-covered conditions must be loaded and maintained in the rules engine. A medical policy published in January that isn't updated in the system until March generates three months of incorrect payments.</w:t>
      </w:r>
    </w:p>
    <w:p w14:paraId="7F54B98A" w14:textId="77777777" w:rsidR="00772358" w:rsidRDefault="00000000">
      <w:pPr>
        <w:pStyle w:val="Heading2"/>
        <w:pBdr>
          <w:bottom w:val="single" w:sz="4" w:space="2" w:color="E8A020"/>
        </w:pBdr>
      </w:pPr>
      <w:r>
        <w:t>8.5 Coordination of Benefits</w:t>
      </w:r>
    </w:p>
    <w:p w14:paraId="705ECF7A" w14:textId="77777777" w:rsidR="00772358" w:rsidRDefault="00000000">
      <w:pPr>
        <w:spacing w:before="60" w:after="120" w:line="280" w:lineRule="auto"/>
        <w:jc w:val="both"/>
      </w:pPr>
      <w:r>
        <w:t>When a member has coverage from more than one payer, Coordination of Benefits (COB) determines payment order and prevents double payment. COB rules are defined by the NAIC Model Regulation and state law, which specify primary/secondary payer determination based on the birthday rule (for dependents), Medicare Secondary Payer rules (for Medicare dual-eligibles), and auto accident/workers' compensation liability rules.</w:t>
      </w:r>
    </w:p>
    <w:p w14:paraId="004A6E57" w14:textId="77777777" w:rsidR="00772358" w:rsidRDefault="00000000">
      <w:pPr>
        <w:spacing w:before="60" w:after="120" w:line="280" w:lineRule="auto"/>
        <w:jc w:val="both"/>
      </w:pPr>
      <w:r>
        <w:t>COB represents a significant recovery opportunity: organisations with active COB programs recover 0.5–1.5% of paid claims as overpayments made when the organisation paid as primary when it should have paid as secondary. Real-time COB database access (Coordination of Benefits Agreement through CMS, commercial COB databases through CAQH CORE) enables adjudication-time COB determination rather than retrospective recovery.</w:t>
      </w:r>
    </w:p>
    <w:p w14:paraId="4277AC30" w14:textId="77777777" w:rsidR="00772358" w:rsidRDefault="00000000">
      <w:pPr>
        <w:pStyle w:val="Heading2"/>
        <w:pBdr>
          <w:bottom w:val="single" w:sz="4" w:space="2" w:color="E8A020"/>
        </w:pBdr>
      </w:pPr>
      <w:r>
        <w:t>8.6 GCC Claims Operations</w:t>
      </w:r>
    </w:p>
    <w:p w14:paraId="04158A34" w14:textId="77777777" w:rsidR="00772358" w:rsidRDefault="00000000">
      <w:pPr>
        <w:spacing w:before="60" w:after="120" w:line="280" w:lineRule="auto"/>
        <w:jc w:val="both"/>
      </w:pPr>
      <w:r>
        <w:t>Payer claims processing is one of the original healthcare GCC functions and remains among the highest-volume and highest-value. GCC claims teams in India handle front-end exception queues, pend resolution, coding edit review, medical records request, payment posting, and claims analytics for US payer clients.</w:t>
      </w:r>
    </w:p>
    <w:p w14:paraId="4963A9CF" w14:textId="77777777" w:rsidR="00772358" w:rsidRDefault="00000000">
      <w:pPr>
        <w:spacing w:before="60" w:after="120" w:line="280" w:lineRule="auto"/>
        <w:jc w:val="both"/>
      </w:pPr>
      <w:r>
        <w:t>Leading healthcare GCCs in claims operations achieve: auto-adjudication exception queue clearance within 24 hours; medical record request and abstraction within 48 hours; payment posting accuracy &gt;99.8%; and claims analytics reports delivered on daily/weekly cadence per SLA. The GCC model for claims operations has matured significantly — from manual data entry to AI-assisted review, automated exception routing, and predictive pend management.</w:t>
      </w:r>
    </w:p>
    <w:p w14:paraId="0F763787" w14:textId="77777777" w:rsidR="00772358" w:rsidRDefault="00000000">
      <w:r>
        <w:br/>
      </w:r>
    </w:p>
    <w:p w14:paraId="453CFAE7" w14:textId="77777777" w:rsidR="00772358" w:rsidRDefault="00000000">
      <w:pPr>
        <w:shd w:val="clear" w:color="auto" w:fill="072D3D"/>
        <w:spacing w:after="100"/>
        <w:jc w:val="center"/>
      </w:pPr>
      <w:r>
        <w:rPr>
          <w:b/>
          <w:bCs/>
          <w:color w:val="E8A020"/>
          <w:sz w:val="24"/>
          <w:szCs w:val="24"/>
        </w:rPr>
        <w:t>PART III</w:t>
      </w:r>
    </w:p>
    <w:p w14:paraId="4F7246FC" w14:textId="77777777" w:rsidR="00772358" w:rsidRDefault="00000000">
      <w:pPr>
        <w:pBdr>
          <w:bottom w:val="single" w:sz="8" w:space="8" w:color="E8A020"/>
        </w:pBdr>
        <w:shd w:val="clear" w:color="auto" w:fill="072D3D"/>
        <w:spacing w:after="600"/>
        <w:jc w:val="center"/>
      </w:pPr>
      <w:r>
        <w:rPr>
          <w:b/>
          <w:bCs/>
          <w:color w:val="FFFFFF"/>
          <w:sz w:val="44"/>
          <w:szCs w:val="44"/>
        </w:rPr>
        <w:t>Population Health &amp; Value-Based Care</w:t>
      </w:r>
    </w:p>
    <w:p w14:paraId="6E1A0DEE" w14:textId="77777777" w:rsidR="00772358" w:rsidRDefault="00000000">
      <w:r>
        <w:br/>
      </w:r>
    </w:p>
    <w:p w14:paraId="7895623D" w14:textId="77777777" w:rsidR="00772358" w:rsidRDefault="00000000">
      <w:pPr>
        <w:pStyle w:val="Heading1"/>
        <w:pBdr>
          <w:bottom w:val="single" w:sz="8" w:space="4" w:color="E8A020"/>
        </w:pBdr>
        <w:shd w:val="clear" w:color="auto" w:fill="0B4F6C"/>
        <w:ind w:left="160" w:right="160"/>
      </w:pPr>
      <w:r>
        <w:t>Chapter 9: Population Health &amp; Value-Based Care</w:t>
      </w:r>
    </w:p>
    <w:p w14:paraId="15E6A4E4"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57FA805E" w14:textId="77777777">
        <w:tblPrEx>
          <w:tblCellMar>
            <w:top w:w="0" w:type="dxa"/>
            <w:bottom w:w="0" w:type="dxa"/>
          </w:tblCellMar>
        </w:tblPrEx>
        <w:tc>
          <w:tcPr>
            <w:tcW w:w="9360" w:type="dxa"/>
            <w:tcBorders>
              <w:top w:val="single" w:sz="6" w:space="0" w:color="17A8C8"/>
              <w:left w:val="single" w:sz="18" w:space="0" w:color="17A8C8"/>
              <w:bottom w:val="single" w:sz="6" w:space="0" w:color="17A8C8"/>
              <w:right w:val="single" w:sz="6" w:space="0" w:color="17A8C8"/>
            </w:tcBorders>
            <w:shd w:val="clear" w:color="auto" w:fill="E8F8FC"/>
            <w:tcMar>
              <w:top w:w="140" w:type="dxa"/>
              <w:left w:w="200" w:type="dxa"/>
              <w:bottom w:w="140" w:type="dxa"/>
              <w:right w:w="200" w:type="dxa"/>
            </w:tcMar>
          </w:tcPr>
          <w:p w14:paraId="4C507381" w14:textId="77777777" w:rsidR="00772358" w:rsidRDefault="00000000">
            <w:pPr>
              <w:spacing w:after="80"/>
            </w:pPr>
            <w:r>
              <w:rPr>
                <w:b/>
                <w:bCs/>
                <w:color w:val="E8A020"/>
                <w:sz w:val="17"/>
                <w:szCs w:val="17"/>
              </w:rPr>
              <w:t>EXECUTIVE SUMMARY</w:t>
            </w:r>
          </w:p>
          <w:p w14:paraId="456BE9F0" w14:textId="77777777" w:rsidR="00772358" w:rsidRDefault="00000000">
            <w:pPr>
              <w:jc w:val="both"/>
            </w:pPr>
            <w:r>
              <w:rPr>
                <w:i/>
                <w:iCs/>
                <w:sz w:val="20"/>
                <w:szCs w:val="20"/>
              </w:rPr>
              <w:t>Value-based care (VBC) represents the most significant structural transformation in US healthcare payment in a generation — shifting reimbursement from fee-for-service volume to outcome-based performance. ACO REACH, Medicare Advantage quality star programs, episode-based bundles, and the mandatory TEAM model are creating financial accountability for health outcomes that demands population health management infrastructure, risk stratification capabilities, and care management programs that did not exist in the fee-for-service era. This chapter provides the population health and VBC operating model.</w:t>
            </w:r>
          </w:p>
        </w:tc>
      </w:tr>
    </w:tbl>
    <w:p w14:paraId="401B6A5E" w14:textId="77777777" w:rsidR="00772358" w:rsidRDefault="00772358">
      <w:pPr>
        <w:spacing w:after="80"/>
      </w:pPr>
    </w:p>
    <w:p w14:paraId="76CC7847" w14:textId="77777777" w:rsidR="00772358" w:rsidRDefault="00000000">
      <w:pPr>
        <w:pStyle w:val="Heading2"/>
        <w:pBdr>
          <w:bottom w:val="single" w:sz="4" w:space="2" w:color="E8A020"/>
        </w:pBdr>
      </w:pPr>
      <w:r>
        <w:t>9.1 The Value-Based Care Continuum</w:t>
      </w:r>
    </w:p>
    <w:p w14:paraId="1D2F3DB9" w14:textId="77777777" w:rsidR="00772358" w:rsidRDefault="00000000">
      <w:pPr>
        <w:spacing w:before="200" w:after="80"/>
        <w:jc w:val="center"/>
      </w:pPr>
      <w:r>
        <w:rPr>
          <w:noProof/>
        </w:rPr>
        <w:drawing>
          <wp:inline distT="0" distB="0" distL="0" distR="0" wp14:anchorId="744F2FB4" wp14:editId="1CE5F657">
            <wp:extent cx="3924300" cy="2066925"/>
            <wp:effectExtent l="0" t="0" r="0" b="0"/>
            <wp:docPr id="525963273" name="Picture 525963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924300" cy="2066925"/>
                    </a:xfrm>
                    <a:prstGeom prst="rect">
                      <a:avLst/>
                    </a:prstGeom>
                  </pic:spPr>
                </pic:pic>
              </a:graphicData>
            </a:graphic>
          </wp:inline>
        </w:drawing>
      </w:r>
    </w:p>
    <w:p w14:paraId="385F947C" w14:textId="77777777" w:rsidR="00772358" w:rsidRDefault="00000000">
      <w:pPr>
        <w:spacing w:after="200"/>
        <w:jc w:val="center"/>
      </w:pPr>
      <w:r>
        <w:rPr>
          <w:i/>
          <w:iCs/>
          <w:color w:val="5B8FA8"/>
          <w:sz w:val="18"/>
          <w:szCs w:val="18"/>
        </w:rPr>
        <w:t>Figure 9.1: Population Health — Risk Stratification &amp; Intervention Model</w:t>
      </w:r>
    </w:p>
    <w:p w14:paraId="45D02E51" w14:textId="77777777" w:rsidR="00772358" w:rsidRDefault="00000000">
      <w:pPr>
        <w:spacing w:before="200" w:after="80"/>
        <w:jc w:val="center"/>
      </w:pPr>
      <w:r>
        <w:rPr>
          <w:noProof/>
        </w:rPr>
        <w:drawing>
          <wp:inline distT="0" distB="0" distL="0" distR="0" wp14:anchorId="3D283B73" wp14:editId="4B7D8E6E">
            <wp:extent cx="3924300" cy="2133600"/>
            <wp:effectExtent l="0" t="0" r="0" b="0"/>
            <wp:docPr id="237458898" name="Picture 237458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24300" cy="2133600"/>
                    </a:xfrm>
                    <a:prstGeom prst="rect">
                      <a:avLst/>
                    </a:prstGeom>
                  </pic:spPr>
                </pic:pic>
              </a:graphicData>
            </a:graphic>
          </wp:inline>
        </w:drawing>
      </w:r>
    </w:p>
    <w:p w14:paraId="5E8DA806" w14:textId="77777777" w:rsidR="00772358" w:rsidRDefault="00000000">
      <w:pPr>
        <w:spacing w:after="200"/>
        <w:jc w:val="center"/>
      </w:pPr>
      <w:r>
        <w:rPr>
          <w:i/>
          <w:iCs/>
          <w:color w:val="5B8FA8"/>
          <w:sz w:val="18"/>
          <w:szCs w:val="18"/>
        </w:rPr>
        <w:t>Figure 9.2: Value-Based Care — Payment Models &amp; GCC Enablement</w:t>
      </w:r>
    </w:p>
    <w:p w14:paraId="7B73DCC5" w14:textId="77777777" w:rsidR="00772358" w:rsidRDefault="00000000">
      <w:pPr>
        <w:spacing w:before="60" w:after="120" w:line="280" w:lineRule="auto"/>
        <w:jc w:val="both"/>
      </w:pPr>
      <w:r>
        <w:t>Value-based payment models exist on a continuum from fee-for-service with quality adjustments to full capitation with risk transfer.</w:t>
      </w:r>
    </w:p>
    <w:p w14:paraId="26E975AB" w14:textId="77777777" w:rsidR="00772358" w:rsidRDefault="00000000">
      <w:pPr>
        <w:spacing w:before="60" w:after="120" w:line="280" w:lineRule="auto"/>
        <w:jc w:val="both"/>
      </w:pPr>
      <w:r>
        <w:rPr>
          <w:b/>
          <w:bCs/>
          <w:color w:val="0B4F6C"/>
        </w:rPr>
        <w:t>Pay-for-Performance (P4P):</w:t>
      </w:r>
      <w:r>
        <w:t xml:space="preserve"> Fee-for-service base with quality bonuses or penalties based on performance against defined metrics. Minimal risk transfer. Examples: Medicare Merit-based Incentive Payment System (MIPS), commercial quality incentive programs.</w:t>
      </w:r>
    </w:p>
    <w:p w14:paraId="6553DD96" w14:textId="77777777" w:rsidR="00772358" w:rsidRDefault="00000000">
      <w:pPr>
        <w:spacing w:before="60" w:after="120" w:line="280" w:lineRule="auto"/>
        <w:jc w:val="both"/>
      </w:pPr>
      <w:r>
        <w:rPr>
          <w:b/>
          <w:bCs/>
          <w:color w:val="0B4F6C"/>
        </w:rPr>
        <w:t>Shared Savings:</w:t>
      </w:r>
      <w:r>
        <w:t xml:space="preserve"> Providers share in savings generated when actual costs are below a target, but are not responsible for losses if costs exceed target. Example: Medicare Shared Savings Program (MSSP) Track 1.</w:t>
      </w:r>
    </w:p>
    <w:p w14:paraId="5D68B3BC" w14:textId="77777777" w:rsidR="00772358" w:rsidRDefault="00000000">
      <w:pPr>
        <w:spacing w:before="60" w:after="120" w:line="280" w:lineRule="auto"/>
        <w:jc w:val="both"/>
      </w:pPr>
      <w:r>
        <w:rPr>
          <w:b/>
          <w:bCs/>
          <w:color w:val="0B4F6C"/>
        </w:rPr>
        <w:t>Shared Savings with Downside Risk:</w:t>
      </w:r>
      <w:r>
        <w:t xml:space="preserve"> Providers share both in savings and in losses. Example: MSSP Track 3, ACO REACH Basic.</w:t>
      </w:r>
    </w:p>
    <w:p w14:paraId="14C410E3" w14:textId="77777777" w:rsidR="00772358" w:rsidRDefault="00000000">
      <w:pPr>
        <w:spacing w:before="60" w:after="120" w:line="280" w:lineRule="auto"/>
        <w:jc w:val="both"/>
      </w:pPr>
      <w:r>
        <w:rPr>
          <w:b/>
          <w:bCs/>
          <w:color w:val="0B4F6C"/>
        </w:rPr>
        <w:t>Episode-Based Payments:</w:t>
      </w:r>
      <w:r>
        <w:t xml:space="preserve"> A single payment covers all services associated with a defined clinical episode. Example: CMS Bundled Payments for Care Improvement (BPCI) Advanced, mandatory TEAM model for joint replacements.</w:t>
      </w:r>
    </w:p>
    <w:p w14:paraId="40C882EC" w14:textId="77777777" w:rsidR="00772358" w:rsidRDefault="00000000">
      <w:pPr>
        <w:spacing w:before="60" w:after="120" w:line="280" w:lineRule="auto"/>
        <w:jc w:val="both"/>
      </w:pPr>
      <w:r>
        <w:rPr>
          <w:b/>
          <w:bCs/>
          <w:color w:val="0B4F6C"/>
        </w:rPr>
        <w:t>Global Capitation:</w:t>
      </w:r>
      <w:r>
        <w:t xml:space="preserve"> A fixed per-member-per-month payment covering all healthcare services for a defined population. Maximum risk transfer. Example: Medicare Advantage capitation, Medicaid managed care capitation.</w:t>
      </w:r>
    </w:p>
    <w:p w14:paraId="675362E3" w14:textId="77777777" w:rsidR="00772358" w:rsidRDefault="00000000">
      <w:pPr>
        <w:pStyle w:val="Heading2"/>
        <w:pBdr>
          <w:bottom w:val="single" w:sz="4" w:space="2" w:color="E8A020"/>
        </w:pBdr>
      </w:pPr>
      <w:r>
        <w:t>9.2 ACO REACH: The New Accountability Model</w:t>
      </w:r>
    </w:p>
    <w:p w14:paraId="05057F6D" w14:textId="77777777" w:rsidR="00772358" w:rsidRDefault="00000000">
      <w:pPr>
        <w:spacing w:before="60" w:after="120" w:line="280" w:lineRule="auto"/>
        <w:jc w:val="both"/>
      </w:pPr>
      <w:r>
        <w:t>ACO REACH (Realizing Equity, Access, and Community Health) replaced the Global and Professional Direct Contracting Model in 2023. ACO REACH expands value-based care to smaller and rural providers, introduces equity benchmarking, and emphasises social determinants of health integration.</w:t>
      </w:r>
    </w:p>
    <w:p w14:paraId="3EF62DB9" w14:textId="77777777" w:rsidR="00772358" w:rsidRDefault="00000000">
      <w:pPr>
        <w:spacing w:before="60" w:after="120" w:line="280" w:lineRule="auto"/>
        <w:jc w:val="both"/>
      </w:pPr>
      <w:r>
        <w:rPr>
          <w:b/>
          <w:bCs/>
          <w:color w:val="0B4F6C"/>
        </w:rPr>
        <w:t>PY2026 updates:</w:t>
      </w:r>
      <w:r>
        <w:t xml:space="preserve"> Benchmark methodology refinements, health equity adjustment factor updates, and expanded geographic risk adjustment to account for community-level social risk factors. Organisations participating in ACO REACH must develop health equity plans and track equity metrics alongside financial performance.</w:t>
      </w:r>
    </w:p>
    <w:p w14:paraId="0544E3BC" w14:textId="77777777" w:rsidR="00772358" w:rsidRDefault="00000000">
      <w:pPr>
        <w:pStyle w:val="Heading2"/>
        <w:pBdr>
          <w:bottom w:val="single" w:sz="4" w:space="2" w:color="E8A020"/>
        </w:pBdr>
      </w:pPr>
      <w:r>
        <w:t>9.3 Risk Stratification: The Foundation of Population Health</w:t>
      </w:r>
    </w:p>
    <w:p w14:paraId="3EE14863" w14:textId="77777777" w:rsidR="00772358" w:rsidRDefault="00000000">
      <w:pPr>
        <w:spacing w:before="60" w:after="120" w:line="280" w:lineRule="auto"/>
        <w:jc w:val="both"/>
      </w:pPr>
      <w:r>
        <w:t>Risk stratification assigns patients to risk tiers based on their probability of future high-cost utilisation, readmission, or clinical deterioration. Effective stratification enables care management resources to be directed to the patients who will benefit most.</w:t>
      </w:r>
    </w:p>
    <w:p w14:paraId="63A2D46E" w14:textId="77777777" w:rsidR="00772358" w:rsidRDefault="00000000">
      <w:pPr>
        <w:spacing w:before="60" w:after="120" w:line="280" w:lineRule="auto"/>
        <w:jc w:val="both"/>
      </w:pPr>
      <w:r>
        <w:rPr>
          <w:b/>
          <w:bCs/>
          <w:color w:val="0B4F6C"/>
        </w:rPr>
        <w:t>Stratification inputs:</w:t>
      </w:r>
      <w:r>
        <w:t xml:space="preserve"> Claims data (diagnoses, utilisation history, pharmacy), EHR data (vital signs, labs, care gaps), socioeconomic data (social determinants, area deprivation index), patient-reported data (functional status, self-efficacy), and real-time clinical data (current admission, recent ED visit).</w:t>
      </w:r>
    </w:p>
    <w:p w14:paraId="78BC7153" w14:textId="77777777" w:rsidR="00772358" w:rsidRDefault="00000000">
      <w:pPr>
        <w:spacing w:before="60" w:after="120" w:line="280" w:lineRule="auto"/>
        <w:jc w:val="both"/>
      </w:pPr>
      <w:r>
        <w:rPr>
          <w:b/>
          <w:bCs/>
          <w:color w:val="0B4F6C"/>
        </w:rPr>
        <w:t>Stratification models:</w:t>
      </w:r>
      <w:r>
        <w:t xml:space="preserve"> Traditional claims-based models (Johns Hopkins ACG, 3M CRG) are being supplemented by machine learning models that incorporate EHR and </w:t>
      </w:r>
      <w:proofErr w:type="spellStart"/>
      <w:r>
        <w:t>SDoH</w:t>
      </w:r>
      <w:proofErr w:type="spellEnd"/>
      <w:r>
        <w:t xml:space="preserve"> data and demonstrate significantly improved predictive accuracy for high-cost, high-risk patients.</w:t>
      </w:r>
    </w:p>
    <w:p w14:paraId="70547689" w14:textId="77777777" w:rsidR="00772358" w:rsidRDefault="00000000">
      <w:pPr>
        <w:spacing w:before="60" w:after="120" w:line="280" w:lineRule="auto"/>
        <w:jc w:val="both"/>
      </w:pPr>
      <w:r>
        <w:rPr>
          <w:b/>
          <w:bCs/>
          <w:color w:val="0B4F6C"/>
        </w:rPr>
        <w:t>Risk tiers:</w:t>
      </w:r>
    </w:p>
    <w:p w14:paraId="7354497F" w14:textId="77777777" w:rsidR="00772358" w:rsidRDefault="00000000">
      <w:pPr>
        <w:pStyle w:val="ListParagraph"/>
        <w:numPr>
          <w:ilvl w:val="0"/>
          <w:numId w:val="2"/>
        </w:numPr>
        <w:spacing w:before="40" w:after="80"/>
      </w:pPr>
      <w:r>
        <w:t>Tier 1 (High risk): Complex medical and social needs; intensive case management, care coordination, home visits</w:t>
      </w:r>
    </w:p>
    <w:p w14:paraId="0394845A" w14:textId="77777777" w:rsidR="00772358" w:rsidRDefault="00000000">
      <w:pPr>
        <w:pStyle w:val="ListParagraph"/>
        <w:numPr>
          <w:ilvl w:val="0"/>
          <w:numId w:val="2"/>
        </w:numPr>
        <w:spacing w:before="40" w:after="80"/>
      </w:pPr>
      <w:r>
        <w:t>Tier 2 (Rising risk): Multiple chronic conditions, recent hospitalisations; proactive outreach, disease management</w:t>
      </w:r>
    </w:p>
    <w:p w14:paraId="73A623DE" w14:textId="77777777" w:rsidR="00772358" w:rsidRDefault="00000000">
      <w:pPr>
        <w:pStyle w:val="ListParagraph"/>
        <w:numPr>
          <w:ilvl w:val="0"/>
          <w:numId w:val="2"/>
        </w:numPr>
        <w:spacing w:before="40" w:after="80"/>
      </w:pPr>
      <w:r>
        <w:t>Tier 3 (Moderate risk): 1–2 chronic conditions, care gap closure needs; structured care management touchpoints</w:t>
      </w:r>
    </w:p>
    <w:p w14:paraId="47BAFE2C" w14:textId="77777777" w:rsidR="00772358" w:rsidRDefault="00000000">
      <w:pPr>
        <w:pStyle w:val="ListParagraph"/>
        <w:numPr>
          <w:ilvl w:val="0"/>
          <w:numId w:val="2"/>
        </w:numPr>
        <w:spacing w:before="40" w:after="80"/>
      </w:pPr>
      <w:r>
        <w:t>Tier 4 (Low risk): Preventive care, wellness; automated digital engagement</w:t>
      </w:r>
    </w:p>
    <w:p w14:paraId="6BB5C801" w14:textId="77777777" w:rsidR="00772358" w:rsidRDefault="00000000">
      <w:pPr>
        <w:pStyle w:val="Heading2"/>
        <w:pBdr>
          <w:bottom w:val="single" w:sz="4" w:space="2" w:color="E8A020"/>
        </w:pBdr>
      </w:pPr>
      <w:r>
        <w:t>9.4 Care Management Programs</w:t>
      </w:r>
    </w:p>
    <w:p w14:paraId="37C6CF64" w14:textId="77777777" w:rsidR="00772358" w:rsidRDefault="00000000">
      <w:pPr>
        <w:spacing w:before="60" w:after="120" w:line="280" w:lineRule="auto"/>
        <w:jc w:val="both"/>
      </w:pPr>
      <w:r>
        <w:rPr>
          <w:b/>
          <w:bCs/>
          <w:color w:val="0B4F6C"/>
        </w:rPr>
        <w:t>Disease Management:</w:t>
      </w:r>
      <w:r>
        <w:t xml:space="preserve"> Structured programs for patients with specific chronic conditions (diabetes, heart failure, COPD, asthma) that provide education, medication adherence support, self-management tools, and regular clinical monitoring. Proven to reduce hospitalisations by 15–30% in well-managed programs.</w:t>
      </w:r>
    </w:p>
    <w:p w14:paraId="610F0113" w14:textId="77777777" w:rsidR="00772358" w:rsidRDefault="00000000">
      <w:pPr>
        <w:spacing w:before="60" w:after="120" w:line="280" w:lineRule="auto"/>
        <w:jc w:val="both"/>
      </w:pPr>
      <w:r>
        <w:rPr>
          <w:b/>
          <w:bCs/>
          <w:color w:val="0B4F6C"/>
        </w:rPr>
        <w:t>Case Management:</w:t>
      </w:r>
      <w:r>
        <w:t xml:space="preserve"> Intensive coordination for patients with complex medical and social needs — typically high-risk tier 1 patients. Case managers work across payer, provider, and community boundaries to coordinate care, remove access barriers, and prevent unnecessary utilisation.</w:t>
      </w:r>
    </w:p>
    <w:p w14:paraId="17A91643" w14:textId="77777777" w:rsidR="00772358" w:rsidRDefault="00000000">
      <w:pPr>
        <w:spacing w:before="60" w:after="120" w:line="280" w:lineRule="auto"/>
        <w:jc w:val="both"/>
      </w:pPr>
      <w:r>
        <w:rPr>
          <w:b/>
          <w:bCs/>
          <w:color w:val="0B4F6C"/>
        </w:rPr>
        <w:t>Transitional Care Management:</w:t>
      </w:r>
      <w:r>
        <w:t xml:space="preserve"> Structured support during the high-risk 30 days following hospital discharge. Includes discharge planning, medication reconciliation, primary care follow-up scheduling, and early warning monitoring. Evidence-based transitional care programs reduce 30-day readmission rates by 20–30%.</w:t>
      </w:r>
    </w:p>
    <w:p w14:paraId="4CC7D272" w14:textId="77777777" w:rsidR="00772358" w:rsidRDefault="00000000">
      <w:pPr>
        <w:spacing w:before="60" w:after="120" w:line="280" w:lineRule="auto"/>
        <w:jc w:val="both"/>
      </w:pPr>
      <w:r>
        <w:rPr>
          <w:b/>
          <w:bCs/>
          <w:color w:val="0B4F6C"/>
        </w:rPr>
        <w:t>Social Determinants of Health (</w:t>
      </w:r>
      <w:proofErr w:type="spellStart"/>
      <w:r>
        <w:rPr>
          <w:b/>
          <w:bCs/>
          <w:color w:val="0B4F6C"/>
        </w:rPr>
        <w:t>SDoH</w:t>
      </w:r>
      <w:proofErr w:type="spellEnd"/>
      <w:r>
        <w:rPr>
          <w:b/>
          <w:bCs/>
          <w:color w:val="0B4F6C"/>
        </w:rPr>
        <w:t>) Programs:</w:t>
      </w:r>
      <w:r>
        <w:t xml:space="preserve"> Addressing food insecurity, housing instability, transportation barriers, social isolation, and other non-clinical factors that determine 80% of health outcomes. </w:t>
      </w:r>
      <w:proofErr w:type="spellStart"/>
      <w:r>
        <w:t>SDoH</w:t>
      </w:r>
      <w:proofErr w:type="spellEnd"/>
      <w:r>
        <w:t xml:space="preserve"> programs connect patients to community resources, conduct </w:t>
      </w:r>
      <w:proofErr w:type="spellStart"/>
      <w:r>
        <w:t>SDoH</w:t>
      </w:r>
      <w:proofErr w:type="spellEnd"/>
      <w:r>
        <w:t xml:space="preserve"> screening at clinical touchpoints, and incorporate </w:t>
      </w:r>
      <w:proofErr w:type="spellStart"/>
      <w:r>
        <w:t>SDoH</w:t>
      </w:r>
      <w:proofErr w:type="spellEnd"/>
      <w:r>
        <w:t xml:space="preserve"> data into risk stratification.</w:t>
      </w:r>
    </w:p>
    <w:p w14:paraId="28E12B8B" w14:textId="77777777" w:rsidR="00772358" w:rsidRDefault="00000000">
      <w:pPr>
        <w:pStyle w:val="Heading2"/>
        <w:pBdr>
          <w:bottom w:val="single" w:sz="4" w:space="2" w:color="E8A020"/>
        </w:pBdr>
      </w:pPr>
      <w:r>
        <w:t>Questions for Leadership</w:t>
      </w:r>
    </w:p>
    <w:p w14:paraId="61503BF3" w14:textId="77777777" w:rsidR="00772358" w:rsidRDefault="00000000">
      <w:pPr>
        <w:spacing w:before="60" w:after="120" w:line="280" w:lineRule="auto"/>
        <w:jc w:val="both"/>
      </w:pPr>
      <w:r>
        <w:t xml:space="preserve">Is the organisation's risk stratification model incorporating EHR and </w:t>
      </w:r>
      <w:proofErr w:type="spellStart"/>
      <w:r>
        <w:t>SDoH</w:t>
      </w:r>
      <w:proofErr w:type="spellEnd"/>
      <w:r>
        <w:t xml:space="preserve"> data alongside claims, or relying solely on retrospective claims-based models? What is the 30-day readmission rate for the top five DRGs by volume, and is there a structured transitional care management program targeting each? Has the organisation assessed its ACO REACH equity benchmark performance and developed a health equity action plan?</w:t>
      </w:r>
    </w:p>
    <w:p w14:paraId="5E18CBEB" w14:textId="77777777" w:rsidR="00772358" w:rsidRDefault="00000000">
      <w:pPr>
        <w:spacing w:before="60" w:after="120" w:line="280" w:lineRule="auto"/>
        <w:jc w:val="both"/>
      </w:pPr>
      <w:r>
        <w:rPr>
          <w:i/>
          <w:iCs/>
        </w:rPr>
        <w:t>Chapter 9 complete.</w:t>
      </w:r>
    </w:p>
    <w:p w14:paraId="7853CCC3" w14:textId="77777777" w:rsidR="00772358" w:rsidRDefault="00000000">
      <w:pPr>
        <w:pStyle w:val="Heading2"/>
        <w:pBdr>
          <w:bottom w:val="single" w:sz="4" w:space="2" w:color="E8A020"/>
        </w:pBdr>
      </w:pPr>
      <w:r>
        <w:t>9.5 HEDIS Quality Measures and Payer Reporting</w:t>
      </w:r>
    </w:p>
    <w:p w14:paraId="41E33F3D" w14:textId="77777777" w:rsidR="00772358" w:rsidRDefault="00000000">
      <w:pPr>
        <w:spacing w:before="60" w:after="120" w:line="280" w:lineRule="auto"/>
        <w:jc w:val="both"/>
      </w:pPr>
      <w:r>
        <w:t>HEDIS (Healthcare Effectiveness Data and Information Set) is the most widely used set of performance measures in US healthcare. NCQA (National Committee for Quality Assurance) collects HEDIS data from health plans, and CMS uses HEDIS-derived measures in Medicare Advantage Star Ratings — which directly affect plan payment bonuses and member rebates.</w:t>
      </w:r>
    </w:p>
    <w:p w14:paraId="45FDDE4D" w14:textId="77777777" w:rsidR="00772358" w:rsidRDefault="00000000">
      <w:pPr>
        <w:spacing w:before="60" w:after="120" w:line="280" w:lineRule="auto"/>
        <w:jc w:val="both"/>
      </w:pPr>
      <w:r>
        <w:t>Key HEDIS measures with GCC measurement potential include:</w:t>
      </w:r>
    </w:p>
    <w:p w14:paraId="37461354" w14:textId="77777777" w:rsidR="00772358" w:rsidRDefault="00000000">
      <w:pPr>
        <w:pStyle w:val="ListParagraph"/>
        <w:numPr>
          <w:ilvl w:val="0"/>
          <w:numId w:val="2"/>
        </w:numPr>
        <w:spacing w:before="40" w:after="80"/>
      </w:pPr>
      <w:r>
        <w:rPr>
          <w:b/>
          <w:bCs/>
          <w:color w:val="0B4F6C"/>
        </w:rPr>
        <w:t>Diabetes care:</w:t>
      </w:r>
      <w:r>
        <w:t xml:space="preserve"> HbA1c control (≤8%), eye exam, kidney health evaluation, blood pressure control</w:t>
      </w:r>
    </w:p>
    <w:p w14:paraId="166051D0" w14:textId="77777777" w:rsidR="00772358" w:rsidRDefault="00000000">
      <w:pPr>
        <w:pStyle w:val="ListParagraph"/>
        <w:numPr>
          <w:ilvl w:val="0"/>
          <w:numId w:val="2"/>
        </w:numPr>
        <w:spacing w:before="40" w:after="80"/>
      </w:pPr>
      <w:r>
        <w:rPr>
          <w:b/>
          <w:bCs/>
          <w:color w:val="0B4F6C"/>
        </w:rPr>
        <w:t>Cardiovascular care:</w:t>
      </w:r>
      <w:r>
        <w:t xml:space="preserve"> Statin therapy for ASCVD, blood pressure control (&lt;140/90), cholesterol management</w:t>
      </w:r>
    </w:p>
    <w:p w14:paraId="082F594E" w14:textId="77777777" w:rsidR="00772358" w:rsidRDefault="00000000">
      <w:pPr>
        <w:pStyle w:val="ListParagraph"/>
        <w:numPr>
          <w:ilvl w:val="0"/>
          <w:numId w:val="2"/>
        </w:numPr>
        <w:spacing w:before="40" w:after="80"/>
      </w:pPr>
      <w:r>
        <w:rPr>
          <w:b/>
          <w:bCs/>
          <w:color w:val="0B4F6C"/>
        </w:rPr>
        <w:t>Preventive care:</w:t>
      </w:r>
      <w:r>
        <w:t xml:space="preserve"> Colorectal cancer screening, breast cancer screening, childhood immunisations, well-child visits</w:t>
      </w:r>
    </w:p>
    <w:p w14:paraId="1B81B66B" w14:textId="77777777" w:rsidR="00772358" w:rsidRDefault="00000000">
      <w:pPr>
        <w:pStyle w:val="ListParagraph"/>
        <w:numPr>
          <w:ilvl w:val="0"/>
          <w:numId w:val="2"/>
        </w:numPr>
        <w:spacing w:before="40" w:after="80"/>
      </w:pPr>
      <w:r>
        <w:rPr>
          <w:b/>
          <w:bCs/>
          <w:color w:val="0B4F6C"/>
        </w:rPr>
        <w:t>Behavioural health:</w:t>
      </w:r>
      <w:r>
        <w:t xml:space="preserve"> Antidepressant medication management, follow-up after hospitalisation for mental illness</w:t>
      </w:r>
    </w:p>
    <w:p w14:paraId="5A3FD95F" w14:textId="77777777" w:rsidR="00772358" w:rsidRDefault="00000000">
      <w:pPr>
        <w:spacing w:before="60" w:after="120" w:line="280" w:lineRule="auto"/>
        <w:jc w:val="both"/>
      </w:pPr>
      <w:r>
        <w:t>Plans in the top decile of Star performance receive 5% payment bonuses on their Medicare Advantage premium — representing hundreds of millions of dollars for large MA plans. This financial incentive drives significant investment in HEDIS measure improvement programs.</w:t>
      </w:r>
    </w:p>
    <w:p w14:paraId="5E82FBAF" w14:textId="77777777" w:rsidR="00772358" w:rsidRDefault="00000000">
      <w:pPr>
        <w:spacing w:before="60" w:after="120" w:line="280" w:lineRule="auto"/>
        <w:jc w:val="both"/>
      </w:pPr>
      <w:r>
        <w:rPr>
          <w:b/>
          <w:bCs/>
          <w:color w:val="0B4F6C"/>
        </w:rPr>
        <w:t>GCC HEDIS operations:</w:t>
      </w:r>
      <w:r>
        <w:t xml:space="preserve"> Claims-based HEDIS measure calculation, member outreach for care gap closure, provider incentive program analytics, and HEDIS data submission preparation are functions appropriate for GCC delivery.</w:t>
      </w:r>
    </w:p>
    <w:p w14:paraId="61FE512C" w14:textId="77777777" w:rsidR="00772358" w:rsidRDefault="00000000">
      <w:pPr>
        <w:pStyle w:val="Heading2"/>
        <w:pBdr>
          <w:bottom w:val="single" w:sz="4" w:space="2" w:color="E8A020"/>
        </w:pBdr>
      </w:pPr>
      <w:r>
        <w:t>9.6 Social Determinants of Health — The 80% Factor</w:t>
      </w:r>
    </w:p>
    <w:p w14:paraId="747CF4B3" w14:textId="77777777" w:rsidR="00772358" w:rsidRDefault="00000000">
      <w:pPr>
        <w:spacing w:before="60" w:after="120" w:line="280" w:lineRule="auto"/>
        <w:jc w:val="both"/>
      </w:pPr>
      <w:r>
        <w:t xml:space="preserve">Non-clinical social and economic factors — the social determinants of health — account for approximately 80% of health outcomes, yet most clinical systems are designed to address only the clinical 20%. Food insecurity, housing instability, transportation barriers, social isolation, and limited health literacy are the most common </w:t>
      </w:r>
      <w:proofErr w:type="spellStart"/>
      <w:r>
        <w:t>SDoH</w:t>
      </w:r>
      <w:proofErr w:type="spellEnd"/>
      <w:r>
        <w:t xml:space="preserve"> challenges affecting high-risk patient populations.</w:t>
      </w:r>
    </w:p>
    <w:p w14:paraId="78C4708F" w14:textId="77777777" w:rsidR="00772358" w:rsidRDefault="00000000">
      <w:pPr>
        <w:spacing w:before="60" w:after="120" w:line="280" w:lineRule="auto"/>
        <w:jc w:val="both"/>
      </w:pPr>
      <w:proofErr w:type="spellStart"/>
      <w:r>
        <w:rPr>
          <w:b/>
          <w:bCs/>
          <w:color w:val="0B4F6C"/>
        </w:rPr>
        <w:t>SDoH</w:t>
      </w:r>
      <w:proofErr w:type="spellEnd"/>
      <w:r>
        <w:rPr>
          <w:b/>
          <w:bCs/>
          <w:color w:val="0B4F6C"/>
        </w:rPr>
        <w:t xml:space="preserve"> screening tools:</w:t>
      </w:r>
      <w:r>
        <w:t xml:space="preserve"> AHC (Accountable Health Communities) screening tool, PRAPARE (Protocol for Responding to and Assessing Patients' Assets, Risks, and Experiences), and </w:t>
      </w:r>
      <w:proofErr w:type="spellStart"/>
      <w:r>
        <w:t>iHELP</w:t>
      </w:r>
      <w:proofErr w:type="spellEnd"/>
      <w:r>
        <w:t xml:space="preserve"> (Income, Housing, Education, Legal Status, Personal Safety) are commonly used standardised </w:t>
      </w:r>
      <w:proofErr w:type="spellStart"/>
      <w:r>
        <w:t>SDoH</w:t>
      </w:r>
      <w:proofErr w:type="spellEnd"/>
      <w:r>
        <w:t xml:space="preserve"> screening instruments.</w:t>
      </w:r>
    </w:p>
    <w:p w14:paraId="231F0FC4" w14:textId="77777777" w:rsidR="00772358" w:rsidRDefault="00000000">
      <w:pPr>
        <w:spacing w:before="60" w:after="120" w:line="280" w:lineRule="auto"/>
        <w:jc w:val="both"/>
      </w:pPr>
      <w:proofErr w:type="spellStart"/>
      <w:r>
        <w:rPr>
          <w:b/>
          <w:bCs/>
          <w:color w:val="0B4F6C"/>
        </w:rPr>
        <w:t>SDoH</w:t>
      </w:r>
      <w:proofErr w:type="spellEnd"/>
      <w:r>
        <w:rPr>
          <w:b/>
          <w:bCs/>
          <w:color w:val="0B4F6C"/>
        </w:rPr>
        <w:t xml:space="preserve"> data integration:</w:t>
      </w:r>
      <w:r>
        <w:t xml:space="preserve"> CMS established Z codes in ICD-10-CM specifically for documenting social determinants (Z55–Z65 code range — problems related to education, employment, housing, family circumstances, etc.). Embedding </w:t>
      </w:r>
      <w:proofErr w:type="spellStart"/>
      <w:r>
        <w:t>SDoH</w:t>
      </w:r>
      <w:proofErr w:type="spellEnd"/>
      <w:r>
        <w:t xml:space="preserve"> screening and Z-code documentation into clinical workflows enables </w:t>
      </w:r>
      <w:proofErr w:type="spellStart"/>
      <w:r>
        <w:t>SDoH</w:t>
      </w:r>
      <w:proofErr w:type="spellEnd"/>
      <w:r>
        <w:t xml:space="preserve"> data to flow into claims for population analytics, payer risk adjustment, and care management targeting.</w:t>
      </w:r>
    </w:p>
    <w:p w14:paraId="79ACA8BE" w14:textId="77777777" w:rsidR="00772358" w:rsidRDefault="00000000">
      <w:pPr>
        <w:spacing w:before="60" w:after="120" w:line="280" w:lineRule="auto"/>
        <w:jc w:val="both"/>
      </w:pPr>
      <w:r>
        <w:rPr>
          <w:b/>
          <w:bCs/>
          <w:color w:val="0B4F6C"/>
        </w:rPr>
        <w:t>Community resource integration:</w:t>
      </w:r>
      <w:r>
        <w:t xml:space="preserve"> Connecting patients with community resources — food banks, housing assistance, transportation programs, legal aid, and mental health services — requires a technology layer that maps patient needs to available community resources. Platforms including findhelp.org (formerly Aunt Bertha), </w:t>
      </w:r>
      <w:proofErr w:type="spellStart"/>
      <w:r>
        <w:t>NowPow</w:t>
      </w:r>
      <w:proofErr w:type="spellEnd"/>
      <w:r>
        <w:t xml:space="preserve">, and </w:t>
      </w:r>
      <w:proofErr w:type="spellStart"/>
      <w:r>
        <w:t>Healthify</w:t>
      </w:r>
      <w:proofErr w:type="spellEnd"/>
      <w:r>
        <w:t xml:space="preserve"> provide this community resource matching capability.</w:t>
      </w:r>
    </w:p>
    <w:p w14:paraId="6FD2795B" w14:textId="77777777" w:rsidR="00772358" w:rsidRDefault="00000000">
      <w:r>
        <w:br/>
      </w:r>
    </w:p>
    <w:p w14:paraId="78868D78" w14:textId="77777777" w:rsidR="00772358" w:rsidRDefault="00000000">
      <w:pPr>
        <w:pStyle w:val="Heading1"/>
        <w:pBdr>
          <w:bottom w:val="single" w:sz="8" w:space="4" w:color="E8A020"/>
        </w:pBdr>
        <w:shd w:val="clear" w:color="auto" w:fill="0B4F6C"/>
        <w:ind w:left="160" w:right="160"/>
      </w:pPr>
      <w:r>
        <w:t>Chapter 10: Pharmacy Benefit Management &amp; Specialty Pharmacy</w:t>
      </w:r>
    </w:p>
    <w:p w14:paraId="5CEE26B5"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5673275B" w14:textId="77777777">
        <w:tblPrEx>
          <w:tblCellMar>
            <w:top w:w="0" w:type="dxa"/>
            <w:bottom w:w="0" w:type="dxa"/>
          </w:tblCellMar>
        </w:tblPrEx>
        <w:tc>
          <w:tcPr>
            <w:tcW w:w="9360" w:type="dxa"/>
            <w:tcBorders>
              <w:top w:val="single" w:sz="6" w:space="0" w:color="17A8C8"/>
              <w:left w:val="single" w:sz="18" w:space="0" w:color="17A8C8"/>
              <w:bottom w:val="single" w:sz="6" w:space="0" w:color="17A8C8"/>
              <w:right w:val="single" w:sz="6" w:space="0" w:color="17A8C8"/>
            </w:tcBorders>
            <w:shd w:val="clear" w:color="auto" w:fill="E8F8FC"/>
            <w:tcMar>
              <w:top w:w="140" w:type="dxa"/>
              <w:left w:w="200" w:type="dxa"/>
              <w:bottom w:w="140" w:type="dxa"/>
              <w:right w:w="200" w:type="dxa"/>
            </w:tcMar>
          </w:tcPr>
          <w:p w14:paraId="374FE02C" w14:textId="77777777" w:rsidR="00772358" w:rsidRDefault="00000000">
            <w:pPr>
              <w:spacing w:after="80"/>
            </w:pPr>
            <w:r>
              <w:rPr>
                <w:b/>
                <w:bCs/>
                <w:color w:val="E8A020"/>
                <w:sz w:val="17"/>
                <w:szCs w:val="17"/>
              </w:rPr>
              <w:t>EXECUTIVE SUMMARY</w:t>
            </w:r>
          </w:p>
          <w:p w14:paraId="0E57B97A" w14:textId="77777777" w:rsidR="00772358" w:rsidRDefault="00000000">
            <w:pPr>
              <w:jc w:val="both"/>
            </w:pPr>
            <w:r>
              <w:rPr>
                <w:i/>
                <w:iCs/>
                <w:sz w:val="20"/>
                <w:szCs w:val="20"/>
              </w:rPr>
              <w:t>Pharmacy represents the fastest-growing component of healthcare expenditure, driven by specialty drugs — biologics, cell and gene therapies, oncology agents — that can cost $100,000–$4 million per patient course of therapy. PBMs manage pharmacy benefits for over 270 million Americans, controlling formulary design, prior authorisation, rebate negotiation, specialty pharmacy networks, and medication adherence programs. The regulatory environment for PBMs is transforming under the Consolidated Appropriations Act 2026 provisions. This chapter provides the complete PBM and specialty pharmacy operating model.</w:t>
            </w:r>
          </w:p>
        </w:tc>
      </w:tr>
    </w:tbl>
    <w:p w14:paraId="1AB9A414" w14:textId="77777777" w:rsidR="00772358" w:rsidRDefault="00772358">
      <w:pPr>
        <w:spacing w:after="80"/>
      </w:pPr>
    </w:p>
    <w:p w14:paraId="5ED85AD2" w14:textId="77777777" w:rsidR="00772358" w:rsidRDefault="00000000">
      <w:pPr>
        <w:pStyle w:val="Heading2"/>
        <w:pBdr>
          <w:bottom w:val="single" w:sz="4" w:space="2" w:color="E8A020"/>
        </w:pBdr>
      </w:pPr>
      <w:r>
        <w:t>10.1 PBM Core Functions</w:t>
      </w:r>
    </w:p>
    <w:p w14:paraId="2D21160A" w14:textId="77777777" w:rsidR="00772358" w:rsidRDefault="00000000">
      <w:pPr>
        <w:spacing w:before="60" w:after="120" w:line="280" w:lineRule="auto"/>
        <w:jc w:val="both"/>
      </w:pPr>
      <w:r>
        <w:rPr>
          <w:b/>
          <w:bCs/>
          <w:color w:val="0B4F6C"/>
        </w:rPr>
        <w:t>Formulary Management:</w:t>
      </w:r>
      <w:r>
        <w:t xml:space="preserve"> The drug formulary — the list of covered medications organised by tier — is the primary tool for steering prescription behaviour toward clinically appropriate, cost-effective drugs. Formulary committees review clinical evidence, manufacturer rebate offers, and utilisation patterns to design multi-tier formularies that balance access with cost.</w:t>
      </w:r>
    </w:p>
    <w:p w14:paraId="695738C0" w14:textId="77777777" w:rsidR="00772358" w:rsidRDefault="00000000">
      <w:pPr>
        <w:spacing w:before="60" w:after="120" w:line="280" w:lineRule="auto"/>
        <w:jc w:val="both"/>
      </w:pPr>
      <w:r>
        <w:rPr>
          <w:b/>
          <w:bCs/>
          <w:color w:val="0B4F6C"/>
        </w:rPr>
        <w:t>Rebate Negotiation:</w:t>
      </w:r>
      <w:r>
        <w:t xml:space="preserve"> PBMs negotiate rebates from pharmaceutical manufacturers in exchange for formulary placement. These rebates — which can represent 30–50% of a brand drug's list price — are the primary mechanism through which PBMs claim to reduce pharmacy benefit costs. The transparency of rebate pass-through to plan sponsors is a major regulatory and political issue in the CAA 2026 debate.</w:t>
      </w:r>
    </w:p>
    <w:p w14:paraId="522903A7" w14:textId="77777777" w:rsidR="00772358" w:rsidRDefault="00000000">
      <w:pPr>
        <w:spacing w:before="60" w:after="120" w:line="280" w:lineRule="auto"/>
        <w:jc w:val="both"/>
      </w:pPr>
      <w:r>
        <w:rPr>
          <w:b/>
          <w:bCs/>
          <w:color w:val="0B4F6C"/>
        </w:rPr>
        <w:t>Prior Authorisation:</w:t>
      </w:r>
      <w:r>
        <w:t xml:space="preserve"> Specialty drugs and high-cost medications typically require PA to confirm clinical appropriateness before dispensing. PBM PA programs apply clinical criteria (often developed by the PBM's clinical team) to approve or deny pharmacy benefit requests.</w:t>
      </w:r>
    </w:p>
    <w:p w14:paraId="0A7DF8B6" w14:textId="77777777" w:rsidR="00772358" w:rsidRDefault="00000000">
      <w:pPr>
        <w:spacing w:before="60" w:after="120" w:line="280" w:lineRule="auto"/>
        <w:jc w:val="both"/>
      </w:pPr>
      <w:r>
        <w:rPr>
          <w:b/>
          <w:bCs/>
          <w:color w:val="0B4F6C"/>
        </w:rPr>
        <w:t>Specialty Pharmacy:</w:t>
      </w:r>
      <w:r>
        <w:t xml:space="preserve"> Specialty drugs require specialised dispensing — temperature-controlled logistics, patient education and support programs, adherence monitoring, and clinical monitoring coordination. PBMs own or contract with specialty pharmacy networks that provide these services.</w:t>
      </w:r>
    </w:p>
    <w:p w14:paraId="1DBB05D5" w14:textId="77777777" w:rsidR="00772358" w:rsidRDefault="00000000">
      <w:pPr>
        <w:spacing w:before="60" w:after="120" w:line="280" w:lineRule="auto"/>
        <w:jc w:val="both"/>
      </w:pPr>
      <w:r>
        <w:rPr>
          <w:b/>
          <w:bCs/>
          <w:color w:val="0B4F6C"/>
        </w:rPr>
        <w:t>Medication Adherence Programs:</w:t>
      </w:r>
      <w:r>
        <w:t xml:space="preserve"> Adherence support — refill reminders, copay assistance coordination, side effect management, and patient education — improves outcomes and reduces downstream medical costs associated with medication non-adherence. Diabetes medication adherence programs, for example, have demonstrated $3,000–$5,000 annual medical cost savings per adherent patient.</w:t>
      </w:r>
    </w:p>
    <w:p w14:paraId="2ADB7A32" w14:textId="77777777" w:rsidR="00772358" w:rsidRDefault="00000000">
      <w:pPr>
        <w:pStyle w:val="Heading2"/>
        <w:pBdr>
          <w:bottom w:val="single" w:sz="4" w:space="2" w:color="E8A020"/>
        </w:pBdr>
      </w:pPr>
      <w:r>
        <w:t>10.2 The 340B Program</w:t>
      </w:r>
    </w:p>
    <w:p w14:paraId="40EBA462" w14:textId="77777777" w:rsidR="00772358" w:rsidRDefault="00000000">
      <w:pPr>
        <w:spacing w:before="60" w:after="120" w:line="280" w:lineRule="auto"/>
        <w:jc w:val="both"/>
      </w:pPr>
      <w:r>
        <w:t>The 340B Drug Pricing Program requires pharmaceutical manufacturers to provide outpatient drugs to eligible healthcare providers at significantly discounted prices — typically 20–50% below market. 340B-eligible entities include disproportionate share hospitals, FQHCs, Ryan White clinics, and other safety net providers.</w:t>
      </w:r>
    </w:p>
    <w:p w14:paraId="2B0E23BC" w14:textId="77777777" w:rsidR="00772358" w:rsidRDefault="00000000">
      <w:pPr>
        <w:spacing w:before="60" w:after="120" w:line="280" w:lineRule="auto"/>
        <w:jc w:val="both"/>
      </w:pPr>
      <w:r>
        <w:t>340B has grown dramatically — participating hospitals purchase approximately $45 billion in drugs annually under 340B pricing — generating controversy about the use of 340B savings, the definition of eligible patients, and the impact on drug pricing more broadly. The 340B compliance architecture is complex, requiring rigorous tracking of 340B-eligible prescriptions versus non-340B prescriptions to avoid duplicate discounts (which are prohibited).</w:t>
      </w:r>
    </w:p>
    <w:p w14:paraId="587DBEDC" w14:textId="77777777" w:rsidR="00772358" w:rsidRDefault="00000000">
      <w:pPr>
        <w:pStyle w:val="Heading2"/>
        <w:pBdr>
          <w:bottom w:val="single" w:sz="4" w:space="2" w:color="E8A020"/>
        </w:pBdr>
      </w:pPr>
      <w:r>
        <w:t>10.3 Specialty Drug Management</w:t>
      </w:r>
    </w:p>
    <w:p w14:paraId="6B0FD669" w14:textId="77777777" w:rsidR="00772358" w:rsidRDefault="00000000">
      <w:pPr>
        <w:spacing w:before="60" w:after="120" w:line="280" w:lineRule="auto"/>
        <w:jc w:val="both"/>
      </w:pPr>
      <w:r>
        <w:t>Specialty drugs — biologics, targeted therapies, gene therapies — present the most significant pharmacy cost management challenge. A single CAR-T cell therapy can cost $400,000–$500,000. GLP-1 agonists for obesity and diabetes (semaglutide, tirzepatide) are creating unprecedented pharmacy cost pressure as utilisation has exceeded all projections.</w:t>
      </w:r>
    </w:p>
    <w:p w14:paraId="59A167D7" w14:textId="77777777" w:rsidR="00772358" w:rsidRDefault="00000000">
      <w:pPr>
        <w:spacing w:before="60" w:after="120" w:line="280" w:lineRule="auto"/>
        <w:jc w:val="both"/>
      </w:pPr>
      <w:r>
        <w:rPr>
          <w:b/>
          <w:bCs/>
          <w:color w:val="0B4F6C"/>
        </w:rPr>
        <w:t>Site-of-care management:</w:t>
      </w:r>
      <w:r>
        <w:t xml:space="preserve"> Many specialty infusion drugs can be administered in physician offices, ambulatory infusion centres, or at home — at dramatically lower cost than hospital outpatient departments. Site-of-care management programs redirect infusion therapy to lower-cost settings where clinically appropriate.</w:t>
      </w:r>
    </w:p>
    <w:p w14:paraId="201979F3" w14:textId="77777777" w:rsidR="00772358" w:rsidRDefault="00000000">
      <w:pPr>
        <w:spacing w:before="60" w:after="120" w:line="280" w:lineRule="auto"/>
        <w:jc w:val="both"/>
      </w:pPr>
      <w:r>
        <w:rPr>
          <w:b/>
          <w:bCs/>
          <w:color w:val="0B4F6C"/>
        </w:rPr>
        <w:t>Biosimilar adoption:</w:t>
      </w:r>
      <w:r>
        <w:t xml:space="preserve"> As biologic drugs lose patent protection and biosimilars enter the market, PBMs and payers are implementing formulary strategies that incentivise biosimilar adoption. Biosimilars for adalimumab (Humira), etanercept (Enbrel), and bevacizumab (Avastin) offer 30–60% cost savings versus reference products.</w:t>
      </w:r>
    </w:p>
    <w:p w14:paraId="0C6826C3" w14:textId="77777777" w:rsidR="00772358" w:rsidRDefault="00000000">
      <w:pPr>
        <w:pStyle w:val="Heading2"/>
        <w:pBdr>
          <w:bottom w:val="single" w:sz="4" w:space="2" w:color="E8A020"/>
        </w:pBdr>
      </w:pPr>
      <w:r>
        <w:t>Questions for Leadership</w:t>
      </w:r>
    </w:p>
    <w:p w14:paraId="12A3C542" w14:textId="77777777" w:rsidR="00772358" w:rsidRDefault="00000000">
      <w:pPr>
        <w:spacing w:before="60" w:after="120" w:line="280" w:lineRule="auto"/>
        <w:jc w:val="both"/>
      </w:pPr>
      <w:r>
        <w:t>What proportion of specialty drug spend is being managed through preferred specialty pharmacy networks versus retail, and what is the unit cost differential? Is the organisation tracking 340B compliance at the prescription level with documented audit trails that satisfy CMS 340B oversight requirements? Has the GLP-1 utilisation trend been modelled for the next three plan years, with formulary strategy and utilisation management protocols established?</w:t>
      </w:r>
    </w:p>
    <w:p w14:paraId="2FD33438" w14:textId="77777777" w:rsidR="00772358" w:rsidRDefault="00000000">
      <w:pPr>
        <w:spacing w:before="60" w:after="120" w:line="280" w:lineRule="auto"/>
        <w:jc w:val="both"/>
      </w:pPr>
      <w:r>
        <w:rPr>
          <w:i/>
          <w:iCs/>
        </w:rPr>
        <w:t>Chapter 10 complete.</w:t>
      </w:r>
    </w:p>
    <w:p w14:paraId="54870782" w14:textId="77777777" w:rsidR="00772358" w:rsidRDefault="00000000">
      <w:pPr>
        <w:pStyle w:val="Heading2"/>
        <w:pBdr>
          <w:bottom w:val="single" w:sz="4" w:space="2" w:color="E8A020"/>
        </w:pBdr>
      </w:pPr>
      <w:r>
        <w:t>10.3 Specialty Drug Management</w:t>
      </w:r>
    </w:p>
    <w:p w14:paraId="5B37E4C9" w14:textId="77777777" w:rsidR="00772358" w:rsidRDefault="00000000">
      <w:pPr>
        <w:spacing w:before="60" w:after="120" w:line="280" w:lineRule="auto"/>
        <w:jc w:val="both"/>
      </w:pPr>
      <w:r>
        <w:t>The specialty pharmacy segment requires a distinct operational model from traditional retail pharmacy. Specialty drugs — biologics, oncology agents, immunology treatments — require:</w:t>
      </w:r>
    </w:p>
    <w:p w14:paraId="0A50D5B4" w14:textId="77777777" w:rsidR="00772358" w:rsidRDefault="00000000">
      <w:pPr>
        <w:spacing w:before="60" w:after="120" w:line="280" w:lineRule="auto"/>
        <w:jc w:val="both"/>
      </w:pPr>
      <w:r>
        <w:rPr>
          <w:b/>
          <w:bCs/>
          <w:color w:val="0B4F6C"/>
        </w:rPr>
        <w:t>Clinical management:</w:t>
      </w:r>
      <w:r>
        <w:t xml:space="preserve"> Patient onboarding education, injection training, side effect monitoring, and lab result coordination that traditional pharmacy dispensing does not provide. Specialty pharmacy patient support programs that actively manage adherence and side effects demonstrate 15–25% improvement in persistence rates versus mail-order dispensing.</w:t>
      </w:r>
    </w:p>
    <w:p w14:paraId="5A231655" w14:textId="77777777" w:rsidR="00772358" w:rsidRDefault="00000000">
      <w:pPr>
        <w:spacing w:before="60" w:after="120" w:line="280" w:lineRule="auto"/>
        <w:jc w:val="both"/>
      </w:pPr>
      <w:r>
        <w:rPr>
          <w:b/>
          <w:bCs/>
          <w:color w:val="0B4F6C"/>
        </w:rPr>
        <w:t>Hub services:</w:t>
      </w:r>
      <w:r>
        <w:t xml:space="preserve"> Many specialty drugs are supported by manufacturer hub programs that coordinate patient assistance, prior authorisation support, specialty pharmacy </w:t>
      </w:r>
      <w:proofErr w:type="spellStart"/>
      <w:r>
        <w:t>enrollment</w:t>
      </w:r>
      <w:proofErr w:type="spellEnd"/>
      <w:r>
        <w:t>, and patient support nursing. GCCs in India increasingly manage hub operations for specialty pharmaceutical manufacturers — handling PA intake, insurance verification, benefit investigation, and patient communication.</w:t>
      </w:r>
    </w:p>
    <w:p w14:paraId="0F1CA0B6" w14:textId="77777777" w:rsidR="00772358" w:rsidRDefault="00000000">
      <w:pPr>
        <w:spacing w:before="60" w:after="120" w:line="280" w:lineRule="auto"/>
        <w:jc w:val="both"/>
      </w:pPr>
      <w:r>
        <w:rPr>
          <w:b/>
          <w:bCs/>
          <w:color w:val="0B4F6C"/>
        </w:rPr>
        <w:t>Site-of-care optimisation:</w:t>
      </w:r>
      <w:r>
        <w:t xml:space="preserve"> Many specialty drugs can be administered at home or in physician offices at substantially lower cost than hospital outpatient infusion — a shift that saves the healthcare system $10,000–$50,000 per patient course. PBMs and payers are implementing site-of-care programs to redirect appropriate infusion from hospital outpatient to lower-cost settings.</w:t>
      </w:r>
    </w:p>
    <w:p w14:paraId="584E13D3" w14:textId="77777777" w:rsidR="00772358" w:rsidRDefault="00000000">
      <w:pPr>
        <w:pStyle w:val="Heading2"/>
        <w:pBdr>
          <w:bottom w:val="single" w:sz="4" w:space="2" w:color="E8A020"/>
        </w:pBdr>
      </w:pPr>
      <w:r>
        <w:t>10.4 PBM Regulatory Environment — CAA 2026</w:t>
      </w:r>
    </w:p>
    <w:p w14:paraId="465B57D9" w14:textId="77777777" w:rsidR="00772358" w:rsidRDefault="00000000">
      <w:pPr>
        <w:spacing w:before="60" w:after="120" w:line="280" w:lineRule="auto"/>
        <w:jc w:val="both"/>
      </w:pPr>
      <w:r>
        <w:t>The Consolidated Appropriations Act 2026 provisions represent the most significant PBM regulatory reform in a generation. Key requirements include: full rebate transparency and pass-through reporting; prohibition on spread pricing in Medicaid; fiduciary duty obligations for PBM contracts with ERISA plans; drug pricing disclosure requirements; and limitations on the vertical integration of PBMs with specialty pharmacy. The regulatory scrutiny reflects longstanding concerns about PBM pricing opacity and its effect on drug costs for plan sponsors and patients.</w:t>
      </w:r>
    </w:p>
    <w:p w14:paraId="394603A3" w14:textId="77777777" w:rsidR="00772358" w:rsidRDefault="00000000">
      <w:pPr>
        <w:spacing w:before="60" w:after="120" w:line="280" w:lineRule="auto"/>
        <w:jc w:val="both"/>
      </w:pPr>
      <w:r>
        <w:rPr>
          <w:b/>
          <w:bCs/>
          <w:color w:val="0B4F6C"/>
        </w:rPr>
        <w:t>GCC PBM operations:</w:t>
      </w:r>
      <w:r>
        <w:t xml:space="preserve"> Large PBMs — CVS Caremark, Express Scripts (</w:t>
      </w:r>
      <w:proofErr w:type="spellStart"/>
      <w:r>
        <w:t>Evernorth</w:t>
      </w:r>
      <w:proofErr w:type="spellEnd"/>
      <w:r>
        <w:t>), OptumRx — all operate substantial GCC operations in India for claims processing, formulary administration, rebate reconciliation, PA intake, and member services. The India GCC talent pool in pharmacy benefit operations is deep and growing, with specialized training programs producing URAC-certified pharmacy benefit professionals at scale.</w:t>
      </w:r>
    </w:p>
    <w:p w14:paraId="4E065BF5" w14:textId="77777777" w:rsidR="00772358" w:rsidRDefault="00000000">
      <w:pPr>
        <w:pStyle w:val="Heading2"/>
        <w:pBdr>
          <w:bottom w:val="single" w:sz="4" w:space="2" w:color="E8A020"/>
        </w:pBdr>
      </w:pPr>
      <w:r>
        <w:t>10.5 340B Program Management</w:t>
      </w:r>
    </w:p>
    <w:p w14:paraId="65029461" w14:textId="77777777" w:rsidR="00772358" w:rsidRDefault="00000000">
      <w:pPr>
        <w:spacing w:before="60" w:after="120" w:line="280" w:lineRule="auto"/>
        <w:jc w:val="both"/>
      </w:pPr>
      <w:r>
        <w:t>340B compliance is among the most operationally demanding programs in health system management. The compliance requirements — tracking 340B eligibility by patient, prescription, and dispensing event; preventing duplicate discounts with Medicaid; maintaining split-billing systems that separate 340B from non-340B drug inventory — require dedicated systems, processes, and staff.</w:t>
      </w:r>
    </w:p>
    <w:p w14:paraId="2F0326EE" w14:textId="77777777" w:rsidR="00772358" w:rsidRDefault="00000000">
      <w:pPr>
        <w:spacing w:before="60" w:after="120" w:line="280" w:lineRule="auto"/>
        <w:jc w:val="both"/>
      </w:pPr>
      <w:r>
        <w:rPr>
          <w:b/>
          <w:bCs/>
          <w:color w:val="0B4F6C"/>
        </w:rPr>
        <w:t>GCC opportunity:</w:t>
      </w:r>
      <w:r>
        <w:t xml:space="preserve"> 340B program management, compliance monitoring, and cost reporting are increasingly being supported by GCC teams with specialized 340B expertise. The combination of detailed rule-based processing and analytical requirements makes 340B operations a good fit for GCC delivery with appropriate clinical oversight.</w:t>
      </w:r>
    </w:p>
    <w:p w14:paraId="26F93C33" w14:textId="77777777" w:rsidR="00772358" w:rsidRDefault="00000000">
      <w:r>
        <w:br/>
      </w:r>
    </w:p>
    <w:p w14:paraId="42872BCC" w14:textId="77777777" w:rsidR="00772358" w:rsidRDefault="00000000">
      <w:pPr>
        <w:shd w:val="clear" w:color="auto" w:fill="072D3D"/>
        <w:spacing w:after="100"/>
        <w:jc w:val="center"/>
      </w:pPr>
      <w:r>
        <w:rPr>
          <w:b/>
          <w:bCs/>
          <w:color w:val="E8A020"/>
          <w:sz w:val="24"/>
          <w:szCs w:val="24"/>
        </w:rPr>
        <w:t>PART IV</w:t>
      </w:r>
    </w:p>
    <w:p w14:paraId="56A7FE96" w14:textId="77777777" w:rsidR="00772358" w:rsidRDefault="00000000">
      <w:pPr>
        <w:pBdr>
          <w:bottom w:val="single" w:sz="8" w:space="8" w:color="E8A020"/>
        </w:pBdr>
        <w:shd w:val="clear" w:color="auto" w:fill="072D3D"/>
        <w:spacing w:after="600"/>
        <w:jc w:val="center"/>
      </w:pPr>
      <w:r>
        <w:rPr>
          <w:b/>
          <w:bCs/>
          <w:color w:val="FFFFFF"/>
          <w:sz w:val="44"/>
          <w:szCs w:val="44"/>
        </w:rPr>
        <w:t>Digital Transformation &amp; AI</w:t>
      </w:r>
    </w:p>
    <w:p w14:paraId="05DE934B" w14:textId="77777777" w:rsidR="00772358" w:rsidRDefault="00000000">
      <w:r>
        <w:br/>
      </w:r>
    </w:p>
    <w:p w14:paraId="46C54CB5" w14:textId="77777777" w:rsidR="00772358" w:rsidRDefault="00000000">
      <w:pPr>
        <w:pStyle w:val="Heading1"/>
        <w:pBdr>
          <w:bottom w:val="single" w:sz="8" w:space="4" w:color="E8A020"/>
        </w:pBdr>
        <w:shd w:val="clear" w:color="auto" w:fill="0B4F6C"/>
        <w:ind w:left="160" w:right="160"/>
      </w:pPr>
      <w:r>
        <w:t>Chapter 11: Generative AI &amp; Automation in Healthcare Operations</w:t>
      </w:r>
    </w:p>
    <w:p w14:paraId="1A1C98E4"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2B00B07E" w14:textId="77777777">
        <w:tblPrEx>
          <w:tblCellMar>
            <w:top w:w="0" w:type="dxa"/>
            <w:bottom w:w="0" w:type="dxa"/>
          </w:tblCellMar>
        </w:tblPrEx>
        <w:tc>
          <w:tcPr>
            <w:tcW w:w="9360" w:type="dxa"/>
            <w:tcBorders>
              <w:top w:val="single" w:sz="6" w:space="0" w:color="17A8C8"/>
              <w:left w:val="single" w:sz="18" w:space="0" w:color="17A8C8"/>
              <w:bottom w:val="single" w:sz="6" w:space="0" w:color="17A8C8"/>
              <w:right w:val="single" w:sz="6" w:space="0" w:color="17A8C8"/>
            </w:tcBorders>
            <w:shd w:val="clear" w:color="auto" w:fill="E8F8FC"/>
            <w:tcMar>
              <w:top w:w="140" w:type="dxa"/>
              <w:left w:w="200" w:type="dxa"/>
              <w:bottom w:w="140" w:type="dxa"/>
              <w:right w:w="200" w:type="dxa"/>
            </w:tcMar>
          </w:tcPr>
          <w:p w14:paraId="56223433" w14:textId="77777777" w:rsidR="00772358" w:rsidRDefault="00000000">
            <w:pPr>
              <w:spacing w:after="80"/>
            </w:pPr>
            <w:r>
              <w:rPr>
                <w:b/>
                <w:bCs/>
                <w:color w:val="E8A020"/>
                <w:sz w:val="17"/>
                <w:szCs w:val="17"/>
              </w:rPr>
              <w:t>EXECUTIVE SUMMARY</w:t>
            </w:r>
          </w:p>
          <w:p w14:paraId="79396C67" w14:textId="77777777" w:rsidR="00772358" w:rsidRDefault="00000000">
            <w:pPr>
              <w:jc w:val="both"/>
            </w:pPr>
            <w:r>
              <w:rPr>
                <w:i/>
                <w:iCs/>
                <w:sz w:val="20"/>
                <w:szCs w:val="20"/>
              </w:rPr>
              <w:t>Generative AI is transforming healthcare operations at a pace that has outrun most organisations' governance frameworks. Large language models, computer vision systems, and robotic process automation are demonstrating measurable productivity improvements across clinical documentation, revenue cycle, prior authorisation, patient communication, and population health analytics. This chapter provides the practical AI deployment framework for healthcare operations — what works, where to start, and how to govern it safely.</w:t>
            </w:r>
          </w:p>
        </w:tc>
      </w:tr>
    </w:tbl>
    <w:p w14:paraId="547F9C07" w14:textId="77777777" w:rsidR="00772358" w:rsidRDefault="00772358">
      <w:pPr>
        <w:spacing w:after="80"/>
      </w:pPr>
    </w:p>
    <w:p w14:paraId="3E91929B" w14:textId="77777777" w:rsidR="00772358" w:rsidRDefault="00000000">
      <w:pPr>
        <w:pStyle w:val="Heading2"/>
        <w:pBdr>
          <w:bottom w:val="single" w:sz="4" w:space="2" w:color="E8A020"/>
        </w:pBdr>
      </w:pPr>
      <w:r>
        <w:t>11.1 The AI Opportunity in Healthcare</w:t>
      </w:r>
    </w:p>
    <w:p w14:paraId="71B22AE2" w14:textId="77777777" w:rsidR="00772358" w:rsidRDefault="00000000">
      <w:pPr>
        <w:spacing w:before="200" w:after="80"/>
        <w:jc w:val="center"/>
      </w:pPr>
      <w:r>
        <w:rPr>
          <w:noProof/>
        </w:rPr>
        <w:drawing>
          <wp:inline distT="0" distB="0" distL="0" distR="0" wp14:anchorId="2ACE0221" wp14:editId="3C34829B">
            <wp:extent cx="3924300" cy="1866900"/>
            <wp:effectExtent l="0" t="0" r="0" b="0"/>
            <wp:docPr id="988281296" name="Picture 98828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924300" cy="1866900"/>
                    </a:xfrm>
                    <a:prstGeom prst="rect">
                      <a:avLst/>
                    </a:prstGeom>
                  </pic:spPr>
                </pic:pic>
              </a:graphicData>
            </a:graphic>
          </wp:inline>
        </w:drawing>
      </w:r>
    </w:p>
    <w:p w14:paraId="5B24137D" w14:textId="77777777" w:rsidR="00772358" w:rsidRDefault="00000000">
      <w:pPr>
        <w:spacing w:after="200"/>
        <w:jc w:val="center"/>
      </w:pPr>
      <w:r>
        <w:rPr>
          <w:i/>
          <w:iCs/>
          <w:color w:val="5B8FA8"/>
          <w:sz w:val="18"/>
          <w:szCs w:val="18"/>
        </w:rPr>
        <w:t>Figure 11.1: AI &amp; Automation — Healthcare Operations Use Cases</w:t>
      </w:r>
    </w:p>
    <w:p w14:paraId="120C9820" w14:textId="77777777" w:rsidR="00772358" w:rsidRDefault="00000000">
      <w:pPr>
        <w:spacing w:before="60" w:after="120" w:line="280" w:lineRule="auto"/>
        <w:jc w:val="both"/>
      </w:pPr>
      <w:r>
        <w:t>Healthcare is one of the most data-intensive industries in the world, yet one of the least data-utilised. EHRs contain rich longitudinal patient data that is routinely used for billing and regulatory compliance but rarely exploited for clinical decision support, population health, or operational optimisation. AI systems that can extract, structure, and reason over this data are creating value at a pace that would have seemed implausible five years ago.</w:t>
      </w:r>
    </w:p>
    <w:p w14:paraId="0834C4D1" w14:textId="77777777" w:rsidR="00772358" w:rsidRDefault="00000000">
      <w:pPr>
        <w:spacing w:before="60" w:after="120" w:line="280" w:lineRule="auto"/>
        <w:jc w:val="both"/>
      </w:pPr>
      <w:r>
        <w:rPr>
          <w:b/>
          <w:bCs/>
          <w:color w:val="0B4F6C"/>
        </w:rPr>
        <w:t>The productivity case:</w:t>
      </w:r>
      <w:r>
        <w:t xml:space="preserve"> A physician using ambient AI documentation (Nuance DAX, Abridge, Suki) saves 2–3 hours of daily documentation time. A coder using AI-assisted coding reviews 30–40% more charts per day at equal or better accuracy. A denial management specialist using AI-generated appeal letters processes 3–4× more appeals per day. These productivity multipliers, applied across a health system, translate to tens of millions of dollars in labour cost reduction or capacity reallocation.</w:t>
      </w:r>
    </w:p>
    <w:p w14:paraId="6B6F3A73" w14:textId="77777777" w:rsidR="00772358" w:rsidRDefault="00000000">
      <w:pPr>
        <w:spacing w:before="60" w:after="120" w:line="280" w:lineRule="auto"/>
        <w:jc w:val="both"/>
      </w:pPr>
      <w:r>
        <w:rPr>
          <w:b/>
          <w:bCs/>
          <w:color w:val="0B4F6C"/>
        </w:rPr>
        <w:t>The quality case:</w:t>
      </w:r>
      <w:r>
        <w:t xml:space="preserve"> AI models trained on large clinical datasets are demonstrating diagnostic accuracy that matches or exceeds specialist physicians in specific domains — diabetic retinopathy screening, chest X-ray interpretation, EKG rhythm classification, sepsis early warning, and acute kidney injury prediction. These tools are not replacing physicians; they are providing a safety net that catches deteriorating patients earlier and reduces diagnostic errors.</w:t>
      </w:r>
    </w:p>
    <w:p w14:paraId="25223448" w14:textId="77777777" w:rsidR="00772358" w:rsidRDefault="00000000">
      <w:pPr>
        <w:pStyle w:val="Heading2"/>
        <w:pBdr>
          <w:bottom w:val="single" w:sz="4" w:space="2" w:color="E8A020"/>
        </w:pBdr>
      </w:pPr>
      <w:r>
        <w:t>11.2 GenAI Use Cases by Domain</w:t>
      </w:r>
    </w:p>
    <w:p w14:paraId="2C3C7437" w14:textId="77777777" w:rsidR="00772358" w:rsidRDefault="00000000">
      <w:pPr>
        <w:spacing w:before="60" w:after="120" w:line="280" w:lineRule="auto"/>
        <w:jc w:val="both"/>
      </w:pPr>
      <w:r>
        <w:rPr>
          <w:b/>
          <w:bCs/>
          <w:color w:val="0B4F6C"/>
        </w:rPr>
        <w:t>Clinical Documentation:</w:t>
      </w:r>
    </w:p>
    <w:p w14:paraId="26433574" w14:textId="77777777" w:rsidR="00772358" w:rsidRDefault="00000000">
      <w:pPr>
        <w:pStyle w:val="ListParagraph"/>
        <w:numPr>
          <w:ilvl w:val="0"/>
          <w:numId w:val="2"/>
        </w:numPr>
        <w:spacing w:before="40" w:after="80"/>
      </w:pPr>
      <w:r>
        <w:t>Ambient AI note generation (real-time transcription and structuring of physician-patient encounters)</w:t>
      </w:r>
    </w:p>
    <w:p w14:paraId="7B6663F3" w14:textId="77777777" w:rsidR="00772358" w:rsidRDefault="00000000">
      <w:pPr>
        <w:pStyle w:val="ListParagraph"/>
        <w:numPr>
          <w:ilvl w:val="0"/>
          <w:numId w:val="2"/>
        </w:numPr>
        <w:spacing w:before="40" w:after="80"/>
      </w:pPr>
      <w:r>
        <w:t>After-visit summary generation for patients</w:t>
      </w:r>
    </w:p>
    <w:p w14:paraId="2215660D" w14:textId="77777777" w:rsidR="00772358" w:rsidRDefault="00000000">
      <w:pPr>
        <w:pStyle w:val="ListParagraph"/>
        <w:numPr>
          <w:ilvl w:val="0"/>
          <w:numId w:val="2"/>
        </w:numPr>
        <w:spacing w:before="40" w:after="80"/>
      </w:pPr>
      <w:r>
        <w:t>CDI query drafting based on documentation gap analysis</w:t>
      </w:r>
    </w:p>
    <w:p w14:paraId="29F8D578" w14:textId="77777777" w:rsidR="00772358" w:rsidRDefault="00000000">
      <w:pPr>
        <w:pStyle w:val="ListParagraph"/>
        <w:numPr>
          <w:ilvl w:val="0"/>
          <w:numId w:val="2"/>
        </w:numPr>
        <w:spacing w:before="40" w:after="80"/>
      </w:pPr>
      <w:r>
        <w:t>Discharge summary and transition of care document generation</w:t>
      </w:r>
    </w:p>
    <w:p w14:paraId="4A2220C7" w14:textId="77777777" w:rsidR="00772358" w:rsidRDefault="00000000">
      <w:pPr>
        <w:spacing w:before="60" w:after="120" w:line="280" w:lineRule="auto"/>
        <w:jc w:val="both"/>
      </w:pPr>
      <w:r>
        <w:rPr>
          <w:b/>
          <w:bCs/>
          <w:color w:val="0B4F6C"/>
        </w:rPr>
        <w:t>Revenue Cycle:</w:t>
      </w:r>
    </w:p>
    <w:p w14:paraId="1A505760" w14:textId="77777777" w:rsidR="00772358" w:rsidRDefault="00000000">
      <w:pPr>
        <w:pStyle w:val="ListParagraph"/>
        <w:numPr>
          <w:ilvl w:val="0"/>
          <w:numId w:val="2"/>
        </w:numPr>
        <w:spacing w:before="40" w:after="80"/>
      </w:pPr>
      <w:r>
        <w:t>Denial appeal letter generation from clinical documentation and denial reason codes</w:t>
      </w:r>
    </w:p>
    <w:p w14:paraId="1734B2A1" w14:textId="77777777" w:rsidR="00772358" w:rsidRDefault="00000000">
      <w:pPr>
        <w:pStyle w:val="ListParagraph"/>
        <w:numPr>
          <w:ilvl w:val="0"/>
          <w:numId w:val="2"/>
        </w:numPr>
        <w:spacing w:before="40" w:after="80"/>
      </w:pPr>
      <w:r>
        <w:t>Prior authorisation letter drafting with clinical criteria matching</w:t>
      </w:r>
    </w:p>
    <w:p w14:paraId="5BB5792B" w14:textId="77777777" w:rsidR="00772358" w:rsidRDefault="00000000">
      <w:pPr>
        <w:pStyle w:val="ListParagraph"/>
        <w:numPr>
          <w:ilvl w:val="0"/>
          <w:numId w:val="2"/>
        </w:numPr>
        <w:spacing w:before="40" w:after="80"/>
      </w:pPr>
      <w:r>
        <w:t>Patient financial counselling script generation</w:t>
      </w:r>
    </w:p>
    <w:p w14:paraId="5BF646AE" w14:textId="77777777" w:rsidR="00772358" w:rsidRDefault="00000000">
      <w:pPr>
        <w:pStyle w:val="ListParagraph"/>
        <w:numPr>
          <w:ilvl w:val="0"/>
          <w:numId w:val="2"/>
        </w:numPr>
        <w:spacing w:before="40" w:after="80"/>
      </w:pPr>
      <w:r>
        <w:t>Coding query responses and coding rationale documentation</w:t>
      </w:r>
    </w:p>
    <w:p w14:paraId="120255CF" w14:textId="77777777" w:rsidR="00772358" w:rsidRDefault="00000000">
      <w:pPr>
        <w:spacing w:before="60" w:after="120" w:line="280" w:lineRule="auto"/>
        <w:jc w:val="both"/>
      </w:pPr>
      <w:r>
        <w:rPr>
          <w:b/>
          <w:bCs/>
          <w:color w:val="0B4F6C"/>
        </w:rPr>
        <w:t>Patient Communication:</w:t>
      </w:r>
    </w:p>
    <w:p w14:paraId="7EA29C72" w14:textId="77777777" w:rsidR="00772358" w:rsidRDefault="00000000">
      <w:pPr>
        <w:pStyle w:val="ListParagraph"/>
        <w:numPr>
          <w:ilvl w:val="0"/>
          <w:numId w:val="2"/>
        </w:numPr>
        <w:spacing w:before="40" w:after="80"/>
      </w:pPr>
      <w:r>
        <w:t>Appointment reminder and pre-visit instruction generation</w:t>
      </w:r>
    </w:p>
    <w:p w14:paraId="3F58AEBC" w14:textId="77777777" w:rsidR="00772358" w:rsidRDefault="00000000">
      <w:pPr>
        <w:pStyle w:val="ListParagraph"/>
        <w:numPr>
          <w:ilvl w:val="0"/>
          <w:numId w:val="2"/>
        </w:numPr>
        <w:spacing w:before="40" w:after="80"/>
      </w:pPr>
      <w:r>
        <w:t>Post-discharge follow-up messages</w:t>
      </w:r>
    </w:p>
    <w:p w14:paraId="48343CBC" w14:textId="77777777" w:rsidR="00772358" w:rsidRDefault="00000000">
      <w:pPr>
        <w:pStyle w:val="ListParagraph"/>
        <w:numPr>
          <w:ilvl w:val="0"/>
          <w:numId w:val="2"/>
        </w:numPr>
        <w:spacing w:before="40" w:after="80"/>
      </w:pPr>
      <w:r>
        <w:t>Care plan summary in plain language</w:t>
      </w:r>
    </w:p>
    <w:p w14:paraId="170ADB5B" w14:textId="77777777" w:rsidR="00772358" w:rsidRDefault="00000000">
      <w:pPr>
        <w:pStyle w:val="ListParagraph"/>
        <w:numPr>
          <w:ilvl w:val="0"/>
          <w:numId w:val="2"/>
        </w:numPr>
        <w:spacing w:before="40" w:after="80"/>
      </w:pPr>
      <w:r>
        <w:t>Medication adherence reminder personalisation</w:t>
      </w:r>
    </w:p>
    <w:p w14:paraId="168DEA7C" w14:textId="77777777" w:rsidR="00772358" w:rsidRDefault="00000000">
      <w:pPr>
        <w:spacing w:before="60" w:after="120" w:line="280" w:lineRule="auto"/>
        <w:jc w:val="both"/>
      </w:pPr>
      <w:r>
        <w:rPr>
          <w:b/>
          <w:bCs/>
          <w:color w:val="0B4F6C"/>
        </w:rPr>
        <w:t>Population Health:</w:t>
      </w:r>
    </w:p>
    <w:p w14:paraId="5D6941E8" w14:textId="77777777" w:rsidR="00772358" w:rsidRDefault="00000000">
      <w:pPr>
        <w:pStyle w:val="ListParagraph"/>
        <w:numPr>
          <w:ilvl w:val="0"/>
          <w:numId w:val="2"/>
        </w:numPr>
        <w:spacing w:before="40" w:after="80"/>
      </w:pPr>
      <w:r>
        <w:t>Care gap closure outreach message generation</w:t>
      </w:r>
    </w:p>
    <w:p w14:paraId="2A12373A" w14:textId="77777777" w:rsidR="00772358" w:rsidRDefault="00000000">
      <w:pPr>
        <w:pStyle w:val="ListParagraph"/>
        <w:numPr>
          <w:ilvl w:val="0"/>
          <w:numId w:val="2"/>
        </w:numPr>
        <w:spacing w:before="40" w:after="80"/>
      </w:pPr>
      <w:r>
        <w:t>Risk stratification narrative summaries for care managers</w:t>
      </w:r>
    </w:p>
    <w:p w14:paraId="17DD6CA9" w14:textId="77777777" w:rsidR="00772358" w:rsidRDefault="00000000">
      <w:pPr>
        <w:pStyle w:val="ListParagraph"/>
        <w:numPr>
          <w:ilvl w:val="0"/>
          <w:numId w:val="2"/>
        </w:numPr>
        <w:spacing w:before="40" w:after="80"/>
      </w:pPr>
      <w:r>
        <w:t>HCC documentation gap identification and provider outreach drafting</w:t>
      </w:r>
    </w:p>
    <w:p w14:paraId="249E58E7" w14:textId="77777777" w:rsidR="00772358" w:rsidRDefault="00000000">
      <w:pPr>
        <w:pStyle w:val="ListParagraph"/>
        <w:numPr>
          <w:ilvl w:val="0"/>
          <w:numId w:val="2"/>
        </w:numPr>
        <w:spacing w:before="40" w:after="80"/>
      </w:pPr>
      <w:proofErr w:type="spellStart"/>
      <w:r>
        <w:t>SDoH</w:t>
      </w:r>
      <w:proofErr w:type="spellEnd"/>
      <w:r>
        <w:t xml:space="preserve"> screening response and resource connection workflows</w:t>
      </w:r>
    </w:p>
    <w:p w14:paraId="69C550A9" w14:textId="77777777" w:rsidR="00772358" w:rsidRDefault="00000000">
      <w:pPr>
        <w:pStyle w:val="Heading2"/>
        <w:pBdr>
          <w:bottom w:val="single" w:sz="4" w:space="2" w:color="E8A020"/>
        </w:pBdr>
      </w:pPr>
      <w:r>
        <w:t>11.3 AI Governance in Healthcare</w:t>
      </w:r>
    </w:p>
    <w:p w14:paraId="51B44CD1" w14:textId="77777777" w:rsidR="00772358" w:rsidRDefault="00000000">
      <w:pPr>
        <w:spacing w:before="60" w:after="120" w:line="280" w:lineRule="auto"/>
        <w:jc w:val="both"/>
      </w:pPr>
      <w:r>
        <w:t>Healthcare AI governance requires a framework that addresses the unique risks of clinical AI — where errors can directly harm patients — while enabling the innovation that AI makes possible.</w:t>
      </w:r>
    </w:p>
    <w:p w14:paraId="0CF3DD93" w14:textId="77777777" w:rsidR="00772358" w:rsidRDefault="00000000">
      <w:pPr>
        <w:spacing w:before="60" w:after="120" w:line="280" w:lineRule="auto"/>
        <w:jc w:val="both"/>
      </w:pPr>
      <w:r>
        <w:rPr>
          <w:b/>
          <w:bCs/>
          <w:color w:val="0B4F6C"/>
        </w:rPr>
        <w:t>The EU AI Act for Healthcare:</w:t>
      </w:r>
      <w:r>
        <w:t xml:space="preserve"> High-risk AI designation applies to clinical decision support, diagnostic AI, and patient risk stratification tools. Compliance requires quality management systems, technical documentation, human oversight design, and post-market monitoring.</w:t>
      </w:r>
    </w:p>
    <w:p w14:paraId="0287F63F" w14:textId="77777777" w:rsidR="00772358" w:rsidRDefault="00000000">
      <w:pPr>
        <w:spacing w:before="60" w:after="120" w:line="280" w:lineRule="auto"/>
        <w:jc w:val="both"/>
      </w:pPr>
      <w:r>
        <w:rPr>
          <w:b/>
          <w:bCs/>
          <w:color w:val="0B4F6C"/>
        </w:rPr>
        <w:t>HIPAA and AI:</w:t>
      </w:r>
      <w:r>
        <w:t xml:space="preserve"> Protected Health Information (PHI) used for AI training, validation, or inference requires appropriate HIPAA safeguards. Business Associate Agreements (BAAs) must be in place with AI vendors who process PHI. De-identification standards must be applied before PHI is used for model training without patient authorisation.</w:t>
      </w:r>
    </w:p>
    <w:p w14:paraId="34FE77F3" w14:textId="77777777" w:rsidR="00772358" w:rsidRDefault="00000000">
      <w:pPr>
        <w:spacing w:before="60" w:after="120" w:line="280" w:lineRule="auto"/>
        <w:jc w:val="both"/>
      </w:pPr>
      <w:r>
        <w:rPr>
          <w:b/>
          <w:bCs/>
          <w:color w:val="0B4F6C"/>
        </w:rPr>
        <w:t>Bias and equity:</w:t>
      </w:r>
      <w:r>
        <w:t xml:space="preserve"> AI models trained on historical clinical data encode historical disparities in care delivery. Models trained predominantly on data from academic medical centres may not generalise to rural or safety-net settings. Bias testing across demographic subgroups (race/ethnicity, age, gender, socioeconomic status) must be conducted before deployment and monitored continuously.</w:t>
      </w:r>
    </w:p>
    <w:p w14:paraId="214C6D70" w14:textId="77777777" w:rsidR="00772358" w:rsidRDefault="00000000">
      <w:pPr>
        <w:spacing w:before="60" w:after="120" w:line="280" w:lineRule="auto"/>
        <w:jc w:val="both"/>
      </w:pPr>
      <w:r>
        <w:rPr>
          <w:b/>
          <w:bCs/>
          <w:color w:val="0B4F6C"/>
        </w:rPr>
        <w:t>Human-in-the-loop requirements:</w:t>
      </w:r>
      <w:r>
        <w:t xml:space="preserve"> For clinical AI applications, AI-generated recommendations should be presented as decision support — inputs to physician or clinician judgment — not as autonomous decisions. The audit trail must document both the AI recommendation and the human override or confirmation.</w:t>
      </w:r>
    </w:p>
    <w:p w14:paraId="0C0F2919" w14:textId="77777777" w:rsidR="00772358" w:rsidRDefault="00000000">
      <w:pPr>
        <w:pStyle w:val="Heading2"/>
        <w:pBdr>
          <w:bottom w:val="single" w:sz="4" w:space="2" w:color="E8A020"/>
        </w:pBdr>
      </w:pPr>
      <w:r>
        <w:t>11.4 GCC AI Delivery Model</w:t>
      </w:r>
    </w:p>
    <w:p w14:paraId="3CA85B88" w14:textId="77777777" w:rsidR="00772358" w:rsidRDefault="00000000">
      <w:pPr>
        <w:spacing w:before="60" w:after="120" w:line="280" w:lineRule="auto"/>
        <w:jc w:val="both"/>
      </w:pPr>
      <w:r>
        <w:t>Healthcare GCCs in India are increasingly the implementation and operations centres for enterprise AI programs. The GCC AI delivery model includes:</w:t>
      </w:r>
    </w:p>
    <w:p w14:paraId="21CC33C5" w14:textId="77777777" w:rsidR="00772358" w:rsidRDefault="00000000">
      <w:pPr>
        <w:spacing w:before="60" w:after="120" w:line="280" w:lineRule="auto"/>
        <w:jc w:val="both"/>
      </w:pPr>
      <w:r>
        <w:rPr>
          <w:b/>
          <w:bCs/>
          <w:color w:val="0B4F6C"/>
        </w:rPr>
        <w:t>Data engineering:</w:t>
      </w:r>
      <w:r>
        <w:t xml:space="preserve"> Building and maintaining the data pipelines that feed AI models — EHR data extraction, claims data integration, </w:t>
      </w:r>
      <w:proofErr w:type="spellStart"/>
      <w:r>
        <w:t>SDoH</w:t>
      </w:r>
      <w:proofErr w:type="spellEnd"/>
      <w:r>
        <w:t xml:space="preserve"> data acquisition, and data quality management.</w:t>
      </w:r>
    </w:p>
    <w:p w14:paraId="31EACB5C" w14:textId="77777777" w:rsidR="00772358" w:rsidRDefault="00000000">
      <w:pPr>
        <w:spacing w:before="60" w:after="120" w:line="280" w:lineRule="auto"/>
        <w:jc w:val="both"/>
      </w:pPr>
      <w:r>
        <w:rPr>
          <w:b/>
          <w:bCs/>
          <w:color w:val="0B4F6C"/>
        </w:rPr>
        <w:t>Model development and validation:</w:t>
      </w:r>
      <w:r>
        <w:t xml:space="preserve"> Training, validating, and documenting AI models in partnership with US-based clinical and business domain experts.</w:t>
      </w:r>
    </w:p>
    <w:p w14:paraId="17884424" w14:textId="77777777" w:rsidR="00772358" w:rsidRDefault="00000000">
      <w:pPr>
        <w:spacing w:before="60" w:after="120" w:line="280" w:lineRule="auto"/>
        <w:jc w:val="both"/>
      </w:pPr>
      <w:r>
        <w:rPr>
          <w:b/>
          <w:bCs/>
          <w:color w:val="0B4F6C"/>
        </w:rPr>
        <w:t>MLOps and monitoring:</w:t>
      </w:r>
      <w:r>
        <w:t xml:space="preserve"> Deploying models into production, monitoring for performance drift, and managing model retraining cycles.</w:t>
      </w:r>
    </w:p>
    <w:p w14:paraId="61AAEA00" w14:textId="77777777" w:rsidR="00772358" w:rsidRDefault="00000000">
      <w:pPr>
        <w:spacing w:before="60" w:after="120" w:line="280" w:lineRule="auto"/>
        <w:jc w:val="both"/>
      </w:pPr>
      <w:r>
        <w:rPr>
          <w:b/>
          <w:bCs/>
          <w:color w:val="0B4F6C"/>
        </w:rPr>
        <w:t>AI operations:</w:t>
      </w:r>
      <w:r>
        <w:t xml:space="preserve"> Running the human-in-the-loop workflows that pair AI outputs with human review — AI-assisted coding review, AI-generated prior auth letter review, and AI-flagged denial prevention queue management.</w:t>
      </w:r>
    </w:p>
    <w:p w14:paraId="74DFE26E" w14:textId="77777777" w:rsidR="00772358" w:rsidRDefault="00000000">
      <w:pPr>
        <w:pStyle w:val="Heading2"/>
        <w:pBdr>
          <w:bottom w:val="single" w:sz="4" w:space="2" w:color="E8A020"/>
        </w:pBdr>
      </w:pPr>
      <w:r>
        <w:t>Questions for Leadership</w:t>
      </w:r>
    </w:p>
    <w:p w14:paraId="4BFE8D65" w14:textId="77777777" w:rsidR="00772358" w:rsidRDefault="00000000">
      <w:pPr>
        <w:spacing w:before="60" w:after="120" w:line="280" w:lineRule="auto"/>
        <w:jc w:val="both"/>
      </w:pPr>
      <w:r>
        <w:t>Has the organisation established an AI governance framework that addresses bias testing, human oversight requirements, and HIPAA compliance for AI applications? What is the current ambient documentation AI adoption rate among physicians, and what are the top barriers to broader adoption? Is the GCC AI capability model explicitly defined — specifying which AI functions are owned and operated by the GCC versus the home-country team?</w:t>
      </w:r>
    </w:p>
    <w:p w14:paraId="7F834A35" w14:textId="77777777" w:rsidR="00772358" w:rsidRDefault="00000000">
      <w:pPr>
        <w:spacing w:before="60" w:after="120" w:line="280" w:lineRule="auto"/>
        <w:jc w:val="both"/>
      </w:pPr>
      <w:r>
        <w:rPr>
          <w:i/>
          <w:iCs/>
        </w:rPr>
        <w:t>Chapter 11 complete.</w:t>
      </w:r>
    </w:p>
    <w:p w14:paraId="6AC2D062" w14:textId="77777777" w:rsidR="00772358" w:rsidRDefault="00000000">
      <w:pPr>
        <w:pStyle w:val="Heading2"/>
        <w:pBdr>
          <w:bottom w:val="single" w:sz="4" w:space="2" w:color="E8A020"/>
        </w:pBdr>
      </w:pPr>
      <w:r>
        <w:t>11.5 AI in Clinical Decision Support</w:t>
      </w:r>
    </w:p>
    <w:p w14:paraId="4EC126A1" w14:textId="77777777" w:rsidR="00772358" w:rsidRDefault="00000000">
      <w:pPr>
        <w:spacing w:before="60" w:after="120" w:line="280" w:lineRule="auto"/>
        <w:jc w:val="both"/>
      </w:pPr>
      <w:r>
        <w:t>Clinical decision support (CDS) systems are AI or rule-based tools that provide clinicians with relevant information, reminders, and recommendations at the point of care. CDS is the oldest form of healthcare AI — simple alert-based CDS (drug interaction checks, allergy alerts) has been embedded in EHRs for decades. The new generation of AI-powered CDS is far more sophisticated.</w:t>
      </w:r>
    </w:p>
    <w:p w14:paraId="62F3BEF6" w14:textId="77777777" w:rsidR="00772358" w:rsidRDefault="00000000">
      <w:pPr>
        <w:spacing w:before="60" w:after="120" w:line="280" w:lineRule="auto"/>
        <w:jc w:val="both"/>
      </w:pPr>
      <w:r>
        <w:rPr>
          <w:b/>
          <w:bCs/>
          <w:color w:val="0B4F6C"/>
        </w:rPr>
        <w:t>Sepsis early warning:</w:t>
      </w:r>
      <w:r>
        <w:t xml:space="preserve"> Machine learning models that continuously analyse vital signs, laboratory values, nursing assessments, and clinical notes predict sepsis onset 6–12 hours before clinical recognition. The Epic Sepsis Model and numerous health-system-specific models are demonstrating reductions in sepsis mortality when actionable early warning alerts are integrated into clinical workflows with clear escalation protocols.</w:t>
      </w:r>
    </w:p>
    <w:p w14:paraId="3BF1C05B" w14:textId="77777777" w:rsidR="00772358" w:rsidRDefault="00000000">
      <w:pPr>
        <w:spacing w:before="60" w:after="120" w:line="280" w:lineRule="auto"/>
        <w:jc w:val="both"/>
      </w:pPr>
      <w:r>
        <w:rPr>
          <w:b/>
          <w:bCs/>
          <w:color w:val="0B4F6C"/>
        </w:rPr>
        <w:t>Deterioration prediction:</w:t>
      </w:r>
      <w:r>
        <w:t xml:space="preserve"> Rapid response team activation models predict patient deterioration from multi-parameter vital sign analysis, predicting the need for ICU transfer hours in advance. These models allow earlier intervention and reduce the incidence of unexpected ICU transfers and code events.</w:t>
      </w:r>
    </w:p>
    <w:p w14:paraId="446D267E" w14:textId="77777777" w:rsidR="00772358" w:rsidRDefault="00000000">
      <w:pPr>
        <w:spacing w:before="60" w:after="120" w:line="280" w:lineRule="auto"/>
        <w:jc w:val="both"/>
      </w:pPr>
      <w:r>
        <w:rPr>
          <w:b/>
          <w:bCs/>
          <w:color w:val="0B4F6C"/>
        </w:rPr>
        <w:t>Diagnostic AI:</w:t>
      </w:r>
      <w:r>
        <w:t xml:space="preserve"> Computer vision AI applied to radiology images (chest X-rays, CT scans, mammograms, retinal fundus photographs) is achieving specialist-level accuracy for specific diagnostic tasks. FDA has cleared over 500 AI/ML-based medical devices, the majority in radiology and cardiology.</w:t>
      </w:r>
    </w:p>
    <w:p w14:paraId="2A6A9BE6" w14:textId="77777777" w:rsidR="00772358" w:rsidRDefault="00000000">
      <w:pPr>
        <w:pStyle w:val="Heading2"/>
        <w:pBdr>
          <w:bottom w:val="single" w:sz="4" w:space="2" w:color="E8A020"/>
        </w:pBdr>
      </w:pPr>
      <w:r>
        <w:t>11.6 RPA in Healthcare Operations</w:t>
      </w:r>
    </w:p>
    <w:p w14:paraId="56EB7E27" w14:textId="77777777" w:rsidR="00772358" w:rsidRDefault="00000000">
      <w:pPr>
        <w:spacing w:before="60" w:after="120" w:line="280" w:lineRule="auto"/>
        <w:jc w:val="both"/>
      </w:pPr>
      <w:r>
        <w:t>Robotic Process Automation (RPA) applies software robots to execute repetitive, rule-based, multi-step digital tasks at high speed with zero error rate — tasks that previously required human workers clicking through screens. Healthcare RCM is an exceptionally productive RPA domain because of its high volume of repetitive, rules-based digital workflows.</w:t>
      </w:r>
    </w:p>
    <w:p w14:paraId="23536F78" w14:textId="77777777" w:rsidR="00772358" w:rsidRDefault="00000000">
      <w:pPr>
        <w:spacing w:before="60" w:after="120" w:line="280" w:lineRule="auto"/>
        <w:jc w:val="both"/>
      </w:pPr>
      <w:r>
        <w:rPr>
          <w:b/>
          <w:bCs/>
          <w:color w:val="0B4F6C"/>
        </w:rPr>
        <w:t>High-value healthcare RPA use cases:</w:t>
      </w:r>
    </w:p>
    <w:p w14:paraId="52E80524" w14:textId="77777777" w:rsidR="00772358" w:rsidRDefault="00000000">
      <w:pPr>
        <w:pStyle w:val="ListParagraph"/>
        <w:numPr>
          <w:ilvl w:val="0"/>
          <w:numId w:val="2"/>
        </w:numPr>
        <w:spacing w:before="40" w:after="80"/>
      </w:pPr>
      <w:r>
        <w:t>Eligibility verification across multiple payer portals (replacing manual portal-by-portal checking)</w:t>
      </w:r>
    </w:p>
    <w:p w14:paraId="2A1A18E9" w14:textId="77777777" w:rsidR="00772358" w:rsidRDefault="00000000">
      <w:pPr>
        <w:pStyle w:val="ListParagraph"/>
        <w:numPr>
          <w:ilvl w:val="0"/>
          <w:numId w:val="2"/>
        </w:numPr>
        <w:spacing w:before="40" w:after="80"/>
      </w:pPr>
      <w:r>
        <w:t>Prior authorisation status checking and status updates (payer portal to RCM system)</w:t>
      </w:r>
    </w:p>
    <w:p w14:paraId="463A6C86" w14:textId="77777777" w:rsidR="00772358" w:rsidRDefault="00000000">
      <w:pPr>
        <w:pStyle w:val="ListParagraph"/>
        <w:numPr>
          <w:ilvl w:val="0"/>
          <w:numId w:val="2"/>
        </w:numPr>
        <w:spacing w:before="40" w:after="80"/>
      </w:pPr>
      <w:r>
        <w:t>Claim status inquiry and follow-up (replacing manual AR calling)</w:t>
      </w:r>
    </w:p>
    <w:p w14:paraId="4A622E44" w14:textId="77777777" w:rsidR="00772358" w:rsidRDefault="00000000">
      <w:pPr>
        <w:pStyle w:val="ListParagraph"/>
        <w:numPr>
          <w:ilvl w:val="0"/>
          <w:numId w:val="2"/>
        </w:numPr>
        <w:spacing w:before="40" w:after="80"/>
      </w:pPr>
      <w:r>
        <w:t>Denial posting from payer portals to RCM systems</w:t>
      </w:r>
    </w:p>
    <w:p w14:paraId="3395BB86" w14:textId="77777777" w:rsidR="00772358" w:rsidRDefault="00000000">
      <w:pPr>
        <w:pStyle w:val="ListParagraph"/>
        <w:numPr>
          <w:ilvl w:val="0"/>
          <w:numId w:val="2"/>
        </w:numPr>
        <w:spacing w:before="40" w:after="80"/>
      </w:pPr>
      <w:r>
        <w:t xml:space="preserve">Provider </w:t>
      </w:r>
      <w:proofErr w:type="spellStart"/>
      <w:r>
        <w:t>enrollment</w:t>
      </w:r>
      <w:proofErr w:type="spellEnd"/>
      <w:r>
        <w:t xml:space="preserve"> application status tracking</w:t>
      </w:r>
    </w:p>
    <w:p w14:paraId="1247CED6" w14:textId="77777777" w:rsidR="00772358" w:rsidRDefault="00000000">
      <w:pPr>
        <w:pStyle w:val="ListParagraph"/>
        <w:numPr>
          <w:ilvl w:val="0"/>
          <w:numId w:val="2"/>
        </w:numPr>
        <w:spacing w:before="40" w:after="80"/>
      </w:pPr>
      <w:r>
        <w:t>Patient statement generation and mailing</w:t>
      </w:r>
    </w:p>
    <w:p w14:paraId="67D6A256" w14:textId="77777777" w:rsidR="00772358" w:rsidRDefault="00000000">
      <w:pPr>
        <w:pStyle w:val="ListParagraph"/>
        <w:numPr>
          <w:ilvl w:val="0"/>
          <w:numId w:val="2"/>
        </w:numPr>
        <w:spacing w:before="40" w:after="80"/>
      </w:pPr>
      <w:r>
        <w:t>COB secondary billing after primary payer payment</w:t>
      </w:r>
    </w:p>
    <w:p w14:paraId="301E98BB" w14:textId="77777777" w:rsidR="00772358" w:rsidRDefault="00000000">
      <w:pPr>
        <w:pStyle w:val="ListParagraph"/>
        <w:numPr>
          <w:ilvl w:val="0"/>
          <w:numId w:val="2"/>
        </w:numPr>
        <w:spacing w:before="40" w:after="80"/>
      </w:pPr>
      <w:r>
        <w:t>CAQH profile attestation and updates</w:t>
      </w:r>
    </w:p>
    <w:p w14:paraId="20D60F75" w14:textId="77777777" w:rsidR="00772358" w:rsidRDefault="00000000">
      <w:pPr>
        <w:spacing w:before="60" w:after="120" w:line="280" w:lineRule="auto"/>
        <w:jc w:val="both"/>
      </w:pPr>
      <w:r>
        <w:rPr>
          <w:b/>
          <w:bCs/>
          <w:color w:val="0B4F6C"/>
        </w:rPr>
        <w:t>RPA ROI in healthcare:</w:t>
      </w:r>
      <w:r>
        <w:t xml:space="preserve"> Documented RPA implementations in healthcare RCM consistently demonstrate payback periods of 12–18 months, with individual RPA bots typically replacing 2–4 FTE-equivalents of repetitive processing work while operating 24/7 without breaks or errors.</w:t>
      </w:r>
    </w:p>
    <w:p w14:paraId="4F1BC6F5" w14:textId="77777777" w:rsidR="00772358" w:rsidRDefault="00000000">
      <w:pPr>
        <w:spacing w:before="60" w:after="120" w:line="280" w:lineRule="auto"/>
        <w:jc w:val="both"/>
      </w:pPr>
      <w:r>
        <w:rPr>
          <w:b/>
          <w:bCs/>
          <w:color w:val="0B4F6C"/>
        </w:rPr>
        <w:t>RPA governance in GCCs:</w:t>
      </w:r>
      <w:r>
        <w:t xml:space="preserve"> Healthcare GCCs are ideal environments for RPA deployment — the combination of high-volume processing, GCC management expertise, and the ability to operate across time zones enables GCCs to run RPA bots around the clock, maximising utilisation and minimising processing backlogs.</w:t>
      </w:r>
    </w:p>
    <w:p w14:paraId="77AC7B78" w14:textId="77777777" w:rsidR="00772358" w:rsidRDefault="00000000">
      <w:r>
        <w:br/>
      </w:r>
    </w:p>
    <w:p w14:paraId="2F099BF6" w14:textId="77777777" w:rsidR="00772358" w:rsidRDefault="00000000">
      <w:pPr>
        <w:pStyle w:val="Heading1"/>
        <w:pBdr>
          <w:bottom w:val="single" w:sz="8" w:space="4" w:color="E8A020"/>
        </w:pBdr>
        <w:shd w:val="clear" w:color="auto" w:fill="0B4F6C"/>
        <w:ind w:left="160" w:right="160"/>
      </w:pPr>
      <w:r>
        <w:t>Chapter 12: Healthcare GCC Operating Model &amp; Capability Map</w:t>
      </w:r>
    </w:p>
    <w:p w14:paraId="1EB0FF77"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2D569063" w14:textId="77777777">
        <w:tblPrEx>
          <w:tblCellMar>
            <w:top w:w="0" w:type="dxa"/>
            <w:bottom w:w="0" w:type="dxa"/>
          </w:tblCellMar>
        </w:tblPrEx>
        <w:tc>
          <w:tcPr>
            <w:tcW w:w="9360" w:type="dxa"/>
            <w:tcBorders>
              <w:top w:val="single" w:sz="6" w:space="0" w:color="17A8C8"/>
              <w:left w:val="single" w:sz="18" w:space="0" w:color="17A8C8"/>
              <w:bottom w:val="single" w:sz="6" w:space="0" w:color="17A8C8"/>
              <w:right w:val="single" w:sz="6" w:space="0" w:color="17A8C8"/>
            </w:tcBorders>
            <w:shd w:val="clear" w:color="auto" w:fill="E8F8FC"/>
            <w:tcMar>
              <w:top w:w="140" w:type="dxa"/>
              <w:left w:w="200" w:type="dxa"/>
              <w:bottom w:w="140" w:type="dxa"/>
              <w:right w:w="200" w:type="dxa"/>
            </w:tcMar>
          </w:tcPr>
          <w:p w14:paraId="07453C92" w14:textId="77777777" w:rsidR="00772358" w:rsidRDefault="00000000">
            <w:pPr>
              <w:spacing w:after="80"/>
            </w:pPr>
            <w:r>
              <w:rPr>
                <w:b/>
                <w:bCs/>
                <w:color w:val="E8A020"/>
                <w:sz w:val="17"/>
                <w:szCs w:val="17"/>
              </w:rPr>
              <w:t>EXECUTIVE SUMMARY</w:t>
            </w:r>
          </w:p>
          <w:p w14:paraId="06315355" w14:textId="77777777" w:rsidR="00772358" w:rsidRDefault="00000000">
            <w:pPr>
              <w:jc w:val="both"/>
            </w:pPr>
            <w:r>
              <w:rPr>
                <w:i/>
                <w:iCs/>
                <w:sz w:val="20"/>
                <w:szCs w:val="20"/>
              </w:rPr>
              <w:t>The healthcare Global Capability Centre (GCC) model has matured from a cost arbitrage play to a strategic capability investment. Best-in-class healthcare GCCs are building clinical coding expertise, AI model engineering, population health analytics, regulatory compliance operations, and payer-provider interface intelligence that their parent organisations could not acquire, scale, or sustain at competitive cost in US labour markets alone. This chapter provides the complete healthcare GCC operating model — capability towers, maturity framework, talent architecture, and governance design.</w:t>
            </w:r>
          </w:p>
        </w:tc>
      </w:tr>
    </w:tbl>
    <w:p w14:paraId="6CEDFBC1" w14:textId="77777777" w:rsidR="00772358" w:rsidRDefault="00772358">
      <w:pPr>
        <w:spacing w:after="80"/>
      </w:pPr>
    </w:p>
    <w:p w14:paraId="00E01A7F" w14:textId="77777777" w:rsidR="00772358" w:rsidRDefault="00000000">
      <w:pPr>
        <w:pStyle w:val="Heading2"/>
        <w:pBdr>
          <w:bottom w:val="single" w:sz="4" w:space="2" w:color="E8A020"/>
        </w:pBdr>
      </w:pPr>
      <w:r>
        <w:t>12.1 The GCC Maturity Model</w:t>
      </w:r>
    </w:p>
    <w:p w14:paraId="30652585" w14:textId="77777777" w:rsidR="00772358" w:rsidRDefault="00000000">
      <w:pPr>
        <w:spacing w:before="200" w:after="80"/>
        <w:jc w:val="center"/>
      </w:pPr>
      <w:r>
        <w:rPr>
          <w:noProof/>
        </w:rPr>
        <w:drawing>
          <wp:inline distT="0" distB="0" distL="0" distR="0" wp14:anchorId="45834D40" wp14:editId="59375B07">
            <wp:extent cx="3924300" cy="2381250"/>
            <wp:effectExtent l="0" t="0" r="0" b="0"/>
            <wp:docPr id="1277552032" name="Picture 1277552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924300" cy="2381250"/>
                    </a:xfrm>
                    <a:prstGeom prst="rect">
                      <a:avLst/>
                    </a:prstGeom>
                  </pic:spPr>
                </pic:pic>
              </a:graphicData>
            </a:graphic>
          </wp:inline>
        </w:drawing>
      </w:r>
    </w:p>
    <w:p w14:paraId="335D3FAD" w14:textId="77777777" w:rsidR="00772358" w:rsidRDefault="00000000">
      <w:pPr>
        <w:spacing w:after="200"/>
        <w:jc w:val="center"/>
      </w:pPr>
      <w:r>
        <w:rPr>
          <w:i/>
          <w:iCs/>
          <w:color w:val="5B8FA8"/>
          <w:sz w:val="18"/>
          <w:szCs w:val="18"/>
        </w:rPr>
        <w:t>Figure 12.1: Healthcare GCC — Capability Tower Map</w:t>
      </w:r>
    </w:p>
    <w:p w14:paraId="1B60A575" w14:textId="77777777" w:rsidR="00772358" w:rsidRDefault="00000000">
      <w:pPr>
        <w:spacing w:before="60" w:after="120" w:line="280" w:lineRule="auto"/>
        <w:jc w:val="both"/>
      </w:pPr>
      <w:r>
        <w:t>Healthcare GCCs evolve through three generations of capability, each representing a step-change in strategic value.</w:t>
      </w:r>
    </w:p>
    <w:p w14:paraId="65B82DEA" w14:textId="77777777" w:rsidR="00772358" w:rsidRDefault="00000000">
      <w:pPr>
        <w:spacing w:before="60" w:after="120" w:line="280" w:lineRule="auto"/>
        <w:jc w:val="both"/>
      </w:pPr>
      <w:r>
        <w:rPr>
          <w:b/>
          <w:bCs/>
          <w:color w:val="0B4F6C"/>
        </w:rPr>
        <w:t>Generation 1 — Transaction Services (2008–2016):</w:t>
      </w:r>
      <w:r>
        <w:t xml:space="preserve"> Basic BPO operations — data entry, patient scheduling support, simple claims keying, medical records indexing. Primarily labour cost arbitrage with limited knowledge content. Value proposition: 40–50% cost reduction on high-volume transaction processing.</w:t>
      </w:r>
    </w:p>
    <w:p w14:paraId="65C6593D" w14:textId="77777777" w:rsidR="00772358" w:rsidRDefault="00000000">
      <w:pPr>
        <w:spacing w:before="60" w:after="120" w:line="280" w:lineRule="auto"/>
        <w:jc w:val="both"/>
      </w:pPr>
      <w:r>
        <w:rPr>
          <w:b/>
          <w:bCs/>
          <w:color w:val="0B4F6C"/>
        </w:rPr>
        <w:t>Generation 2 — Knowledge Services (2016–2022):</w:t>
      </w:r>
      <w:r>
        <w:t xml:space="preserve"> Medical coding, clinical documentation improvement support, denial management, credentialing operations, pharmacy benefit administration, clinical data analytics, and revenue cycle analytics. Meaningful domain expertise required. Value proposition: cost arbitrage plus quality and throughput improvement.</w:t>
      </w:r>
    </w:p>
    <w:p w14:paraId="055A589F" w14:textId="77777777" w:rsidR="00772358" w:rsidRDefault="00000000">
      <w:pPr>
        <w:spacing w:before="60" w:after="120" w:line="280" w:lineRule="auto"/>
        <w:jc w:val="both"/>
      </w:pPr>
      <w:r>
        <w:rPr>
          <w:b/>
          <w:bCs/>
          <w:color w:val="0B4F6C"/>
        </w:rPr>
        <w:t>Generation 3 — Capability Hubs (2022–Present):</w:t>
      </w:r>
      <w:r>
        <w:t xml:space="preserve"> AI model development, enterprise data platform management, population health analytics, payer-provider API integration engineering, risk adjustment intelligence, regulatory compliance analytics, and GCC-led global process ownership. Deep domain expertise combined with advanced technical capability. Value proposition: strategic differentiation and capability that cannot be replicated in-house at competitive cost.</w:t>
      </w:r>
    </w:p>
    <w:p w14:paraId="76068EF8" w14:textId="77777777" w:rsidR="00772358" w:rsidRDefault="00000000">
      <w:pPr>
        <w:pStyle w:val="Heading2"/>
        <w:pBdr>
          <w:bottom w:val="single" w:sz="4" w:space="2" w:color="E8A020"/>
        </w:pBdr>
      </w:pPr>
      <w:r>
        <w:t>12.2 The Healthcare GCC Capability Map</w:t>
      </w:r>
    </w:p>
    <w:p w14:paraId="74A7BDAC" w14:textId="77777777" w:rsidR="00772358" w:rsidRDefault="00000000">
      <w:pPr>
        <w:spacing w:before="60" w:after="120" w:line="280" w:lineRule="auto"/>
        <w:jc w:val="both"/>
      </w:pPr>
      <w:r>
        <w:rPr>
          <w:b/>
          <w:bCs/>
          <w:color w:val="0B4F6C"/>
        </w:rPr>
        <w:t>Revenue Cycle Capability Tower:</w:t>
      </w:r>
    </w:p>
    <w:p w14:paraId="622459CE" w14:textId="77777777" w:rsidR="00772358" w:rsidRDefault="00000000">
      <w:pPr>
        <w:pStyle w:val="ListParagraph"/>
        <w:numPr>
          <w:ilvl w:val="0"/>
          <w:numId w:val="2"/>
        </w:numPr>
        <w:spacing w:before="40" w:after="80"/>
      </w:pPr>
      <w:r>
        <w:t>Patient access support (eligibility verification, scheduling support)</w:t>
      </w:r>
    </w:p>
    <w:p w14:paraId="27962A73" w14:textId="77777777" w:rsidR="00772358" w:rsidRDefault="00000000">
      <w:pPr>
        <w:pStyle w:val="ListParagraph"/>
        <w:numPr>
          <w:ilvl w:val="0"/>
          <w:numId w:val="2"/>
        </w:numPr>
        <w:spacing w:before="40" w:after="80"/>
      </w:pPr>
      <w:r>
        <w:t>Prior authorisation processing and tracking</w:t>
      </w:r>
    </w:p>
    <w:p w14:paraId="46E745DC" w14:textId="77777777" w:rsidR="00772358" w:rsidRDefault="00000000">
      <w:pPr>
        <w:pStyle w:val="ListParagraph"/>
        <w:numPr>
          <w:ilvl w:val="0"/>
          <w:numId w:val="2"/>
        </w:numPr>
        <w:spacing w:before="40" w:after="80"/>
      </w:pPr>
      <w:r>
        <w:t>Medical coding (ICD-10-CM, CPT, DRG, HCC)</w:t>
      </w:r>
    </w:p>
    <w:p w14:paraId="316FD8B9" w14:textId="77777777" w:rsidR="00772358" w:rsidRDefault="00000000">
      <w:pPr>
        <w:pStyle w:val="ListParagraph"/>
        <w:numPr>
          <w:ilvl w:val="0"/>
          <w:numId w:val="2"/>
        </w:numPr>
        <w:spacing w:before="40" w:after="80"/>
      </w:pPr>
      <w:r>
        <w:t>Clinical documentation improvement support</w:t>
      </w:r>
    </w:p>
    <w:p w14:paraId="2AD9F5D8" w14:textId="77777777" w:rsidR="00772358" w:rsidRDefault="00000000">
      <w:pPr>
        <w:pStyle w:val="ListParagraph"/>
        <w:numPr>
          <w:ilvl w:val="0"/>
          <w:numId w:val="2"/>
        </w:numPr>
        <w:spacing w:before="40" w:after="80"/>
      </w:pPr>
      <w:r>
        <w:t>Claims processing and submission</w:t>
      </w:r>
    </w:p>
    <w:p w14:paraId="06B921A2" w14:textId="77777777" w:rsidR="00772358" w:rsidRDefault="00000000">
      <w:pPr>
        <w:pStyle w:val="ListParagraph"/>
        <w:numPr>
          <w:ilvl w:val="0"/>
          <w:numId w:val="2"/>
        </w:numPr>
        <w:spacing w:before="40" w:after="80"/>
      </w:pPr>
      <w:r>
        <w:t>Denial management and appeals support</w:t>
      </w:r>
    </w:p>
    <w:p w14:paraId="074C063E" w14:textId="77777777" w:rsidR="00772358" w:rsidRDefault="00000000">
      <w:pPr>
        <w:pStyle w:val="ListParagraph"/>
        <w:numPr>
          <w:ilvl w:val="0"/>
          <w:numId w:val="2"/>
        </w:numPr>
        <w:spacing w:before="40" w:after="80"/>
      </w:pPr>
      <w:r>
        <w:t>Remittance processing and payment posting</w:t>
      </w:r>
    </w:p>
    <w:p w14:paraId="0A982975" w14:textId="77777777" w:rsidR="00772358" w:rsidRDefault="00000000">
      <w:pPr>
        <w:pStyle w:val="ListParagraph"/>
        <w:numPr>
          <w:ilvl w:val="0"/>
          <w:numId w:val="2"/>
        </w:numPr>
        <w:spacing w:before="40" w:after="80"/>
      </w:pPr>
      <w:r>
        <w:t>Patient financial services and collections</w:t>
      </w:r>
    </w:p>
    <w:p w14:paraId="0A7B1213" w14:textId="77777777" w:rsidR="00772358" w:rsidRDefault="00000000">
      <w:pPr>
        <w:pStyle w:val="ListParagraph"/>
        <w:numPr>
          <w:ilvl w:val="0"/>
          <w:numId w:val="2"/>
        </w:numPr>
        <w:spacing w:before="40" w:after="80"/>
      </w:pPr>
      <w:r>
        <w:t>Revenue integrity analytics</w:t>
      </w:r>
    </w:p>
    <w:p w14:paraId="2E710898" w14:textId="77777777" w:rsidR="00772358" w:rsidRDefault="00000000">
      <w:pPr>
        <w:spacing w:before="60" w:after="120" w:line="280" w:lineRule="auto"/>
        <w:jc w:val="both"/>
      </w:pPr>
      <w:r>
        <w:rPr>
          <w:b/>
          <w:bCs/>
          <w:color w:val="0B4F6C"/>
        </w:rPr>
        <w:t>Payer Operations Capability Tower:</w:t>
      </w:r>
    </w:p>
    <w:p w14:paraId="416370B5" w14:textId="77777777" w:rsidR="00772358" w:rsidRDefault="00000000">
      <w:pPr>
        <w:pStyle w:val="ListParagraph"/>
        <w:numPr>
          <w:ilvl w:val="0"/>
          <w:numId w:val="2"/>
        </w:numPr>
        <w:spacing w:before="40" w:after="80"/>
      </w:pPr>
      <w:r>
        <w:t xml:space="preserve">Member </w:t>
      </w:r>
      <w:proofErr w:type="spellStart"/>
      <w:r>
        <w:t>enrollment</w:t>
      </w:r>
      <w:proofErr w:type="spellEnd"/>
      <w:r>
        <w:t xml:space="preserve"> and eligibility management</w:t>
      </w:r>
    </w:p>
    <w:p w14:paraId="1EE7A028" w14:textId="77777777" w:rsidR="00772358" w:rsidRDefault="00000000">
      <w:pPr>
        <w:pStyle w:val="ListParagraph"/>
        <w:numPr>
          <w:ilvl w:val="0"/>
          <w:numId w:val="2"/>
        </w:numPr>
        <w:spacing w:before="40" w:after="80"/>
      </w:pPr>
      <w:r>
        <w:t>Claims intake, editing, and adjudication support</w:t>
      </w:r>
    </w:p>
    <w:p w14:paraId="36F7CE30" w14:textId="77777777" w:rsidR="00772358" w:rsidRDefault="00000000">
      <w:pPr>
        <w:pStyle w:val="ListParagraph"/>
        <w:numPr>
          <w:ilvl w:val="0"/>
          <w:numId w:val="2"/>
        </w:numPr>
        <w:spacing w:before="40" w:after="80"/>
      </w:pPr>
      <w:r>
        <w:t>Provider network data management</w:t>
      </w:r>
    </w:p>
    <w:p w14:paraId="5BADCEFE" w14:textId="77777777" w:rsidR="00772358" w:rsidRDefault="00000000">
      <w:pPr>
        <w:pStyle w:val="ListParagraph"/>
        <w:numPr>
          <w:ilvl w:val="0"/>
          <w:numId w:val="2"/>
        </w:numPr>
        <w:spacing w:before="40" w:after="80"/>
      </w:pPr>
      <w:r>
        <w:t>Utilisation management support</w:t>
      </w:r>
    </w:p>
    <w:p w14:paraId="35EAD205" w14:textId="77777777" w:rsidR="00772358" w:rsidRDefault="00000000">
      <w:pPr>
        <w:pStyle w:val="ListParagraph"/>
        <w:numPr>
          <w:ilvl w:val="0"/>
          <w:numId w:val="2"/>
        </w:numPr>
        <w:spacing w:before="40" w:after="80"/>
      </w:pPr>
      <w:r>
        <w:t>Payment integrity and FWA analytics</w:t>
      </w:r>
    </w:p>
    <w:p w14:paraId="0C87EB4D" w14:textId="77777777" w:rsidR="00772358" w:rsidRDefault="00000000">
      <w:pPr>
        <w:pStyle w:val="ListParagraph"/>
        <w:numPr>
          <w:ilvl w:val="0"/>
          <w:numId w:val="2"/>
        </w:numPr>
        <w:spacing w:before="40" w:after="80"/>
      </w:pPr>
      <w:r>
        <w:t>Risk adjustment coding and analytics</w:t>
      </w:r>
    </w:p>
    <w:p w14:paraId="555AA883" w14:textId="77777777" w:rsidR="00772358" w:rsidRDefault="00000000">
      <w:pPr>
        <w:pStyle w:val="ListParagraph"/>
        <w:numPr>
          <w:ilvl w:val="0"/>
          <w:numId w:val="2"/>
        </w:numPr>
        <w:spacing w:before="40" w:after="80"/>
      </w:pPr>
      <w:r>
        <w:t>HEDIS and quality measure analytics</w:t>
      </w:r>
    </w:p>
    <w:p w14:paraId="11FF84A1" w14:textId="77777777" w:rsidR="00772358" w:rsidRDefault="00000000">
      <w:pPr>
        <w:pStyle w:val="ListParagraph"/>
        <w:numPr>
          <w:ilvl w:val="0"/>
          <w:numId w:val="2"/>
        </w:numPr>
        <w:spacing w:before="40" w:after="80"/>
      </w:pPr>
      <w:r>
        <w:t>Appeals and grievances support</w:t>
      </w:r>
    </w:p>
    <w:p w14:paraId="128FE291" w14:textId="77777777" w:rsidR="00772358" w:rsidRDefault="00000000">
      <w:pPr>
        <w:spacing w:before="60" w:after="120" w:line="280" w:lineRule="auto"/>
        <w:jc w:val="both"/>
      </w:pPr>
      <w:r>
        <w:rPr>
          <w:b/>
          <w:bCs/>
          <w:color w:val="0B4F6C"/>
        </w:rPr>
        <w:t>Clinical Analytics Capability Tower:</w:t>
      </w:r>
    </w:p>
    <w:p w14:paraId="34F3927E" w14:textId="77777777" w:rsidR="00772358" w:rsidRDefault="00000000">
      <w:pPr>
        <w:pStyle w:val="ListParagraph"/>
        <w:numPr>
          <w:ilvl w:val="0"/>
          <w:numId w:val="2"/>
        </w:numPr>
        <w:spacing w:before="40" w:after="80"/>
      </w:pPr>
      <w:r>
        <w:t>Population health analytics and risk stratification</w:t>
      </w:r>
    </w:p>
    <w:p w14:paraId="7F47BFFD" w14:textId="77777777" w:rsidR="00772358" w:rsidRDefault="00000000">
      <w:pPr>
        <w:pStyle w:val="ListParagraph"/>
        <w:numPr>
          <w:ilvl w:val="0"/>
          <w:numId w:val="2"/>
        </w:numPr>
        <w:spacing w:before="40" w:after="80"/>
      </w:pPr>
      <w:r>
        <w:t>Care management program analytics</w:t>
      </w:r>
    </w:p>
    <w:p w14:paraId="7E9D5367" w14:textId="77777777" w:rsidR="00772358" w:rsidRDefault="00000000">
      <w:pPr>
        <w:pStyle w:val="ListParagraph"/>
        <w:numPr>
          <w:ilvl w:val="0"/>
          <w:numId w:val="2"/>
        </w:numPr>
        <w:spacing w:before="40" w:after="80"/>
      </w:pPr>
      <w:r>
        <w:t>Quality measure tracking and improvement analytics</w:t>
      </w:r>
    </w:p>
    <w:p w14:paraId="7495986A" w14:textId="77777777" w:rsidR="00772358" w:rsidRDefault="00000000">
      <w:pPr>
        <w:pStyle w:val="ListParagraph"/>
        <w:numPr>
          <w:ilvl w:val="0"/>
          <w:numId w:val="2"/>
        </w:numPr>
        <w:spacing w:before="40" w:after="80"/>
      </w:pPr>
      <w:r>
        <w:t>Clinical outcome reporting</w:t>
      </w:r>
    </w:p>
    <w:p w14:paraId="2A052068" w14:textId="77777777" w:rsidR="00772358" w:rsidRDefault="00000000">
      <w:pPr>
        <w:pStyle w:val="ListParagraph"/>
        <w:numPr>
          <w:ilvl w:val="0"/>
          <w:numId w:val="2"/>
        </w:numPr>
        <w:spacing w:before="40" w:after="80"/>
      </w:pPr>
      <w:r>
        <w:t>Social determinants of health data integration</w:t>
      </w:r>
    </w:p>
    <w:p w14:paraId="21B9000A" w14:textId="77777777" w:rsidR="00772358" w:rsidRDefault="00000000">
      <w:pPr>
        <w:spacing w:before="60" w:after="120" w:line="280" w:lineRule="auto"/>
        <w:jc w:val="both"/>
      </w:pPr>
      <w:r>
        <w:rPr>
          <w:b/>
          <w:bCs/>
          <w:color w:val="0B4F6C"/>
        </w:rPr>
        <w:t>Technology &amp; AI Capability Tower:</w:t>
      </w:r>
    </w:p>
    <w:p w14:paraId="51433355" w14:textId="77777777" w:rsidR="00772358" w:rsidRDefault="00000000">
      <w:pPr>
        <w:pStyle w:val="ListParagraph"/>
        <w:numPr>
          <w:ilvl w:val="0"/>
          <w:numId w:val="2"/>
        </w:numPr>
        <w:spacing w:before="40" w:after="80"/>
      </w:pPr>
      <w:r>
        <w:t>Healthcare data engineering and integration</w:t>
      </w:r>
    </w:p>
    <w:p w14:paraId="1A152A75" w14:textId="77777777" w:rsidR="00772358" w:rsidRDefault="00000000">
      <w:pPr>
        <w:pStyle w:val="ListParagraph"/>
        <w:numPr>
          <w:ilvl w:val="0"/>
          <w:numId w:val="2"/>
        </w:numPr>
        <w:spacing w:before="40" w:after="80"/>
      </w:pPr>
      <w:r>
        <w:t>AI model development (denial prediction, coding AI, risk stratification)</w:t>
      </w:r>
    </w:p>
    <w:p w14:paraId="390A9788" w14:textId="77777777" w:rsidR="00772358" w:rsidRDefault="00000000">
      <w:pPr>
        <w:pStyle w:val="ListParagraph"/>
        <w:numPr>
          <w:ilvl w:val="0"/>
          <w:numId w:val="2"/>
        </w:numPr>
        <w:spacing w:before="40" w:after="80"/>
      </w:pPr>
      <w:r>
        <w:t>MLOps and model monitoring</w:t>
      </w:r>
    </w:p>
    <w:p w14:paraId="66640BC1" w14:textId="77777777" w:rsidR="00772358" w:rsidRDefault="00000000">
      <w:pPr>
        <w:pStyle w:val="ListParagraph"/>
        <w:numPr>
          <w:ilvl w:val="0"/>
          <w:numId w:val="2"/>
        </w:numPr>
        <w:spacing w:before="40" w:after="80"/>
      </w:pPr>
      <w:r>
        <w:t>EHR integration engineering</w:t>
      </w:r>
    </w:p>
    <w:p w14:paraId="2723D2AB" w14:textId="77777777" w:rsidR="00772358" w:rsidRDefault="00000000">
      <w:pPr>
        <w:pStyle w:val="ListParagraph"/>
        <w:numPr>
          <w:ilvl w:val="0"/>
          <w:numId w:val="2"/>
        </w:numPr>
        <w:spacing w:before="40" w:after="80"/>
      </w:pPr>
      <w:r>
        <w:t>FHIR API development</w:t>
      </w:r>
    </w:p>
    <w:p w14:paraId="24559EA6" w14:textId="77777777" w:rsidR="00772358" w:rsidRDefault="00000000">
      <w:pPr>
        <w:pStyle w:val="ListParagraph"/>
        <w:numPr>
          <w:ilvl w:val="0"/>
          <w:numId w:val="2"/>
        </w:numPr>
        <w:spacing w:before="40" w:after="80"/>
      </w:pPr>
      <w:r>
        <w:t>Cybersecurity and HIPAA compliance operations</w:t>
      </w:r>
    </w:p>
    <w:p w14:paraId="03B40673" w14:textId="77777777" w:rsidR="00772358" w:rsidRDefault="00000000">
      <w:pPr>
        <w:spacing w:before="60" w:after="120" w:line="280" w:lineRule="auto"/>
        <w:jc w:val="both"/>
      </w:pPr>
      <w:r>
        <w:rPr>
          <w:b/>
          <w:bCs/>
          <w:color w:val="0B4F6C"/>
        </w:rPr>
        <w:t>Compliance &amp; Governance Capability Tower:</w:t>
      </w:r>
    </w:p>
    <w:p w14:paraId="2C680979" w14:textId="77777777" w:rsidR="00772358" w:rsidRDefault="00000000">
      <w:pPr>
        <w:pStyle w:val="ListParagraph"/>
        <w:numPr>
          <w:ilvl w:val="0"/>
          <w:numId w:val="2"/>
        </w:numPr>
        <w:spacing w:before="40" w:after="80"/>
      </w:pPr>
      <w:r>
        <w:t>Regulatory reporting (CMS, state agencies)</w:t>
      </w:r>
    </w:p>
    <w:p w14:paraId="2E403A6E" w14:textId="77777777" w:rsidR="00772358" w:rsidRDefault="00000000">
      <w:pPr>
        <w:pStyle w:val="ListParagraph"/>
        <w:numPr>
          <w:ilvl w:val="0"/>
          <w:numId w:val="2"/>
        </w:numPr>
        <w:spacing w:before="40" w:after="80"/>
      </w:pPr>
      <w:r>
        <w:t>HIPAA compliance monitoring</w:t>
      </w:r>
    </w:p>
    <w:p w14:paraId="710E4EC5" w14:textId="77777777" w:rsidR="00772358" w:rsidRDefault="00000000">
      <w:pPr>
        <w:pStyle w:val="ListParagraph"/>
        <w:numPr>
          <w:ilvl w:val="0"/>
          <w:numId w:val="2"/>
        </w:numPr>
        <w:spacing w:before="40" w:after="80"/>
      </w:pPr>
      <w:r>
        <w:t>OIG exclusion and fraud screening</w:t>
      </w:r>
    </w:p>
    <w:p w14:paraId="4CF0E057" w14:textId="77777777" w:rsidR="00772358" w:rsidRDefault="00000000">
      <w:pPr>
        <w:pStyle w:val="ListParagraph"/>
        <w:numPr>
          <w:ilvl w:val="0"/>
          <w:numId w:val="2"/>
        </w:numPr>
        <w:spacing w:before="40" w:after="80"/>
      </w:pPr>
      <w:r>
        <w:t>Provider data governance</w:t>
      </w:r>
    </w:p>
    <w:p w14:paraId="4FDB3E59" w14:textId="77777777" w:rsidR="00772358" w:rsidRDefault="00000000">
      <w:pPr>
        <w:pStyle w:val="ListParagraph"/>
        <w:numPr>
          <w:ilvl w:val="0"/>
          <w:numId w:val="2"/>
        </w:numPr>
        <w:spacing w:before="40" w:after="80"/>
      </w:pPr>
      <w:r>
        <w:t>Audit support and documentation</w:t>
      </w:r>
    </w:p>
    <w:p w14:paraId="28F3C6E2" w14:textId="77777777" w:rsidR="00772358" w:rsidRDefault="00000000">
      <w:pPr>
        <w:pStyle w:val="Heading2"/>
        <w:pBdr>
          <w:bottom w:val="single" w:sz="4" w:space="2" w:color="E8A020"/>
        </w:pBdr>
      </w:pPr>
      <w:r>
        <w:t>12.3 The India Healthcare GCC Landscape</w:t>
      </w:r>
    </w:p>
    <w:p w14:paraId="2B218AD1" w14:textId="77777777" w:rsidR="00772358" w:rsidRDefault="00000000">
      <w:pPr>
        <w:spacing w:before="60" w:after="120" w:line="280" w:lineRule="auto"/>
        <w:jc w:val="both"/>
      </w:pPr>
      <w:r>
        <w:t>India hosts the largest and most mature healthcare GCC ecosystem outside the United States. Major healthcare GCC operations include:</w:t>
      </w:r>
    </w:p>
    <w:p w14:paraId="40D74F0A" w14:textId="77777777" w:rsidR="00772358" w:rsidRDefault="00000000">
      <w:pPr>
        <w:spacing w:before="60" w:after="120" w:line="280" w:lineRule="auto"/>
        <w:jc w:val="both"/>
      </w:pPr>
      <w:r>
        <w:rPr>
          <w:b/>
          <w:bCs/>
          <w:color w:val="0B4F6C"/>
        </w:rPr>
        <w:t>Optum India (UnitedHealth Group):</w:t>
      </w:r>
      <w:r>
        <w:t xml:space="preserve"> Hyderabad and Gurgaon, 35,000+ employees. The largest healthcare GCC globally, delivering analytics, technology, clinical operations, and business process management across UHG's Optum and UnitedHealthcare businesses.</w:t>
      </w:r>
    </w:p>
    <w:p w14:paraId="1F0007AE" w14:textId="77777777" w:rsidR="00772358" w:rsidRDefault="00000000">
      <w:pPr>
        <w:spacing w:before="60" w:after="120" w:line="280" w:lineRule="auto"/>
        <w:jc w:val="both"/>
      </w:pPr>
      <w:r>
        <w:rPr>
          <w:b/>
          <w:bCs/>
          <w:color w:val="0B4F6C"/>
        </w:rPr>
        <w:t>Elevance Health India (Anthem):</w:t>
      </w:r>
      <w:r>
        <w:t xml:space="preserve"> Hyderabad, approximately 8,000 employees. Delivers claims operations, analytics, provider data management, and technology services.</w:t>
      </w:r>
    </w:p>
    <w:p w14:paraId="5F3357E7" w14:textId="77777777" w:rsidR="00772358" w:rsidRDefault="00000000">
      <w:pPr>
        <w:spacing w:before="60" w:after="120" w:line="280" w:lineRule="auto"/>
        <w:jc w:val="both"/>
      </w:pPr>
      <w:r>
        <w:rPr>
          <w:b/>
          <w:bCs/>
          <w:color w:val="0B4F6C"/>
        </w:rPr>
        <w:t>Humana India:</w:t>
      </w:r>
      <w:r>
        <w:t xml:space="preserve"> Hyderabad, approximately 4,000 employees. Focuses on analytics, technology, and care management support.</w:t>
      </w:r>
    </w:p>
    <w:p w14:paraId="4FC033E0" w14:textId="77777777" w:rsidR="00772358" w:rsidRDefault="00000000">
      <w:pPr>
        <w:spacing w:before="60" w:after="120" w:line="280" w:lineRule="auto"/>
        <w:jc w:val="both"/>
      </w:pPr>
      <w:r>
        <w:rPr>
          <w:b/>
          <w:bCs/>
          <w:color w:val="0B4F6C"/>
        </w:rPr>
        <w:t>Cigna India:</w:t>
      </w:r>
      <w:r>
        <w:t xml:space="preserve"> Hyderabad, approximately 3,000 employees. Clinical operations, analytics, and IT services.</w:t>
      </w:r>
    </w:p>
    <w:p w14:paraId="1B92F4FD" w14:textId="77777777" w:rsidR="00772358" w:rsidRDefault="00000000">
      <w:pPr>
        <w:spacing w:before="60" w:after="120" w:line="280" w:lineRule="auto"/>
        <w:jc w:val="both"/>
      </w:pPr>
      <w:r>
        <w:rPr>
          <w:b/>
          <w:bCs/>
          <w:color w:val="0B4F6C"/>
        </w:rPr>
        <w:t>Aetna/CVS Health India:</w:t>
      </w:r>
      <w:r>
        <w:t xml:space="preserve"> Pune and Hyderabad. Claims operations, analytics, and pharmacy benefit administration.</w:t>
      </w:r>
    </w:p>
    <w:p w14:paraId="6FCD54DD" w14:textId="77777777" w:rsidR="00772358" w:rsidRDefault="00000000">
      <w:pPr>
        <w:spacing w:before="60" w:after="120" w:line="280" w:lineRule="auto"/>
        <w:jc w:val="both"/>
      </w:pPr>
      <w:r>
        <w:rPr>
          <w:b/>
          <w:bCs/>
          <w:color w:val="0B4F6C"/>
        </w:rPr>
        <w:t>HCA Healthcare India:</w:t>
      </w:r>
      <w:r>
        <w:t xml:space="preserve"> Hyderabad. Clinical coding, CDI, and revenue cycle analytics.</w:t>
      </w:r>
    </w:p>
    <w:p w14:paraId="333DA303" w14:textId="77777777" w:rsidR="00772358" w:rsidRDefault="00000000">
      <w:pPr>
        <w:spacing w:before="60" w:after="120" w:line="280" w:lineRule="auto"/>
        <w:jc w:val="both"/>
      </w:pPr>
      <w:r>
        <w:rPr>
          <w:b/>
          <w:bCs/>
          <w:color w:val="0B4F6C"/>
        </w:rPr>
        <w:t>Emerging GCC players:</w:t>
      </w:r>
      <w:r>
        <w:t xml:space="preserve"> </w:t>
      </w:r>
      <w:proofErr w:type="spellStart"/>
      <w:r>
        <w:t>CommonSpirit</w:t>
      </w:r>
      <w:proofErr w:type="spellEnd"/>
      <w:r>
        <w:t xml:space="preserve"> Health, Ascension, Providence, Froedtert, and dozens of mid-size health systems are establishing or expanding GCC operations in Hyderabad, Bengaluru, Chennai, and Pune.</w:t>
      </w:r>
    </w:p>
    <w:p w14:paraId="5EA38653" w14:textId="77777777" w:rsidR="00772358" w:rsidRDefault="00000000">
      <w:pPr>
        <w:pStyle w:val="Heading2"/>
        <w:pBdr>
          <w:bottom w:val="single" w:sz="4" w:space="2" w:color="E8A020"/>
        </w:pBdr>
      </w:pPr>
      <w:r>
        <w:t>12.4 GCC Governance Design</w:t>
      </w:r>
    </w:p>
    <w:p w14:paraId="42650EFF" w14:textId="77777777" w:rsidR="00772358" w:rsidRDefault="00000000">
      <w:pPr>
        <w:spacing w:before="60" w:after="120" w:line="280" w:lineRule="auto"/>
        <w:jc w:val="both"/>
      </w:pPr>
      <w:r>
        <w:t>Effective healthcare GCC governance requires clear frameworks across three dimensions.</w:t>
      </w:r>
    </w:p>
    <w:p w14:paraId="39FD153E" w14:textId="77777777" w:rsidR="00772358" w:rsidRDefault="00000000">
      <w:pPr>
        <w:spacing w:before="60" w:after="120" w:line="280" w:lineRule="auto"/>
        <w:jc w:val="both"/>
      </w:pPr>
      <w:r>
        <w:rPr>
          <w:b/>
          <w:bCs/>
          <w:color w:val="0B4F6C"/>
        </w:rPr>
        <w:t>Strategic governance:</w:t>
      </w:r>
      <w:r>
        <w:t xml:space="preserve"> What does the GCC own versus support? What is the GCC's mandate — cost centre, profit centre, or capability hub? Which capabilities are on the GCC roadmap for the next three years?</w:t>
      </w:r>
    </w:p>
    <w:p w14:paraId="3D24C5BD" w14:textId="77777777" w:rsidR="00772358" w:rsidRDefault="00000000">
      <w:pPr>
        <w:spacing w:before="60" w:after="120" w:line="280" w:lineRule="auto"/>
        <w:jc w:val="both"/>
      </w:pPr>
      <w:r>
        <w:rPr>
          <w:b/>
          <w:bCs/>
          <w:color w:val="0B4F6C"/>
        </w:rPr>
        <w:t>Operational governance:</w:t>
      </w:r>
      <w:r>
        <w:t xml:space="preserve"> SLA frameworks, quality metrics, audit protocols, and escalation paths. How is GCC performance measured and communicated to parent organisation leadership? How are quality issues identified and remediated?</w:t>
      </w:r>
    </w:p>
    <w:p w14:paraId="46C2B1CF" w14:textId="77777777" w:rsidR="00772358" w:rsidRDefault="00000000">
      <w:pPr>
        <w:spacing w:before="60" w:after="120" w:line="280" w:lineRule="auto"/>
        <w:jc w:val="both"/>
      </w:pPr>
      <w:r>
        <w:rPr>
          <w:b/>
          <w:bCs/>
          <w:color w:val="0B4F6C"/>
        </w:rPr>
        <w:t>Compliance governance:</w:t>
      </w:r>
      <w:r>
        <w:t xml:space="preserve"> HIPAA compliance architecture, PHI data handling protocols, cyber incident response procedures, and workforce background screening. Healthcare GCC HIPAA compliance is an FDA-equivalent regulatory requirement — not optional.</w:t>
      </w:r>
    </w:p>
    <w:p w14:paraId="362C3D59" w14:textId="77777777" w:rsidR="00772358" w:rsidRDefault="00000000">
      <w:pPr>
        <w:pStyle w:val="Heading2"/>
        <w:pBdr>
          <w:bottom w:val="single" w:sz="4" w:space="2" w:color="E8A020"/>
        </w:pBdr>
      </w:pPr>
      <w:r>
        <w:t>Questions for Leadership</w:t>
      </w:r>
    </w:p>
    <w:p w14:paraId="5A3A4F6E" w14:textId="77777777" w:rsidR="00772358" w:rsidRDefault="00000000">
      <w:pPr>
        <w:spacing w:before="60" w:after="120" w:line="280" w:lineRule="auto"/>
        <w:jc w:val="both"/>
      </w:pPr>
      <w:r>
        <w:t>Is the GCC explicitly positioned as a capability hub in the parent organisation's strategic plan, or is it treated as a cost reduction tool? What is the GCC maturity level for each major capability tower, and is there a funded roadmap to advance the most strategically important towers to Generation 3? Has the HIPAA compliance architecture been independently audited, and are Business Associate Agreements current with all GCC data-sharing relationships?</w:t>
      </w:r>
    </w:p>
    <w:p w14:paraId="0A060F79" w14:textId="77777777" w:rsidR="00772358" w:rsidRDefault="00000000">
      <w:pPr>
        <w:spacing w:before="60" w:after="120" w:line="280" w:lineRule="auto"/>
        <w:jc w:val="both"/>
      </w:pPr>
      <w:r>
        <w:rPr>
          <w:i/>
          <w:iCs/>
        </w:rPr>
        <w:t>Chapter 12 complete.</w:t>
      </w:r>
    </w:p>
    <w:p w14:paraId="258C46A3" w14:textId="77777777" w:rsidR="00772358" w:rsidRDefault="00000000">
      <w:pPr>
        <w:pStyle w:val="Heading2"/>
        <w:pBdr>
          <w:bottom w:val="single" w:sz="4" w:space="2" w:color="E8A020"/>
        </w:pBdr>
      </w:pPr>
      <w:r>
        <w:t>12.4 GCC Governance and Quality Framework</w:t>
      </w:r>
    </w:p>
    <w:p w14:paraId="117E9F1A" w14:textId="77777777" w:rsidR="00772358" w:rsidRDefault="00000000">
      <w:pPr>
        <w:spacing w:before="60" w:after="120" w:line="280" w:lineRule="auto"/>
        <w:jc w:val="both"/>
      </w:pPr>
      <w:r>
        <w:t>A healthcare GCC that processes protected health information must operate under a rigorous compliance and governance framework that extends beyond standard IT and HR governance.</w:t>
      </w:r>
    </w:p>
    <w:p w14:paraId="41AA71A7" w14:textId="77777777" w:rsidR="00772358" w:rsidRDefault="00000000">
      <w:pPr>
        <w:spacing w:before="60" w:after="120" w:line="280" w:lineRule="auto"/>
        <w:jc w:val="both"/>
      </w:pPr>
      <w:r>
        <w:rPr>
          <w:b/>
          <w:bCs/>
          <w:color w:val="0B4F6C"/>
        </w:rPr>
        <w:t>HIPAA compliance architecture:</w:t>
      </w:r>
      <w:r>
        <w:t xml:space="preserve"> Every GCC employee with PHI access must receive HIPAA privacy and security training annually. Technical safeguards (encryption, access logging, minimum necessary access, session controls) must meet HIPAA Security Rule requirements. Physical safeguards (restricted access facilities, clean desk policies, device management) are particularly important in GCC settings where multiple client environments may be served from the same facility. Business Associate Agreements (BAAs) must be executed for every client, defining the GCC's specific obligations for PHI protection.</w:t>
      </w:r>
    </w:p>
    <w:p w14:paraId="42D6D8E7" w14:textId="77777777" w:rsidR="00772358" w:rsidRDefault="00000000">
      <w:pPr>
        <w:spacing w:before="60" w:after="120" w:line="280" w:lineRule="auto"/>
        <w:jc w:val="both"/>
      </w:pPr>
      <w:r>
        <w:rPr>
          <w:b/>
          <w:bCs/>
          <w:color w:val="0B4F6C"/>
        </w:rPr>
        <w:t>Quality assurance framework:</w:t>
      </w:r>
      <w:r>
        <w:t xml:space="preserve"> GCC healthcare operations require a multi-tier QA model. Individual work product is audited by dedicated QA teams at a sampling rate of 10–20% for routine work and 100% for high-stakes transactions (complex denials, credentialing, PA for high-cost services). Aggregate quality metrics (accuracy rates, SLA adherence, error category distribution) are reported to client leadership weekly. Root cause analysis of quality failures is documented and drives targeted retraining and process improvement.</w:t>
      </w:r>
    </w:p>
    <w:p w14:paraId="474BE977" w14:textId="77777777" w:rsidR="00772358" w:rsidRDefault="00000000">
      <w:pPr>
        <w:spacing w:before="60" w:after="120" w:line="280" w:lineRule="auto"/>
        <w:jc w:val="both"/>
      </w:pPr>
      <w:r>
        <w:rPr>
          <w:b/>
          <w:bCs/>
          <w:color w:val="0B4F6C"/>
        </w:rPr>
        <w:t>Transition management:</w:t>
      </w:r>
      <w:r>
        <w:t xml:space="preserve"> The transition of a healthcare operations function from a provider or payer's existing team to a GCC is a high-risk event that requires meticulous planning. Best practices include shadow operations (parallel processing during transition), gradual volume ramping (starting at 20% of volume and scaling over 90 days), comprehensive knowledge transfer documentation, and clear escalation paths to client subject matter experts for exception handling.</w:t>
      </w:r>
    </w:p>
    <w:p w14:paraId="46484203" w14:textId="77777777" w:rsidR="00772358" w:rsidRDefault="00000000">
      <w:pPr>
        <w:pStyle w:val="Heading2"/>
        <w:pBdr>
          <w:bottom w:val="single" w:sz="4" w:space="2" w:color="E8A020"/>
        </w:pBdr>
      </w:pPr>
      <w:r>
        <w:t>12.5 GCC Maturity Model — Healthcare</w:t>
      </w:r>
    </w:p>
    <w:p w14:paraId="5D194761"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72358" w14:paraId="1A060538"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2DD4295C" w14:textId="77777777" w:rsidR="00772358" w:rsidRDefault="00000000">
            <w:r>
              <w:rPr>
                <w:b/>
                <w:bCs/>
                <w:color w:val="FFFFFF"/>
                <w:sz w:val="18"/>
                <w:szCs w:val="18"/>
              </w:rPr>
              <w:t>Maturity Level</w:t>
            </w:r>
          </w:p>
        </w:tc>
        <w:tc>
          <w:tcPr>
            <w:tcW w:w="312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3F436F16" w14:textId="77777777" w:rsidR="00772358" w:rsidRDefault="00000000">
            <w:r>
              <w:rPr>
                <w:b/>
                <w:bCs/>
                <w:color w:val="FFFFFF"/>
                <w:sz w:val="18"/>
                <w:szCs w:val="18"/>
              </w:rPr>
              <w:t>Characteristics</w:t>
            </w:r>
          </w:p>
        </w:tc>
        <w:tc>
          <w:tcPr>
            <w:tcW w:w="312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19096F78" w14:textId="77777777" w:rsidR="00772358" w:rsidRDefault="00000000">
            <w:r>
              <w:rPr>
                <w:b/>
                <w:bCs/>
                <w:color w:val="FFFFFF"/>
                <w:sz w:val="18"/>
                <w:szCs w:val="18"/>
              </w:rPr>
              <w:t>Typical Functions</w:t>
            </w:r>
          </w:p>
        </w:tc>
      </w:tr>
      <w:tr w:rsidR="00772358" w14:paraId="5BB772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7402F8C7" w14:textId="77777777" w:rsidR="00772358" w:rsidRDefault="00000000">
            <w:r>
              <w:rPr>
                <w:sz w:val="18"/>
                <w:szCs w:val="18"/>
              </w:rPr>
              <w:t>Level 1: Transactional</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310ED66A" w14:textId="77777777" w:rsidR="00772358" w:rsidRDefault="00000000">
            <w:r>
              <w:rPr>
                <w:sz w:val="18"/>
                <w:szCs w:val="18"/>
              </w:rPr>
              <w:t>Volume-based, highly scripted, minimal judgment</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21447E8C" w14:textId="77777777" w:rsidR="00772358" w:rsidRDefault="00000000">
            <w:r>
              <w:rPr>
                <w:sz w:val="18"/>
                <w:szCs w:val="18"/>
              </w:rPr>
              <w:t>Data entry, status checking, appointment reminders</w:t>
            </w:r>
          </w:p>
        </w:tc>
      </w:tr>
      <w:tr w:rsidR="00772358" w14:paraId="0B7738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27BA7BA2" w14:textId="77777777" w:rsidR="00772358" w:rsidRDefault="00000000">
            <w:r>
              <w:rPr>
                <w:sz w:val="18"/>
                <w:szCs w:val="18"/>
              </w:rPr>
              <w:t>Level 2: Rules-Based Operations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3825B2B2" w14:textId="77777777" w:rsidR="00772358" w:rsidRDefault="00000000">
            <w:r>
              <w:rPr>
                <w:sz w:val="18"/>
                <w:szCs w:val="18"/>
              </w:rPr>
              <w:t>Defined decision logic, quality-monitored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19451D06" w14:textId="77777777" w:rsidR="00772358" w:rsidRDefault="00000000">
            <w:r>
              <w:rPr>
                <w:sz w:val="18"/>
                <w:szCs w:val="18"/>
              </w:rPr>
              <w:t>Eligibility verification, claim editing, payment posting</w:t>
            </w:r>
          </w:p>
        </w:tc>
      </w:tr>
      <w:tr w:rsidR="00772358" w14:paraId="42DAA4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77B25395" w14:textId="77777777" w:rsidR="00772358" w:rsidRDefault="00000000">
            <w:r>
              <w:rPr>
                <w:sz w:val="18"/>
                <w:szCs w:val="18"/>
              </w:rPr>
              <w:t>Level 3: Knowledge Operations</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0F3D8167" w14:textId="77777777" w:rsidR="00772358" w:rsidRDefault="00000000">
            <w:r>
              <w:rPr>
                <w:sz w:val="18"/>
                <w:szCs w:val="18"/>
              </w:rPr>
              <w:t>Domain expertise required, escalation management</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459A1313" w14:textId="77777777" w:rsidR="00772358" w:rsidRDefault="00000000">
            <w:r>
              <w:rPr>
                <w:sz w:val="18"/>
                <w:szCs w:val="18"/>
              </w:rPr>
              <w:t>Coding, denial analytics, PA intake, CDI support</w:t>
            </w:r>
          </w:p>
        </w:tc>
      </w:tr>
      <w:tr w:rsidR="00772358" w14:paraId="5DC2F0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58EF6CAF" w14:textId="77777777" w:rsidR="00772358" w:rsidRDefault="00000000">
            <w:r>
              <w:rPr>
                <w:sz w:val="18"/>
                <w:szCs w:val="18"/>
              </w:rPr>
              <w:t>Level 4: Analytical Intelligence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742956FA" w14:textId="77777777" w:rsidR="00772358" w:rsidRDefault="00000000">
            <w:r>
              <w:rPr>
                <w:sz w:val="18"/>
                <w:szCs w:val="18"/>
              </w:rPr>
              <w:t>Data science, predictive modelling, insights generation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70FABA1D" w14:textId="77777777" w:rsidR="00772358" w:rsidRDefault="00000000">
            <w:r>
              <w:rPr>
                <w:sz w:val="18"/>
                <w:szCs w:val="18"/>
              </w:rPr>
              <w:t>Population health analytics, payment integrity AI, performance dashboards</w:t>
            </w:r>
          </w:p>
        </w:tc>
      </w:tr>
      <w:tr w:rsidR="00772358" w14:paraId="6790E0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1A831D19" w14:textId="77777777" w:rsidR="00772358" w:rsidRDefault="00000000">
            <w:r>
              <w:rPr>
                <w:sz w:val="18"/>
                <w:szCs w:val="18"/>
              </w:rPr>
              <w:t>Level 5: Strategic Hub</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33000C45" w14:textId="77777777" w:rsidR="00772358" w:rsidRDefault="00000000">
            <w:r>
              <w:rPr>
                <w:sz w:val="18"/>
                <w:szCs w:val="18"/>
              </w:rPr>
              <w:t>Global capability ownership, innovation, IP development</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23E371C9" w14:textId="77777777" w:rsidR="00772358" w:rsidRDefault="00000000">
            <w:r>
              <w:rPr>
                <w:sz w:val="18"/>
                <w:szCs w:val="18"/>
              </w:rPr>
              <w:t>AI model development, product engineering, GCC-as-a-Platform</w:t>
            </w:r>
          </w:p>
        </w:tc>
      </w:tr>
    </w:tbl>
    <w:p w14:paraId="3C0BBA9C" w14:textId="77777777" w:rsidR="00772358" w:rsidRDefault="00772358">
      <w:pPr>
        <w:spacing w:after="80"/>
      </w:pPr>
    </w:p>
    <w:p w14:paraId="2902D2BB" w14:textId="77777777" w:rsidR="00772358" w:rsidRDefault="00000000">
      <w:pPr>
        <w:spacing w:before="60" w:after="120" w:line="280" w:lineRule="auto"/>
        <w:jc w:val="both"/>
      </w:pPr>
      <w:r>
        <w:t>Most healthcare GCCs in India operate at Levels 2–3 today. The leading GCCs at Optum, Elevance, Conduent, and WNS are reaching Level 4. Level 5 remains aspirational for most.</w:t>
      </w:r>
    </w:p>
    <w:p w14:paraId="6C5B2486" w14:textId="77777777" w:rsidR="00772358" w:rsidRDefault="00000000">
      <w:r>
        <w:br/>
      </w:r>
    </w:p>
    <w:p w14:paraId="7F952BA7" w14:textId="77777777" w:rsidR="00772358" w:rsidRDefault="00000000">
      <w:pPr>
        <w:shd w:val="clear" w:color="auto" w:fill="072D3D"/>
        <w:spacing w:after="100"/>
        <w:jc w:val="center"/>
      </w:pPr>
      <w:r>
        <w:rPr>
          <w:b/>
          <w:bCs/>
          <w:color w:val="E8A020"/>
          <w:sz w:val="24"/>
          <w:szCs w:val="24"/>
        </w:rPr>
        <w:t>PART V</w:t>
      </w:r>
    </w:p>
    <w:p w14:paraId="18B892FE" w14:textId="77777777" w:rsidR="00772358" w:rsidRDefault="00000000">
      <w:pPr>
        <w:pBdr>
          <w:bottom w:val="single" w:sz="8" w:space="8" w:color="E8A020"/>
        </w:pBdr>
        <w:shd w:val="clear" w:color="auto" w:fill="072D3D"/>
        <w:spacing w:after="600"/>
        <w:jc w:val="center"/>
      </w:pPr>
      <w:r>
        <w:rPr>
          <w:b/>
          <w:bCs/>
          <w:color w:val="FFFFFF"/>
          <w:sz w:val="44"/>
          <w:szCs w:val="44"/>
        </w:rPr>
        <w:t>Patient &amp; Member Experience</w:t>
      </w:r>
    </w:p>
    <w:p w14:paraId="7BEBCE58" w14:textId="77777777" w:rsidR="00772358" w:rsidRDefault="00000000">
      <w:r>
        <w:br/>
      </w:r>
    </w:p>
    <w:p w14:paraId="20580F64" w14:textId="77777777" w:rsidR="00772358" w:rsidRDefault="00000000">
      <w:pPr>
        <w:pStyle w:val="Heading1"/>
        <w:pBdr>
          <w:bottom w:val="single" w:sz="8" w:space="4" w:color="E8A020"/>
        </w:pBdr>
        <w:shd w:val="clear" w:color="auto" w:fill="0B4F6C"/>
        <w:ind w:left="160" w:right="160"/>
      </w:pPr>
      <w:r>
        <w:t>Chapter 13: Patient Financial Services &amp; Revenue Integrity</w:t>
      </w:r>
    </w:p>
    <w:p w14:paraId="6D5327E6"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2412E728" w14:textId="77777777">
        <w:tblPrEx>
          <w:tblCellMar>
            <w:top w:w="0" w:type="dxa"/>
            <w:bottom w:w="0" w:type="dxa"/>
          </w:tblCellMar>
        </w:tblPrEx>
        <w:tc>
          <w:tcPr>
            <w:tcW w:w="9360" w:type="dxa"/>
            <w:tcBorders>
              <w:top w:val="single" w:sz="6" w:space="0" w:color="17A8C8"/>
              <w:left w:val="single" w:sz="18" w:space="0" w:color="17A8C8"/>
              <w:bottom w:val="single" w:sz="6" w:space="0" w:color="17A8C8"/>
              <w:right w:val="single" w:sz="6" w:space="0" w:color="17A8C8"/>
            </w:tcBorders>
            <w:shd w:val="clear" w:color="auto" w:fill="E8F8FC"/>
            <w:tcMar>
              <w:top w:w="140" w:type="dxa"/>
              <w:left w:w="200" w:type="dxa"/>
              <w:bottom w:w="140" w:type="dxa"/>
              <w:right w:w="200" w:type="dxa"/>
            </w:tcMar>
          </w:tcPr>
          <w:p w14:paraId="2A2E81B7" w14:textId="77777777" w:rsidR="00772358" w:rsidRDefault="00000000">
            <w:pPr>
              <w:spacing w:after="80"/>
            </w:pPr>
            <w:r>
              <w:rPr>
                <w:b/>
                <w:bCs/>
                <w:color w:val="E8A020"/>
                <w:sz w:val="17"/>
                <w:szCs w:val="17"/>
              </w:rPr>
              <w:t>EXECUTIVE SUMMARY</w:t>
            </w:r>
          </w:p>
          <w:p w14:paraId="55331754" w14:textId="77777777" w:rsidR="00772358" w:rsidRDefault="00000000">
            <w:pPr>
              <w:jc w:val="both"/>
            </w:pPr>
            <w:r>
              <w:rPr>
                <w:i/>
                <w:iCs/>
                <w:sz w:val="20"/>
                <w:szCs w:val="20"/>
              </w:rPr>
              <w:t>Patient financial responsibility has grown dramatically as high-deductible health plans (HDHPs) have become the dominant insurance design for employer-sponsored coverage. The average individual HDHP deductible reached $1,763 in 2024; family deductibles often exceed $3,500. This shift has made patients a significant payer class in their own right — and has made the patient financial experience a critical competitive and financial variable. This chapter covers patient financial services, price transparency compliance, and revenue integrity.</w:t>
            </w:r>
          </w:p>
        </w:tc>
      </w:tr>
    </w:tbl>
    <w:p w14:paraId="043AA3C1" w14:textId="77777777" w:rsidR="00772358" w:rsidRDefault="00772358">
      <w:pPr>
        <w:spacing w:after="80"/>
      </w:pPr>
    </w:p>
    <w:p w14:paraId="58A8DBC2" w14:textId="77777777" w:rsidR="00772358" w:rsidRDefault="00000000">
      <w:pPr>
        <w:pStyle w:val="Heading2"/>
        <w:pBdr>
          <w:bottom w:val="single" w:sz="4" w:space="2" w:color="E8A020"/>
        </w:pBdr>
      </w:pPr>
      <w:r>
        <w:t>13.1 Patient Financial Counselling</w:t>
      </w:r>
    </w:p>
    <w:p w14:paraId="6103879A" w14:textId="77777777" w:rsidR="00772358" w:rsidRDefault="00000000">
      <w:pPr>
        <w:spacing w:before="60" w:after="120" w:line="280" w:lineRule="auto"/>
        <w:jc w:val="both"/>
      </w:pPr>
      <w:r>
        <w:t>Financial counselling — the proactive engagement of patients in understanding their financial responsibility before services are rendered — reduces surprise bills, improves point-of-service collections, increases charity care utilisation by eligible patients, and reduces downstream bad debt.</w:t>
      </w:r>
    </w:p>
    <w:p w14:paraId="5F760EE3" w14:textId="77777777" w:rsidR="00772358" w:rsidRDefault="00000000">
      <w:pPr>
        <w:spacing w:before="60" w:after="120" w:line="280" w:lineRule="auto"/>
        <w:jc w:val="both"/>
      </w:pPr>
      <w:r>
        <w:rPr>
          <w:b/>
          <w:bCs/>
          <w:color w:val="0B4F6C"/>
        </w:rPr>
        <w:t>Best-practice financial counselling elements:</w:t>
      </w:r>
    </w:p>
    <w:p w14:paraId="4F26028A" w14:textId="77777777" w:rsidR="00772358" w:rsidRDefault="00000000">
      <w:pPr>
        <w:pStyle w:val="ListParagraph"/>
        <w:numPr>
          <w:ilvl w:val="0"/>
          <w:numId w:val="2"/>
        </w:numPr>
        <w:spacing w:before="40" w:after="80"/>
      </w:pPr>
      <w:r>
        <w:t>Insurance verification and benefit explanation in plain language</w:t>
      </w:r>
    </w:p>
    <w:p w14:paraId="003C4D71" w14:textId="77777777" w:rsidR="00772358" w:rsidRDefault="00000000">
      <w:pPr>
        <w:pStyle w:val="ListParagraph"/>
        <w:numPr>
          <w:ilvl w:val="0"/>
          <w:numId w:val="2"/>
        </w:numPr>
        <w:spacing w:before="40" w:after="80"/>
      </w:pPr>
      <w:r>
        <w:t>Pre-service cost estimation using the patient's plan and provider contract</w:t>
      </w:r>
    </w:p>
    <w:p w14:paraId="24738B58" w14:textId="77777777" w:rsidR="00772358" w:rsidRDefault="00000000">
      <w:pPr>
        <w:pStyle w:val="ListParagraph"/>
        <w:numPr>
          <w:ilvl w:val="0"/>
          <w:numId w:val="2"/>
        </w:numPr>
        <w:spacing w:before="40" w:after="80"/>
      </w:pPr>
      <w:r>
        <w:t>Financial assistance screening (charity care, Medicaid eligibility, manufacturer assistance programs)</w:t>
      </w:r>
    </w:p>
    <w:p w14:paraId="7FB577A6" w14:textId="77777777" w:rsidR="00772358" w:rsidRDefault="00000000">
      <w:pPr>
        <w:pStyle w:val="ListParagraph"/>
        <w:numPr>
          <w:ilvl w:val="0"/>
          <w:numId w:val="2"/>
        </w:numPr>
        <w:spacing w:before="40" w:after="80"/>
      </w:pPr>
      <w:r>
        <w:t>Payment plan establishment for patients unable to pay estimated balances</w:t>
      </w:r>
    </w:p>
    <w:p w14:paraId="6FBC0ADF" w14:textId="77777777" w:rsidR="00772358" w:rsidRDefault="00000000">
      <w:pPr>
        <w:pStyle w:val="ListParagraph"/>
        <w:numPr>
          <w:ilvl w:val="0"/>
          <w:numId w:val="2"/>
        </w:numPr>
        <w:spacing w:before="40" w:after="80"/>
      </w:pPr>
      <w:r>
        <w:t>Co-pay and deductible collection before service (or prompt scheduling of payment)</w:t>
      </w:r>
    </w:p>
    <w:p w14:paraId="1BF9F8B0" w14:textId="77777777" w:rsidR="00772358" w:rsidRDefault="00000000">
      <w:pPr>
        <w:spacing w:before="60" w:after="120" w:line="280" w:lineRule="auto"/>
        <w:jc w:val="both"/>
      </w:pPr>
      <w:r>
        <w:rPr>
          <w:b/>
          <w:bCs/>
          <w:color w:val="0B4F6C"/>
        </w:rPr>
        <w:t>Digital financial counselling:</w:t>
      </w:r>
      <w:r>
        <w:t xml:space="preserve"> AI-powered chatbots and digital pre-registration workflows can perform preliminary financial counselling at scale — presenting patients with cost estimates, financial assistance information, and payment options before they arrive for service. This reduces the burden on financial counsellors and reaches patients who cannot or do not attend pre-service in-person appointments.</w:t>
      </w:r>
    </w:p>
    <w:p w14:paraId="5FC62C29" w14:textId="77777777" w:rsidR="00772358" w:rsidRDefault="00000000">
      <w:pPr>
        <w:pStyle w:val="Heading2"/>
        <w:pBdr>
          <w:bottom w:val="single" w:sz="4" w:space="2" w:color="E8A020"/>
        </w:pBdr>
      </w:pPr>
      <w:r>
        <w:t>13.2 Price Transparency Compliance</w:t>
      </w:r>
    </w:p>
    <w:p w14:paraId="509911E3" w14:textId="77777777" w:rsidR="00772358" w:rsidRDefault="00000000">
      <w:pPr>
        <w:spacing w:before="60" w:after="120" w:line="280" w:lineRule="auto"/>
        <w:jc w:val="both"/>
      </w:pPr>
      <w:r>
        <w:t>The CMS Hospital Price Transparency Rule (effective January 2021, with enforcement escalating since 2022) requires hospitals to publish:</w:t>
      </w:r>
    </w:p>
    <w:p w14:paraId="1B500802" w14:textId="77777777" w:rsidR="00772358" w:rsidRDefault="00000000">
      <w:pPr>
        <w:pStyle w:val="ListParagraph"/>
        <w:numPr>
          <w:ilvl w:val="0"/>
          <w:numId w:val="2"/>
        </w:numPr>
        <w:spacing w:before="40" w:after="80"/>
      </w:pPr>
      <w:r>
        <w:t>A machine-readable file (MRF) of all standard charges — gross charges, payer-specific negotiated rates, and discounted cash prices — for all services</w:t>
      </w:r>
    </w:p>
    <w:p w14:paraId="685006B2" w14:textId="77777777" w:rsidR="00772358" w:rsidRDefault="00000000">
      <w:pPr>
        <w:pStyle w:val="ListParagraph"/>
        <w:numPr>
          <w:ilvl w:val="0"/>
          <w:numId w:val="2"/>
        </w:numPr>
        <w:spacing w:before="40" w:after="80"/>
      </w:pPr>
      <w:r>
        <w:t>A consumer-friendly display of shoppable services with estimated prices</w:t>
      </w:r>
    </w:p>
    <w:p w14:paraId="611DCFED" w14:textId="77777777" w:rsidR="00772358" w:rsidRDefault="00000000">
      <w:pPr>
        <w:spacing w:before="60" w:after="120" w:line="280" w:lineRule="auto"/>
        <w:jc w:val="both"/>
      </w:pPr>
      <w:r>
        <w:t>The CMS Transparency in Coverage Rule (effective July 2022) requires health plans to publish MRFs of in-network negotiated rates and out-of-network allowed amounts, and to provide real-time cost estimation tools for members.</w:t>
      </w:r>
    </w:p>
    <w:p w14:paraId="4FBE9B34" w14:textId="77777777" w:rsidR="00772358" w:rsidRDefault="00000000">
      <w:pPr>
        <w:spacing w:before="60" w:after="120" w:line="280" w:lineRule="auto"/>
        <w:jc w:val="both"/>
      </w:pPr>
      <w:r>
        <w:t>Non-compliance with price transparency requirements carries daily civil monetary penalties — up to $2 million annually for large hospitals — and CMS has significantly increased its enforcement activity since 2022.</w:t>
      </w:r>
    </w:p>
    <w:p w14:paraId="5E54E724" w14:textId="77777777" w:rsidR="00772358" w:rsidRDefault="00000000">
      <w:pPr>
        <w:pStyle w:val="Heading2"/>
        <w:pBdr>
          <w:bottom w:val="single" w:sz="4" w:space="2" w:color="E8A020"/>
        </w:pBdr>
      </w:pPr>
      <w:r>
        <w:t>13.3 Revenue Integrity</w:t>
      </w:r>
    </w:p>
    <w:p w14:paraId="7A343454" w14:textId="77777777" w:rsidR="00772358" w:rsidRDefault="00000000">
      <w:pPr>
        <w:spacing w:before="60" w:after="120" w:line="280" w:lineRule="auto"/>
        <w:jc w:val="both"/>
      </w:pPr>
      <w:r>
        <w:t>Revenue integrity is the discipline of ensuring that all services rendered are accurately charged, correctly coded, appropriately billed, and fully collected — without fraudulent or abusive billing practices. It is the connective tissue between clinical operations and the revenue cycle.</w:t>
      </w:r>
    </w:p>
    <w:p w14:paraId="3FC87C11" w14:textId="77777777" w:rsidR="00772358" w:rsidRDefault="00000000">
      <w:pPr>
        <w:spacing w:before="60" w:after="120" w:line="280" w:lineRule="auto"/>
        <w:jc w:val="both"/>
      </w:pPr>
      <w:r>
        <w:rPr>
          <w:b/>
          <w:bCs/>
          <w:color w:val="0B4F6C"/>
        </w:rPr>
        <w:t>Revenue integrity functions:</w:t>
      </w:r>
    </w:p>
    <w:p w14:paraId="094C7444" w14:textId="77777777" w:rsidR="00772358" w:rsidRDefault="00000000">
      <w:pPr>
        <w:pStyle w:val="ListParagraph"/>
        <w:numPr>
          <w:ilvl w:val="0"/>
          <w:numId w:val="2"/>
        </w:numPr>
        <w:spacing w:before="40" w:after="80"/>
      </w:pPr>
      <w:r>
        <w:t>Charge description master (CDM) maintenance and pricing governance</w:t>
      </w:r>
    </w:p>
    <w:p w14:paraId="5515113F" w14:textId="77777777" w:rsidR="00772358" w:rsidRDefault="00000000">
      <w:pPr>
        <w:pStyle w:val="ListParagraph"/>
        <w:numPr>
          <w:ilvl w:val="0"/>
          <w:numId w:val="2"/>
        </w:numPr>
        <w:spacing w:before="40" w:after="80"/>
      </w:pPr>
      <w:r>
        <w:t>Charge reconciliation (comparing clinical activity documentation to charges captured)</w:t>
      </w:r>
    </w:p>
    <w:p w14:paraId="24436EBD" w14:textId="77777777" w:rsidR="00772358" w:rsidRDefault="00000000">
      <w:pPr>
        <w:pStyle w:val="ListParagraph"/>
        <w:numPr>
          <w:ilvl w:val="0"/>
          <w:numId w:val="2"/>
        </w:numPr>
        <w:spacing w:before="40" w:after="80"/>
      </w:pPr>
      <w:r>
        <w:t>Coding quality audits and physician education</w:t>
      </w:r>
    </w:p>
    <w:p w14:paraId="49FBFBC3" w14:textId="77777777" w:rsidR="00772358" w:rsidRDefault="00000000">
      <w:pPr>
        <w:pStyle w:val="ListParagraph"/>
        <w:numPr>
          <w:ilvl w:val="0"/>
          <w:numId w:val="2"/>
        </w:numPr>
        <w:spacing w:before="40" w:after="80"/>
      </w:pPr>
      <w:r>
        <w:t>Charging compliance reviews (OPPS compliance, CPT bundling, CMS quarterly code changes)</w:t>
      </w:r>
    </w:p>
    <w:p w14:paraId="62F63D08" w14:textId="77777777" w:rsidR="00772358" w:rsidRDefault="00000000">
      <w:pPr>
        <w:pStyle w:val="ListParagraph"/>
        <w:numPr>
          <w:ilvl w:val="0"/>
          <w:numId w:val="2"/>
        </w:numPr>
        <w:spacing w:before="40" w:after="80"/>
      </w:pPr>
      <w:r>
        <w:t xml:space="preserve">Revenue opportunity identification (charge capture gaps, </w:t>
      </w:r>
      <w:proofErr w:type="spellStart"/>
      <w:r>
        <w:t>undercoded</w:t>
      </w:r>
      <w:proofErr w:type="spellEnd"/>
      <w:r>
        <w:t xml:space="preserve"> services)</w:t>
      </w:r>
    </w:p>
    <w:p w14:paraId="1B9049E7" w14:textId="77777777" w:rsidR="00772358" w:rsidRDefault="00000000">
      <w:pPr>
        <w:pStyle w:val="ListParagraph"/>
        <w:numPr>
          <w:ilvl w:val="0"/>
          <w:numId w:val="2"/>
        </w:numPr>
        <w:spacing w:before="40" w:after="80"/>
      </w:pPr>
      <w:r>
        <w:t>Compliance program integration (internal audit, OIG work plan monitoring)</w:t>
      </w:r>
    </w:p>
    <w:p w14:paraId="096FEF46" w14:textId="77777777" w:rsidR="00772358" w:rsidRDefault="00000000">
      <w:pPr>
        <w:spacing w:before="60" w:after="120" w:line="280" w:lineRule="auto"/>
        <w:jc w:val="both"/>
      </w:pPr>
      <w:r>
        <w:rPr>
          <w:b/>
          <w:bCs/>
          <w:color w:val="0B4F6C"/>
        </w:rPr>
        <w:t>GCC revenue integrity:</w:t>
      </w:r>
      <w:r>
        <w:t xml:space="preserve"> CDM maintenance, charge audit analytics, and coding quality review are appropriate GCC-deliverable functions. Physician education and compliance remediation require US-based clinical and compliance expertise.</w:t>
      </w:r>
    </w:p>
    <w:p w14:paraId="263B076E" w14:textId="77777777" w:rsidR="00772358" w:rsidRDefault="00000000">
      <w:pPr>
        <w:pStyle w:val="Heading2"/>
        <w:pBdr>
          <w:bottom w:val="single" w:sz="4" w:space="2" w:color="E8A020"/>
        </w:pBdr>
      </w:pPr>
      <w:r>
        <w:t>13.4 Self-Pay and Bad Debt Management</w:t>
      </w:r>
    </w:p>
    <w:p w14:paraId="4198C6E0" w14:textId="77777777" w:rsidR="00772358" w:rsidRDefault="00000000">
      <w:pPr>
        <w:spacing w:before="60" w:after="120" w:line="280" w:lineRule="auto"/>
        <w:jc w:val="both"/>
      </w:pPr>
      <w:r>
        <w:t>Self-pay patients — uninsured patients and insured patients with large deductibles — represent the highest-risk patient financial segment. Best-practice self-pay management includes:</w:t>
      </w:r>
    </w:p>
    <w:p w14:paraId="1D1256E5" w14:textId="77777777" w:rsidR="00772358" w:rsidRDefault="00000000">
      <w:pPr>
        <w:spacing w:before="60" w:after="120" w:line="280" w:lineRule="auto"/>
        <w:jc w:val="both"/>
      </w:pPr>
      <w:r>
        <w:rPr>
          <w:b/>
          <w:bCs/>
          <w:color w:val="0B4F6C"/>
        </w:rPr>
        <w:t>Medicaid presumptive eligibility:</w:t>
      </w:r>
      <w:r>
        <w:t xml:space="preserve"> Using clinical intake data to presume Medicaid eligibility and begin </w:t>
      </w:r>
      <w:proofErr w:type="spellStart"/>
      <w:r>
        <w:t>enrollment</w:t>
      </w:r>
      <w:proofErr w:type="spellEnd"/>
      <w:r>
        <w:t xml:space="preserve"> before formal application, converting self-pay encounters to Medicaid claims.</w:t>
      </w:r>
    </w:p>
    <w:p w14:paraId="639C48A9" w14:textId="77777777" w:rsidR="00772358" w:rsidRDefault="00000000">
      <w:pPr>
        <w:spacing w:before="60" w:after="120" w:line="280" w:lineRule="auto"/>
        <w:jc w:val="both"/>
      </w:pPr>
      <w:r>
        <w:rPr>
          <w:b/>
          <w:bCs/>
          <w:color w:val="0B4F6C"/>
        </w:rPr>
        <w:t>Charity care programs:</w:t>
      </w:r>
      <w:r>
        <w:t xml:space="preserve"> Clearly defined income-based financial assistance policies (required for 501(c)(3) hospitals under IRS and ACA requirements), with proactive screening at registration and at billing.</w:t>
      </w:r>
    </w:p>
    <w:p w14:paraId="7D9C6172" w14:textId="77777777" w:rsidR="00772358" w:rsidRDefault="00000000">
      <w:pPr>
        <w:spacing w:before="60" w:after="120" w:line="280" w:lineRule="auto"/>
        <w:jc w:val="both"/>
      </w:pPr>
      <w:r>
        <w:rPr>
          <w:b/>
          <w:bCs/>
          <w:color w:val="0B4F6C"/>
        </w:rPr>
        <w:t>Payment plans:</w:t>
      </w:r>
      <w:r>
        <w:t xml:space="preserve"> Flexible, interest-free payment plan options for patients with large balances. Monthly payment plans of $100–$250 are often sustainable for patients who cannot pay large balances upfront.</w:t>
      </w:r>
    </w:p>
    <w:p w14:paraId="73533B63" w14:textId="77777777" w:rsidR="00772358" w:rsidRDefault="00000000">
      <w:pPr>
        <w:spacing w:before="60" w:after="120" w:line="280" w:lineRule="auto"/>
        <w:jc w:val="both"/>
      </w:pPr>
      <w:r>
        <w:rPr>
          <w:b/>
          <w:bCs/>
          <w:color w:val="0B4F6C"/>
        </w:rPr>
        <w:t>Early-out collection:</w:t>
      </w:r>
      <w:r>
        <w:t xml:space="preserve"> Working self-pay balances aggressively in the first 90 days before placing accounts with collection agencies — when collection rates are highest and cost-to-collect is lowest.</w:t>
      </w:r>
    </w:p>
    <w:p w14:paraId="5B1A313C" w14:textId="77777777" w:rsidR="00772358" w:rsidRDefault="00000000">
      <w:pPr>
        <w:pStyle w:val="Heading2"/>
        <w:pBdr>
          <w:bottom w:val="single" w:sz="4" w:space="2" w:color="E8A020"/>
        </w:pBdr>
      </w:pPr>
      <w:r>
        <w:t>Questions for Leadership</w:t>
      </w:r>
    </w:p>
    <w:p w14:paraId="16DFB6C5" w14:textId="77777777" w:rsidR="00772358" w:rsidRDefault="00000000">
      <w:pPr>
        <w:spacing w:before="60" w:after="120" w:line="280" w:lineRule="auto"/>
        <w:jc w:val="both"/>
      </w:pPr>
      <w:r>
        <w:t>What is the organisation's current point-of-service collection rate, and is there a pre-service financial counselling workflow that engages patients before the date of service? Is the hospital price transparency MRF accurate, machine-readable, and compliant with the current CMS requirement specifications? What percentage of self-pay patients who qualify for charity care are actually receiving it?</w:t>
      </w:r>
    </w:p>
    <w:p w14:paraId="1F737398" w14:textId="77777777" w:rsidR="00772358" w:rsidRDefault="00000000">
      <w:pPr>
        <w:spacing w:before="60" w:after="120" w:line="280" w:lineRule="auto"/>
        <w:jc w:val="both"/>
      </w:pPr>
      <w:r>
        <w:rPr>
          <w:i/>
          <w:iCs/>
        </w:rPr>
        <w:t>Chapter 13 complete.</w:t>
      </w:r>
    </w:p>
    <w:p w14:paraId="2B264165" w14:textId="77777777" w:rsidR="00772358" w:rsidRDefault="00000000">
      <w:r>
        <w:br/>
      </w:r>
    </w:p>
    <w:p w14:paraId="75A79BDA" w14:textId="77777777" w:rsidR="00772358" w:rsidRDefault="00000000">
      <w:pPr>
        <w:pStyle w:val="Heading1"/>
        <w:pBdr>
          <w:bottom w:val="single" w:sz="8" w:space="4" w:color="E8A020"/>
        </w:pBdr>
        <w:shd w:val="clear" w:color="auto" w:fill="0B4F6C"/>
        <w:ind w:left="160" w:right="160"/>
      </w:pPr>
      <w:r>
        <w:t>Chapter 14: Healthcare Analytics, Benchmarking &amp; Performance Intelligence</w:t>
      </w:r>
    </w:p>
    <w:p w14:paraId="3A12E412"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0DAEDD10" w14:textId="77777777">
        <w:tblPrEx>
          <w:tblCellMar>
            <w:top w:w="0" w:type="dxa"/>
            <w:bottom w:w="0" w:type="dxa"/>
          </w:tblCellMar>
        </w:tblPrEx>
        <w:tc>
          <w:tcPr>
            <w:tcW w:w="9360" w:type="dxa"/>
            <w:tcBorders>
              <w:top w:val="single" w:sz="6" w:space="0" w:color="17A8C8"/>
              <w:left w:val="single" w:sz="18" w:space="0" w:color="17A8C8"/>
              <w:bottom w:val="single" w:sz="6" w:space="0" w:color="17A8C8"/>
              <w:right w:val="single" w:sz="6" w:space="0" w:color="17A8C8"/>
            </w:tcBorders>
            <w:shd w:val="clear" w:color="auto" w:fill="E8F8FC"/>
            <w:tcMar>
              <w:top w:w="140" w:type="dxa"/>
              <w:left w:w="200" w:type="dxa"/>
              <w:bottom w:w="140" w:type="dxa"/>
              <w:right w:w="200" w:type="dxa"/>
            </w:tcMar>
          </w:tcPr>
          <w:p w14:paraId="01C45358" w14:textId="77777777" w:rsidR="00772358" w:rsidRDefault="00000000">
            <w:pPr>
              <w:spacing w:after="80"/>
            </w:pPr>
            <w:r>
              <w:rPr>
                <w:b/>
                <w:bCs/>
                <w:color w:val="E8A020"/>
                <w:sz w:val="17"/>
                <w:szCs w:val="17"/>
              </w:rPr>
              <w:t>EXECUTIVE SUMMARY</w:t>
            </w:r>
          </w:p>
          <w:p w14:paraId="63BE1169" w14:textId="77777777" w:rsidR="00772358" w:rsidRDefault="00000000">
            <w:pPr>
              <w:jc w:val="both"/>
            </w:pPr>
            <w:r>
              <w:rPr>
                <w:i/>
                <w:iCs/>
                <w:sz w:val="20"/>
                <w:szCs w:val="20"/>
              </w:rPr>
              <w:t>Healthcare analytics has evolved from retrospective financial reporting to real-time operational intelligence and predictive clinical decision support. The organisations that use analytics most effectively — that have unified data platforms, clear metric hierarchies, and a culture of data-informed decision-making — consistently outperform on both financial and clinical outcome dimensions. This chapter provides the analytics architecture, benchmarking framework, and AI analytics opportunity for healthcare operations.</w:t>
            </w:r>
          </w:p>
        </w:tc>
      </w:tr>
    </w:tbl>
    <w:p w14:paraId="08637938" w14:textId="77777777" w:rsidR="00772358" w:rsidRDefault="00772358">
      <w:pPr>
        <w:spacing w:after="80"/>
      </w:pPr>
    </w:p>
    <w:p w14:paraId="6B2E1AFB" w14:textId="77777777" w:rsidR="00772358" w:rsidRDefault="00000000">
      <w:pPr>
        <w:pStyle w:val="Heading2"/>
        <w:pBdr>
          <w:bottom w:val="single" w:sz="4" w:space="2" w:color="E8A020"/>
        </w:pBdr>
      </w:pPr>
      <w:r>
        <w:t>14.1 The Healthcare Analytics Architecture</w:t>
      </w:r>
    </w:p>
    <w:p w14:paraId="62CDED84" w14:textId="77777777" w:rsidR="00772358" w:rsidRDefault="00000000">
      <w:pPr>
        <w:spacing w:before="60" w:after="120" w:line="280" w:lineRule="auto"/>
        <w:jc w:val="both"/>
      </w:pPr>
      <w:r>
        <w:t>The healthcare analytics architecture spans five layers, from raw operational data to executive strategic intelligence.</w:t>
      </w:r>
    </w:p>
    <w:p w14:paraId="111DD52C" w14:textId="77777777" w:rsidR="00772358" w:rsidRDefault="00000000">
      <w:pPr>
        <w:spacing w:before="60" w:after="120" w:line="280" w:lineRule="auto"/>
        <w:jc w:val="both"/>
      </w:pPr>
      <w:r>
        <w:rPr>
          <w:b/>
          <w:bCs/>
          <w:color w:val="0B4F6C"/>
        </w:rPr>
        <w:t>Layer 1 — Data Sources:</w:t>
      </w:r>
      <w:r>
        <w:t xml:space="preserve"> EHR clinical data, claims and billing data, eligibility and </w:t>
      </w:r>
      <w:proofErr w:type="spellStart"/>
      <w:r>
        <w:t>enrollment</w:t>
      </w:r>
      <w:proofErr w:type="spellEnd"/>
      <w:r>
        <w:t xml:space="preserve"> data, pharmacy data, lab and imaging data, quality measure data, and financial data. The fragmentation of healthcare data across disparate systems is the primary analytics infrastructure challenge.</w:t>
      </w:r>
    </w:p>
    <w:p w14:paraId="4087A1E5" w14:textId="77777777" w:rsidR="00772358" w:rsidRDefault="00000000">
      <w:pPr>
        <w:spacing w:before="60" w:after="120" w:line="280" w:lineRule="auto"/>
        <w:jc w:val="both"/>
      </w:pPr>
      <w:r>
        <w:rPr>
          <w:b/>
          <w:bCs/>
          <w:color w:val="0B4F6C"/>
        </w:rPr>
        <w:t>Layer 2 — Data Integration:</w:t>
      </w:r>
      <w:r>
        <w:t xml:space="preserve"> ETL (Extract, Transform, Load) pipelines, HL7 FHIR interfaces, EDI transaction processing, and master data management (patient matching, provider directory, code mapping). The OMOP Common Data Model is the standardisation framework used for multi-institutional research and analytics.</w:t>
      </w:r>
    </w:p>
    <w:p w14:paraId="2E5AAEC6" w14:textId="77777777" w:rsidR="00772358" w:rsidRDefault="00000000">
      <w:pPr>
        <w:spacing w:before="60" w:after="120" w:line="280" w:lineRule="auto"/>
        <w:jc w:val="both"/>
      </w:pPr>
      <w:r>
        <w:rPr>
          <w:b/>
          <w:bCs/>
          <w:color w:val="0B4F6C"/>
        </w:rPr>
        <w:t>Layer 3 — Data Platform:</w:t>
      </w:r>
      <w:r>
        <w:t xml:space="preserve"> Cloud-based data warehouses (Snowflake, Databricks, Azure Synapse), healthcare-specific analytics platforms (Health Catalyst, </w:t>
      </w:r>
      <w:proofErr w:type="spellStart"/>
      <w:r>
        <w:t>Lightbeam</w:t>
      </w:r>
      <w:proofErr w:type="spellEnd"/>
      <w:r>
        <w:t>, Arcadia), and clinical data repositories. The data platform must support both SQL-based analytics for operational reporting and ML model development for predictive analytics.</w:t>
      </w:r>
    </w:p>
    <w:p w14:paraId="67EFC0F0" w14:textId="77777777" w:rsidR="00772358" w:rsidRDefault="00000000">
      <w:pPr>
        <w:spacing w:before="60" w:after="120" w:line="280" w:lineRule="auto"/>
        <w:jc w:val="both"/>
      </w:pPr>
      <w:r>
        <w:rPr>
          <w:b/>
          <w:bCs/>
          <w:color w:val="0B4F6C"/>
        </w:rPr>
        <w:t>Layer 4 — Analytics and Visualisation:</w:t>
      </w:r>
      <w:r>
        <w:t xml:space="preserve"> Business intelligence tools (Power BI, Tableau, Qlik), clinical dashboards (EHR-embedded quality dashboards, care management dashboards), and executive scorecards. Role-based access ensures that analysts, clinicians, and executives see the data relevant to their decision-making context.</w:t>
      </w:r>
    </w:p>
    <w:p w14:paraId="73C99D50" w14:textId="77777777" w:rsidR="00772358" w:rsidRDefault="00000000">
      <w:pPr>
        <w:spacing w:before="60" w:after="120" w:line="280" w:lineRule="auto"/>
        <w:jc w:val="both"/>
      </w:pPr>
      <w:r>
        <w:rPr>
          <w:b/>
          <w:bCs/>
          <w:color w:val="0B4F6C"/>
        </w:rPr>
        <w:t>Layer 5 — AI and Machine Learning:</w:t>
      </w:r>
      <w:r>
        <w:t xml:space="preserve"> Predictive models (readmission risk, denial probability, sepsis early warning), NLP (CDI, coding review, patient communication), and decision support tools (protocol recommendations, care gap identification).</w:t>
      </w:r>
    </w:p>
    <w:p w14:paraId="18A4F602" w14:textId="77777777" w:rsidR="00772358" w:rsidRDefault="00000000">
      <w:pPr>
        <w:pStyle w:val="Heading2"/>
        <w:pBdr>
          <w:bottom w:val="single" w:sz="4" w:space="2" w:color="E8A020"/>
        </w:pBdr>
      </w:pPr>
      <w:r>
        <w:t>14.2 Benchmarking Frameworks</w:t>
      </w:r>
    </w:p>
    <w:p w14:paraId="0B7E6C98" w14:textId="77777777" w:rsidR="00772358" w:rsidRDefault="00000000">
      <w:pPr>
        <w:spacing w:before="60" w:after="120" w:line="280" w:lineRule="auto"/>
        <w:jc w:val="both"/>
      </w:pPr>
      <w:r>
        <w:t>Benchmarking — comparing organisational performance against peer institutions and national standards — identifies improvement opportunities and enables realistic goal-setting.</w:t>
      </w:r>
    </w:p>
    <w:p w14:paraId="0C18A9BC" w14:textId="77777777" w:rsidR="00772358" w:rsidRDefault="00000000">
      <w:pPr>
        <w:spacing w:before="60" w:after="120" w:line="280" w:lineRule="auto"/>
        <w:jc w:val="both"/>
      </w:pPr>
      <w:r>
        <w:rPr>
          <w:b/>
          <w:bCs/>
          <w:color w:val="0B4F6C"/>
        </w:rPr>
        <w:t>Revenue cycle benchmarks:</w:t>
      </w:r>
      <w:r>
        <w:t xml:space="preserve"> MGMA, HFMA, and Advisory Board publish annual benchmarks for AR days, denial rates, clean claim rates, cost to collect, and POS collection rates. Best-practice targets are routinely 20–30% better than industry averages.</w:t>
      </w:r>
    </w:p>
    <w:p w14:paraId="293452B6" w14:textId="77777777" w:rsidR="00772358" w:rsidRDefault="00000000">
      <w:pPr>
        <w:spacing w:before="60" w:after="120" w:line="280" w:lineRule="auto"/>
        <w:jc w:val="both"/>
      </w:pPr>
      <w:r>
        <w:rPr>
          <w:b/>
          <w:bCs/>
          <w:color w:val="0B4F6C"/>
        </w:rPr>
        <w:t>Clinical quality benchmarks:</w:t>
      </w:r>
      <w:r>
        <w:t xml:space="preserve"> AHRQ patient safety indicators, CMS process and outcome measures, Leapfrog Hospital Safety Grades, and US News &amp; World Report rankings provide clinical quality benchmarking across diagnoses, procedures, and safety domains.</w:t>
      </w:r>
    </w:p>
    <w:p w14:paraId="5755D98C" w14:textId="77777777" w:rsidR="00772358" w:rsidRDefault="00000000">
      <w:pPr>
        <w:spacing w:before="60" w:after="120" w:line="280" w:lineRule="auto"/>
        <w:jc w:val="both"/>
      </w:pPr>
      <w:r>
        <w:rPr>
          <w:b/>
          <w:bCs/>
          <w:color w:val="0B4F6C"/>
        </w:rPr>
        <w:t>Operational efficiency benchmarks:</w:t>
      </w:r>
      <w:r>
        <w:t xml:space="preserve"> Productivity standards for coders (charts per hour by encounter type), CDI specialists (charts reviewed per day), denial management specialists (appeals per day), and eligibility verifiers (verifications per hour).</w:t>
      </w:r>
    </w:p>
    <w:p w14:paraId="1387AA00" w14:textId="77777777" w:rsidR="00772358" w:rsidRDefault="00000000">
      <w:pPr>
        <w:pStyle w:val="Heading2"/>
        <w:pBdr>
          <w:bottom w:val="single" w:sz="4" w:space="2" w:color="E8A020"/>
        </w:pBdr>
      </w:pPr>
      <w:r>
        <w:t>14.3 Key Healthcare Performance Dashboards</w:t>
      </w:r>
    </w:p>
    <w:p w14:paraId="5691892E" w14:textId="77777777" w:rsidR="00772358" w:rsidRDefault="00000000">
      <w:pPr>
        <w:spacing w:before="60" w:after="120" w:line="280" w:lineRule="auto"/>
        <w:jc w:val="both"/>
      </w:pPr>
      <w:r>
        <w:rPr>
          <w:b/>
          <w:bCs/>
          <w:color w:val="0B4F6C"/>
        </w:rPr>
        <w:t>CEO/CFO Dashboard:</w:t>
      </w:r>
      <w:r>
        <w:t xml:space="preserve"> Revenue trend (gross revenue, net revenue, contractual adjustments), operating margin, AR days, cash collections, and quality star ratings. Monthly cadence with year-over-year comparison.</w:t>
      </w:r>
    </w:p>
    <w:p w14:paraId="284898FB" w14:textId="77777777" w:rsidR="00772358" w:rsidRDefault="00000000">
      <w:pPr>
        <w:spacing w:before="60" w:after="120" w:line="280" w:lineRule="auto"/>
        <w:jc w:val="both"/>
      </w:pPr>
      <w:r>
        <w:rPr>
          <w:b/>
          <w:bCs/>
          <w:color w:val="0B4F6C"/>
        </w:rPr>
        <w:t>RCM Operations Dashboard:</w:t>
      </w:r>
      <w:r>
        <w:t xml:space="preserve"> Clean claim rate, denial rate by category and payer, AR aging, cost to collect, authorisation compliance rate, and coding accuracy rate. Weekly to daily cadence for operational management.</w:t>
      </w:r>
    </w:p>
    <w:p w14:paraId="0421A4E9" w14:textId="77777777" w:rsidR="00772358" w:rsidRDefault="00000000">
      <w:pPr>
        <w:spacing w:before="60" w:after="120" w:line="280" w:lineRule="auto"/>
        <w:jc w:val="both"/>
      </w:pPr>
      <w:r>
        <w:rPr>
          <w:b/>
          <w:bCs/>
          <w:color w:val="0B4F6C"/>
        </w:rPr>
        <w:t>Clinical Quality Dashboard:</w:t>
      </w:r>
      <w:r>
        <w:t xml:space="preserve"> Core measure performance (CMS, TJC), readmission rate by DRG, patient safety indicator rates, HCAHPS scores, and care gap closure rates. Monthly cadence.</w:t>
      </w:r>
    </w:p>
    <w:p w14:paraId="19C03C50" w14:textId="77777777" w:rsidR="00772358" w:rsidRDefault="00000000">
      <w:pPr>
        <w:spacing w:before="60" w:after="120" w:line="280" w:lineRule="auto"/>
        <w:jc w:val="both"/>
      </w:pPr>
      <w:r>
        <w:rPr>
          <w:b/>
          <w:bCs/>
          <w:color w:val="0B4F6C"/>
        </w:rPr>
        <w:t>Population Health Dashboard:</w:t>
      </w:r>
      <w:r>
        <w:t xml:space="preserve"> Risk tier distribution, care management engagement rates, care gap closure by measure, high-risk patient identification, and </w:t>
      </w:r>
      <w:proofErr w:type="spellStart"/>
      <w:r>
        <w:t>SDoH</w:t>
      </w:r>
      <w:proofErr w:type="spellEnd"/>
      <w:r>
        <w:t xml:space="preserve"> flag rates. Monthly cadence with provider-level drill-down.</w:t>
      </w:r>
    </w:p>
    <w:p w14:paraId="7ED68F57" w14:textId="77777777" w:rsidR="00772358" w:rsidRDefault="00000000">
      <w:pPr>
        <w:pStyle w:val="Heading2"/>
        <w:pBdr>
          <w:bottom w:val="single" w:sz="4" w:space="2" w:color="E8A020"/>
        </w:pBdr>
      </w:pPr>
      <w:r>
        <w:t>14.4 AI-Powered Analytics in Healthcare</w:t>
      </w:r>
    </w:p>
    <w:p w14:paraId="08460B59" w14:textId="77777777" w:rsidR="00772358" w:rsidRDefault="00000000">
      <w:pPr>
        <w:spacing w:before="60" w:after="120" w:line="280" w:lineRule="auto"/>
        <w:jc w:val="both"/>
      </w:pPr>
      <w:r>
        <w:rPr>
          <w:b/>
          <w:bCs/>
          <w:color w:val="0B4F6C"/>
        </w:rPr>
        <w:t>Predictive denial management:</w:t>
      </w:r>
      <w:r>
        <w:t xml:space="preserve"> ML models trained on claims history, payer behaviour, clinical data, and coding patterns predict which claims will be denied before submission — enabling proactive intervention.</w:t>
      </w:r>
    </w:p>
    <w:p w14:paraId="022E09DC" w14:textId="77777777" w:rsidR="00772358" w:rsidRDefault="00000000">
      <w:pPr>
        <w:spacing w:before="60" w:after="120" w:line="280" w:lineRule="auto"/>
        <w:jc w:val="both"/>
      </w:pPr>
      <w:r>
        <w:rPr>
          <w:b/>
          <w:bCs/>
          <w:color w:val="0B4F6C"/>
        </w:rPr>
        <w:t>Readmission prediction:</w:t>
      </w:r>
      <w:r>
        <w:t xml:space="preserve"> Models that identify patients at high risk of 30-day readmission at the time of discharge, enabling targeted transitional care interventions. Leading models achieve AUC of 0.75–0.85 for 30-day readmission prediction.</w:t>
      </w:r>
    </w:p>
    <w:p w14:paraId="3B3CFD10" w14:textId="77777777" w:rsidR="00772358" w:rsidRDefault="00000000">
      <w:pPr>
        <w:spacing w:before="60" w:after="120" w:line="280" w:lineRule="auto"/>
        <w:jc w:val="both"/>
      </w:pPr>
      <w:r>
        <w:rPr>
          <w:b/>
          <w:bCs/>
          <w:color w:val="0B4F6C"/>
        </w:rPr>
        <w:t>Sepsis early warning:</w:t>
      </w:r>
      <w:r>
        <w:t xml:space="preserve"> AI tools that continuously monitor vital signs, lab results, and clinical documentation in hospitalised patients to detect sepsis deterioration 6–12 hours before clinical recognition — when intervention is most effective.</w:t>
      </w:r>
    </w:p>
    <w:p w14:paraId="2DC514E0" w14:textId="77777777" w:rsidR="00772358" w:rsidRDefault="00000000">
      <w:pPr>
        <w:spacing w:before="60" w:after="120" w:line="280" w:lineRule="auto"/>
        <w:jc w:val="both"/>
      </w:pPr>
      <w:r>
        <w:rPr>
          <w:b/>
          <w:bCs/>
          <w:color w:val="0B4F6C"/>
        </w:rPr>
        <w:t>No-show prediction:</w:t>
      </w:r>
      <w:r>
        <w:t xml:space="preserve"> Models that predict appointment no-shows based on patient history, appointment characteristics, and socioeconomic factors — enabling proactive reminders and overbooking optimisation.</w:t>
      </w:r>
    </w:p>
    <w:p w14:paraId="7CBE997B" w14:textId="77777777" w:rsidR="00772358" w:rsidRDefault="00000000">
      <w:pPr>
        <w:pStyle w:val="Heading2"/>
        <w:pBdr>
          <w:bottom w:val="single" w:sz="4" w:space="2" w:color="E8A020"/>
        </w:pBdr>
      </w:pPr>
      <w:r>
        <w:t>Questions for Leadership</w:t>
      </w:r>
    </w:p>
    <w:p w14:paraId="37130828" w14:textId="77777777" w:rsidR="00772358" w:rsidRDefault="00000000">
      <w:pPr>
        <w:spacing w:before="60" w:after="120" w:line="280" w:lineRule="auto"/>
        <w:jc w:val="both"/>
      </w:pPr>
      <w:r>
        <w:t>Is the organisation's analytics platform unified — providing a single source of truth for financial, clinical, and operational data — or fragmented across departmental data silos? Are the five most important operational metrics for each function (RCM, care management, quality, population health) reviewed at a defined cadence with accountability owners? Has the organisation deployed any AI analytics tools, and has the ROI of those deployments been measured?</w:t>
      </w:r>
    </w:p>
    <w:p w14:paraId="702CC5C3" w14:textId="77777777" w:rsidR="00772358" w:rsidRDefault="00000000">
      <w:pPr>
        <w:spacing w:before="60" w:after="120" w:line="280" w:lineRule="auto"/>
        <w:jc w:val="both"/>
      </w:pPr>
      <w:r>
        <w:rPr>
          <w:i/>
          <w:iCs/>
        </w:rPr>
        <w:t>Chapter 14 complete.</w:t>
      </w:r>
    </w:p>
    <w:p w14:paraId="00ABC4E0" w14:textId="77777777" w:rsidR="00772358" w:rsidRDefault="00000000">
      <w:r>
        <w:br/>
      </w:r>
    </w:p>
    <w:p w14:paraId="58AC82BD" w14:textId="77777777" w:rsidR="00772358" w:rsidRDefault="00000000">
      <w:pPr>
        <w:shd w:val="clear" w:color="auto" w:fill="072D3D"/>
        <w:spacing w:after="100"/>
        <w:jc w:val="center"/>
      </w:pPr>
      <w:r>
        <w:rPr>
          <w:b/>
          <w:bCs/>
          <w:color w:val="E8A020"/>
          <w:sz w:val="24"/>
          <w:szCs w:val="24"/>
        </w:rPr>
        <w:t>PART VI</w:t>
      </w:r>
    </w:p>
    <w:p w14:paraId="6D2083CB" w14:textId="77777777" w:rsidR="00772358" w:rsidRDefault="00000000">
      <w:pPr>
        <w:pBdr>
          <w:bottom w:val="single" w:sz="8" w:space="8" w:color="E8A020"/>
        </w:pBdr>
        <w:shd w:val="clear" w:color="auto" w:fill="072D3D"/>
        <w:spacing w:after="600"/>
        <w:jc w:val="center"/>
      </w:pPr>
      <w:r>
        <w:rPr>
          <w:b/>
          <w:bCs/>
          <w:color w:val="FFFFFF"/>
          <w:sz w:val="44"/>
          <w:szCs w:val="44"/>
        </w:rPr>
        <w:t>Compliance &amp; Governance</w:t>
      </w:r>
    </w:p>
    <w:p w14:paraId="136D0713" w14:textId="77777777" w:rsidR="00772358" w:rsidRDefault="00000000">
      <w:r>
        <w:br/>
      </w:r>
    </w:p>
    <w:p w14:paraId="58B50EFC" w14:textId="77777777" w:rsidR="00772358" w:rsidRDefault="00000000">
      <w:pPr>
        <w:pStyle w:val="Heading1"/>
        <w:pBdr>
          <w:bottom w:val="single" w:sz="8" w:space="4" w:color="E8A020"/>
        </w:pBdr>
        <w:shd w:val="clear" w:color="auto" w:fill="0B4F6C"/>
        <w:ind w:left="160" w:right="160"/>
      </w:pPr>
      <w:r>
        <w:t>Chapter 15: Compliance, Regulatory Affairs &amp; HIPAA Governance</w:t>
      </w:r>
    </w:p>
    <w:p w14:paraId="350CC465"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36D63290" w14:textId="77777777">
        <w:tblPrEx>
          <w:tblCellMar>
            <w:top w:w="0" w:type="dxa"/>
            <w:bottom w:w="0" w:type="dxa"/>
          </w:tblCellMar>
        </w:tblPrEx>
        <w:tc>
          <w:tcPr>
            <w:tcW w:w="9360" w:type="dxa"/>
            <w:tcBorders>
              <w:top w:val="single" w:sz="6" w:space="0" w:color="17A8C8"/>
              <w:left w:val="single" w:sz="18" w:space="0" w:color="17A8C8"/>
              <w:bottom w:val="single" w:sz="6" w:space="0" w:color="17A8C8"/>
              <w:right w:val="single" w:sz="6" w:space="0" w:color="17A8C8"/>
            </w:tcBorders>
            <w:shd w:val="clear" w:color="auto" w:fill="E8F8FC"/>
            <w:tcMar>
              <w:top w:w="140" w:type="dxa"/>
              <w:left w:w="200" w:type="dxa"/>
              <w:bottom w:w="140" w:type="dxa"/>
              <w:right w:w="200" w:type="dxa"/>
            </w:tcMar>
          </w:tcPr>
          <w:p w14:paraId="45D73148" w14:textId="77777777" w:rsidR="00772358" w:rsidRDefault="00000000">
            <w:pPr>
              <w:spacing w:after="80"/>
            </w:pPr>
            <w:r>
              <w:rPr>
                <w:b/>
                <w:bCs/>
                <w:color w:val="E8A020"/>
                <w:sz w:val="17"/>
                <w:szCs w:val="17"/>
              </w:rPr>
              <w:t>EXECUTIVE SUMMARY</w:t>
            </w:r>
          </w:p>
          <w:p w14:paraId="6B8A61C8" w14:textId="77777777" w:rsidR="00772358" w:rsidRDefault="00000000">
            <w:pPr>
              <w:jc w:val="both"/>
            </w:pPr>
            <w:r>
              <w:rPr>
                <w:i/>
                <w:iCs/>
                <w:sz w:val="20"/>
                <w:szCs w:val="20"/>
              </w:rPr>
              <w:t>Healthcare compliance is not a bureaucratic overlay — it is a material financial and operational risk management function. HIPAA violations, Stark Law and Anti-Kickback Statute exposure, False Claims Act liability, CMS Conditions of Participation deficiencies, and state regulatory actions collectively cost the US healthcare industry billions annually in penalties, settlements, and remediation costs. This chapter provides the compliance architecture for healthcare organisations and GCCs.</w:t>
            </w:r>
          </w:p>
        </w:tc>
      </w:tr>
    </w:tbl>
    <w:p w14:paraId="525E905C" w14:textId="77777777" w:rsidR="00772358" w:rsidRDefault="00772358">
      <w:pPr>
        <w:spacing w:after="80"/>
      </w:pPr>
    </w:p>
    <w:p w14:paraId="10D4EF4B" w14:textId="77777777" w:rsidR="00772358" w:rsidRDefault="00000000">
      <w:pPr>
        <w:pStyle w:val="Heading2"/>
        <w:pBdr>
          <w:bottom w:val="single" w:sz="4" w:space="2" w:color="E8A020"/>
        </w:pBdr>
      </w:pPr>
      <w:r>
        <w:t>15.1 HIPAA Compliance Architecture</w:t>
      </w:r>
    </w:p>
    <w:p w14:paraId="53ECC9DD" w14:textId="77777777" w:rsidR="00772358" w:rsidRDefault="00000000">
      <w:pPr>
        <w:spacing w:before="60" w:after="120" w:line="280" w:lineRule="auto"/>
        <w:jc w:val="both"/>
      </w:pPr>
      <w:r>
        <w:t xml:space="preserve">The Health Insurance Portability and Accountability Act </w:t>
      </w:r>
      <w:proofErr w:type="gramStart"/>
      <w:r>
        <w:t>creates</w:t>
      </w:r>
      <w:proofErr w:type="gramEnd"/>
      <w:r>
        <w:t xml:space="preserve"> requirements across three rules:</w:t>
      </w:r>
    </w:p>
    <w:p w14:paraId="3E091746" w14:textId="77777777" w:rsidR="00772358" w:rsidRDefault="00000000">
      <w:pPr>
        <w:spacing w:before="60" w:after="120" w:line="280" w:lineRule="auto"/>
        <w:jc w:val="both"/>
      </w:pPr>
      <w:r>
        <w:rPr>
          <w:b/>
          <w:bCs/>
          <w:color w:val="0B4F6C"/>
        </w:rPr>
        <w:t>Privacy Rule:</w:t>
      </w:r>
      <w:r>
        <w:t xml:space="preserve"> Governs the use and disclosure of Protected Health Information (PHI). Patients have rights to access their records, request amendments, and receive an accounting of disclosures. Healthcare organisations must designate a Privacy Officer, develop privacy policies and procedures, train workforce, and establish business associate agreements with vendors who handle PHI.</w:t>
      </w:r>
    </w:p>
    <w:p w14:paraId="7DCEB929" w14:textId="77777777" w:rsidR="00772358" w:rsidRDefault="00000000">
      <w:pPr>
        <w:spacing w:before="60" w:after="120" w:line="280" w:lineRule="auto"/>
        <w:jc w:val="both"/>
      </w:pPr>
      <w:r>
        <w:rPr>
          <w:b/>
          <w:bCs/>
          <w:color w:val="0B4F6C"/>
        </w:rPr>
        <w:t>Security Rule:</w:t>
      </w:r>
      <w:r>
        <w:t xml:space="preserve"> Requires administrative, physical, and technical safeguards for Electronic Protected Health Information (ePHI). Risk analysis — identifying and assessing risks to ePHI — is the foundational requirement. Technical safeguards include access controls, audit logging, encryption, and transmission security.</w:t>
      </w:r>
    </w:p>
    <w:p w14:paraId="7EA246D6" w14:textId="77777777" w:rsidR="00772358" w:rsidRDefault="00000000">
      <w:pPr>
        <w:spacing w:before="60" w:after="120" w:line="280" w:lineRule="auto"/>
        <w:jc w:val="both"/>
      </w:pPr>
      <w:r>
        <w:rPr>
          <w:b/>
          <w:bCs/>
          <w:color w:val="0B4F6C"/>
        </w:rPr>
        <w:t>Breach Notification Rule:</w:t>
      </w:r>
      <w:r>
        <w:t xml:space="preserve"> Requires notification to affected individuals, HHS, and (for large breaches) media within 60 days of discovering a breach. Breaches affecting 500+ individuals in a state are publicly posted on HHS's "wall of shame."</w:t>
      </w:r>
    </w:p>
    <w:p w14:paraId="32848424" w14:textId="77777777" w:rsidR="00772358" w:rsidRDefault="00000000">
      <w:pPr>
        <w:spacing w:before="60" w:after="120" w:line="280" w:lineRule="auto"/>
        <w:jc w:val="both"/>
      </w:pPr>
      <w:r>
        <w:rPr>
          <w:b/>
          <w:bCs/>
          <w:color w:val="0B4F6C"/>
        </w:rPr>
        <w:t>For Healthcare GCCs:</w:t>
      </w:r>
      <w:r>
        <w:t xml:space="preserve"> GCCs processing PHI are Business Associates under HIPAA. BAAs must be executed between the covered entity (US health system or payer) and the GCC. The GCC must implement equivalent HIPAA safeguards — workforce training, access controls, audit logging, incident response — and must report breaches to the covered entity within 60 days.</w:t>
      </w:r>
    </w:p>
    <w:p w14:paraId="20CE316C" w14:textId="77777777" w:rsidR="00772358" w:rsidRDefault="00000000">
      <w:pPr>
        <w:pStyle w:val="Heading2"/>
        <w:pBdr>
          <w:bottom w:val="single" w:sz="4" w:space="2" w:color="E8A020"/>
        </w:pBdr>
      </w:pPr>
      <w:r>
        <w:t>15.2 Fraud, Waste, and Abuse</w:t>
      </w:r>
    </w:p>
    <w:p w14:paraId="214AB5A2" w14:textId="77777777" w:rsidR="00772358" w:rsidRDefault="00000000">
      <w:pPr>
        <w:spacing w:before="60" w:after="120" w:line="280" w:lineRule="auto"/>
        <w:jc w:val="both"/>
      </w:pPr>
      <w:r>
        <w:rPr>
          <w:b/>
          <w:bCs/>
          <w:color w:val="0B4F6C"/>
        </w:rPr>
        <w:t>False Claims Act:</w:t>
      </w:r>
      <w:r>
        <w:t xml:space="preserve"> Prohibits submitting false or fraudulent claims to federal healthcare programs (Medicare, Medicaid). Penalties include exclusion from Medicare/Medicaid, treble damages, and per-claim penalties ($13,000–$26,000 per false claim). The FCA whistleblower (qui tam) provision enables employees to file suit on behalf of the government and receive 15–30% of recovered funds.</w:t>
      </w:r>
    </w:p>
    <w:p w14:paraId="4A26C092" w14:textId="77777777" w:rsidR="00772358" w:rsidRDefault="00000000">
      <w:pPr>
        <w:spacing w:before="60" w:after="120" w:line="280" w:lineRule="auto"/>
        <w:jc w:val="both"/>
      </w:pPr>
      <w:r>
        <w:rPr>
          <w:b/>
          <w:bCs/>
          <w:color w:val="0B4F6C"/>
        </w:rPr>
        <w:t>Anti-Kickback Statute (AKS):</w:t>
      </w:r>
      <w:r>
        <w:t xml:space="preserve"> Prohibits offering, paying, soliciting, or receiving remuneration in exchange for patient referrals to items or services covered by federal healthcare programs. AKS violations trigger FCA liability and potential exclusion.</w:t>
      </w:r>
    </w:p>
    <w:p w14:paraId="4BB68E22" w14:textId="77777777" w:rsidR="00772358" w:rsidRDefault="00000000">
      <w:pPr>
        <w:spacing w:before="60" w:after="120" w:line="280" w:lineRule="auto"/>
        <w:jc w:val="both"/>
      </w:pPr>
      <w:r>
        <w:rPr>
          <w:b/>
          <w:bCs/>
          <w:color w:val="0B4F6C"/>
        </w:rPr>
        <w:t>Stark Law (Physician Self-Referral Law):</w:t>
      </w:r>
      <w:r>
        <w:t xml:space="preserve"> Prohibits physician referrals for designated health services to entities with which the physician has a financial relationship, unless a specific exception applies. Unlike AKS, Stark is a strict liability statute — intent is not required.</w:t>
      </w:r>
    </w:p>
    <w:p w14:paraId="35779A2D" w14:textId="77777777" w:rsidR="00772358" w:rsidRDefault="00000000">
      <w:pPr>
        <w:spacing w:before="60" w:after="120" w:line="280" w:lineRule="auto"/>
        <w:jc w:val="both"/>
      </w:pPr>
      <w:r>
        <w:rPr>
          <w:b/>
          <w:bCs/>
          <w:color w:val="0B4F6C"/>
        </w:rPr>
        <w:t>OIG Compliance Programs:</w:t>
      </w:r>
      <w:r>
        <w:t xml:space="preserve"> The OIG publishes voluntary compliance program guidance for hospitals, physician practices, and other provider types. OIG compliance programs include written standards and policies, compliance officer designation, effective training, open lines of communication, internal monitoring and auditing, enforcement of standards, and prompt corrective action.</w:t>
      </w:r>
    </w:p>
    <w:p w14:paraId="4862726F" w14:textId="77777777" w:rsidR="00772358" w:rsidRDefault="00000000">
      <w:pPr>
        <w:pStyle w:val="Heading2"/>
        <w:pBdr>
          <w:bottom w:val="single" w:sz="4" w:space="2" w:color="E8A020"/>
        </w:pBdr>
      </w:pPr>
      <w:r>
        <w:t>15.3 CMS Conditions of Participation</w:t>
      </w:r>
    </w:p>
    <w:p w14:paraId="03CCEE1C" w14:textId="77777777" w:rsidR="00772358" w:rsidRDefault="00000000">
      <w:pPr>
        <w:spacing w:before="60" w:after="120" w:line="280" w:lineRule="auto"/>
        <w:jc w:val="both"/>
      </w:pPr>
      <w:r>
        <w:t>CMS Conditions of Participation (CoPs) establish the minimum health and safety standards that hospitals, home health agencies, hospices, and other providers must meet to participate in Medicare and Medicaid. CoP surveys are conducted by state survey agencies acting on behalf of CMS and by accreditation organisations (The Joint Commission, DNV).</w:t>
      </w:r>
    </w:p>
    <w:p w14:paraId="67D75D38" w14:textId="77777777" w:rsidR="00772358" w:rsidRDefault="00000000">
      <w:pPr>
        <w:spacing w:before="60" w:after="120" w:line="280" w:lineRule="auto"/>
        <w:jc w:val="both"/>
      </w:pPr>
      <w:r>
        <w:t>CoP deficiencies can result in immediate jeopardy findings (requiring immediate corrective action to avoid termination from Medicare), standard-level deficiencies (requiring a Plan of Correction), and civil monetary penalties.</w:t>
      </w:r>
    </w:p>
    <w:p w14:paraId="4C201E43" w14:textId="77777777" w:rsidR="00772358" w:rsidRDefault="00000000">
      <w:pPr>
        <w:pStyle w:val="Heading2"/>
        <w:pBdr>
          <w:bottom w:val="single" w:sz="4" w:space="2" w:color="E8A020"/>
        </w:pBdr>
      </w:pPr>
      <w:r>
        <w:t>15.4 GCC Compliance Infrastructure</w:t>
      </w:r>
    </w:p>
    <w:p w14:paraId="0735BFEB" w14:textId="77777777" w:rsidR="00772358" w:rsidRDefault="00000000">
      <w:pPr>
        <w:spacing w:before="60" w:after="120" w:line="280" w:lineRule="auto"/>
        <w:jc w:val="both"/>
      </w:pPr>
      <w:r>
        <w:rPr>
          <w:b/>
          <w:bCs/>
          <w:color w:val="0B4F6C"/>
        </w:rPr>
        <w:t>Regulatory monitoring:</w:t>
      </w:r>
      <w:r>
        <w:t xml:space="preserve"> GCC compliance teams track CMS rule changes (IPPS, OPPS, Physician Fee Schedule), Medicare Advantage regulation updates, state Medicaid waiver changes, and OIG Work Plan priorities — enabling timely updates to operational procedures.</w:t>
      </w:r>
    </w:p>
    <w:p w14:paraId="34104A1A" w14:textId="77777777" w:rsidR="00772358" w:rsidRDefault="00000000">
      <w:pPr>
        <w:spacing w:before="60" w:after="120" w:line="280" w:lineRule="auto"/>
        <w:jc w:val="both"/>
      </w:pPr>
      <w:r>
        <w:rPr>
          <w:b/>
          <w:bCs/>
          <w:color w:val="0B4F6C"/>
        </w:rPr>
        <w:t>Exclusion screening:</w:t>
      </w:r>
      <w:r>
        <w:t xml:space="preserve"> OIG and SAM.gov exclusion lists must be checked for all GCC employees and contractors. Monthly automated screening is the standard frequency.</w:t>
      </w:r>
    </w:p>
    <w:p w14:paraId="6FF795F8" w14:textId="77777777" w:rsidR="00772358" w:rsidRDefault="00000000">
      <w:pPr>
        <w:spacing w:before="60" w:after="120" w:line="280" w:lineRule="auto"/>
        <w:jc w:val="both"/>
      </w:pPr>
      <w:r>
        <w:rPr>
          <w:b/>
          <w:bCs/>
          <w:color w:val="0B4F6C"/>
        </w:rPr>
        <w:t>Audit management:</w:t>
      </w:r>
      <w:r>
        <w:t xml:space="preserve"> GCCs supporting compliance functions conduct pre-payment claim reviews, post-payment coding audits, denial root-cause analysis, and documentation quality reviews — feeding findings into corrective action programs.</w:t>
      </w:r>
    </w:p>
    <w:p w14:paraId="084132B9" w14:textId="77777777" w:rsidR="00772358" w:rsidRDefault="00000000">
      <w:pPr>
        <w:pStyle w:val="Heading2"/>
        <w:pBdr>
          <w:bottom w:val="single" w:sz="4" w:space="2" w:color="E8A020"/>
        </w:pBdr>
      </w:pPr>
      <w:r>
        <w:t>Questions for Leadership</w:t>
      </w:r>
    </w:p>
    <w:p w14:paraId="48439EC6" w14:textId="77777777" w:rsidR="00772358" w:rsidRDefault="00000000">
      <w:pPr>
        <w:spacing w:before="60" w:after="120" w:line="280" w:lineRule="auto"/>
        <w:jc w:val="both"/>
      </w:pPr>
      <w:r>
        <w:t>Has the organisation conducted a formal HIPAA risk analysis within the past 12 months, and are the identified risks being remediated on a defined schedule? Is the GCC's BAA current, and does it accurately reflect the scope of PHI processing activities the GCC performs? Is there an OIG exclusion screening process that covers all GCC employees monthly?</w:t>
      </w:r>
    </w:p>
    <w:p w14:paraId="652EFB47" w14:textId="77777777" w:rsidR="00772358" w:rsidRDefault="00000000">
      <w:pPr>
        <w:spacing w:before="60" w:after="120" w:line="280" w:lineRule="auto"/>
        <w:jc w:val="both"/>
      </w:pPr>
      <w:r>
        <w:rPr>
          <w:i/>
          <w:iCs/>
        </w:rPr>
        <w:t>Chapter 15 complete.</w:t>
      </w:r>
    </w:p>
    <w:p w14:paraId="566ABB77" w14:textId="77777777" w:rsidR="00772358" w:rsidRDefault="00000000">
      <w:r>
        <w:br/>
      </w:r>
    </w:p>
    <w:p w14:paraId="57A6BAEA" w14:textId="77777777" w:rsidR="00772358" w:rsidRDefault="00000000">
      <w:pPr>
        <w:pStyle w:val="Heading1"/>
        <w:pBdr>
          <w:bottom w:val="single" w:sz="8" w:space="4" w:color="E8A020"/>
        </w:pBdr>
        <w:shd w:val="clear" w:color="auto" w:fill="0B4F6C"/>
        <w:ind w:left="160" w:right="160"/>
      </w:pPr>
      <w:r>
        <w:t>Chapter 16: Digital Transformation &amp; Health IT</w:t>
      </w:r>
    </w:p>
    <w:p w14:paraId="325D986C"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2C187E75" w14:textId="77777777">
        <w:tblPrEx>
          <w:tblCellMar>
            <w:top w:w="0" w:type="dxa"/>
            <w:bottom w:w="0" w:type="dxa"/>
          </w:tblCellMar>
        </w:tblPrEx>
        <w:tc>
          <w:tcPr>
            <w:tcW w:w="9360" w:type="dxa"/>
            <w:tcBorders>
              <w:top w:val="single" w:sz="6" w:space="0" w:color="17A8C8"/>
              <w:left w:val="single" w:sz="18" w:space="0" w:color="17A8C8"/>
              <w:bottom w:val="single" w:sz="6" w:space="0" w:color="17A8C8"/>
              <w:right w:val="single" w:sz="6" w:space="0" w:color="17A8C8"/>
            </w:tcBorders>
            <w:shd w:val="clear" w:color="auto" w:fill="E8F8FC"/>
            <w:tcMar>
              <w:top w:w="140" w:type="dxa"/>
              <w:left w:w="200" w:type="dxa"/>
              <w:bottom w:w="140" w:type="dxa"/>
              <w:right w:w="200" w:type="dxa"/>
            </w:tcMar>
          </w:tcPr>
          <w:p w14:paraId="4BAD32E9" w14:textId="77777777" w:rsidR="00772358" w:rsidRDefault="00000000">
            <w:pPr>
              <w:spacing w:after="80"/>
            </w:pPr>
            <w:r>
              <w:rPr>
                <w:b/>
                <w:bCs/>
                <w:color w:val="E8A020"/>
                <w:sz w:val="17"/>
                <w:szCs w:val="17"/>
              </w:rPr>
              <w:t>EXECUTIVE SUMMARY</w:t>
            </w:r>
          </w:p>
          <w:p w14:paraId="4E870004" w14:textId="77777777" w:rsidR="00772358" w:rsidRDefault="00000000">
            <w:pPr>
              <w:jc w:val="both"/>
            </w:pPr>
            <w:r>
              <w:rPr>
                <w:i/>
                <w:iCs/>
                <w:sz w:val="20"/>
                <w:szCs w:val="20"/>
              </w:rPr>
              <w:t>Health IT is the enabling infrastructure for every transformation priority — RCM automation, population health analytics, AI deployment, GCC operations, and patient engagement. The EHR is no longer just a documentation system; it is the hub of a connected ecosystem of analytics, patient engagement, supply chain, and administrative platforms. This chapter examines the healthcare IT landscape, cloud migration strategy, cybersecurity imperatives, and the digital transformation maturity model for healthcare organisations.</w:t>
            </w:r>
          </w:p>
        </w:tc>
      </w:tr>
    </w:tbl>
    <w:p w14:paraId="42B822A6" w14:textId="77777777" w:rsidR="00772358" w:rsidRDefault="00772358">
      <w:pPr>
        <w:spacing w:after="80"/>
      </w:pPr>
    </w:p>
    <w:p w14:paraId="2D161379" w14:textId="77777777" w:rsidR="00772358" w:rsidRDefault="00000000">
      <w:pPr>
        <w:pStyle w:val="Heading2"/>
        <w:pBdr>
          <w:bottom w:val="single" w:sz="4" w:space="2" w:color="E8A020"/>
        </w:pBdr>
      </w:pPr>
      <w:r>
        <w:t>16.1 The EHR Ecosystem</w:t>
      </w:r>
    </w:p>
    <w:p w14:paraId="42F5C247" w14:textId="77777777" w:rsidR="00772358" w:rsidRDefault="00000000">
      <w:pPr>
        <w:spacing w:before="60" w:after="120" w:line="280" w:lineRule="auto"/>
        <w:jc w:val="both"/>
      </w:pPr>
      <w:r>
        <w:rPr>
          <w:b/>
          <w:bCs/>
          <w:color w:val="0B4F6C"/>
        </w:rPr>
        <w:t>Epic</w:t>
      </w:r>
      <w:r>
        <w:t xml:space="preserve"> dominates the large health system market with approximately 37% of the US hospital inpatient EHR market and 60%+ of the academic medical centre market. Epic's integrated platform — spanning inpatient, ambulatory, revenue cycle (Epic Resolute), patient engagement (MyChart), and analytics (Slicer Dicer, Clarity, Cogito) — creates a tight integration that drives high switching costs and growing functionality breadth.</w:t>
      </w:r>
    </w:p>
    <w:p w14:paraId="692AF5E8" w14:textId="77777777" w:rsidR="00772358" w:rsidRDefault="00000000">
      <w:pPr>
        <w:spacing w:before="60" w:after="120" w:line="280" w:lineRule="auto"/>
        <w:jc w:val="both"/>
      </w:pPr>
      <w:r>
        <w:rPr>
          <w:b/>
          <w:bCs/>
          <w:color w:val="0B4F6C"/>
        </w:rPr>
        <w:t>Oracle Health (formerly Cerner)</w:t>
      </w:r>
      <w:r>
        <w:t xml:space="preserve"> is the second-largest inpatient EHR vendor, with approximately 25% of the US hospital market and significant penetration in DoD/VA federal health systems. Oracle's acquisition of Cerner in 2022 is accelerating cloud migration and AI integration.</w:t>
      </w:r>
    </w:p>
    <w:p w14:paraId="3028B680" w14:textId="77777777" w:rsidR="00772358" w:rsidRDefault="00000000">
      <w:pPr>
        <w:spacing w:before="60" w:after="120" w:line="280" w:lineRule="auto"/>
        <w:jc w:val="both"/>
      </w:pPr>
      <w:r>
        <w:rPr>
          <w:b/>
          <w:bCs/>
          <w:color w:val="0B4F6C"/>
        </w:rPr>
        <w:t>Meditech</w:t>
      </w:r>
      <w:r>
        <w:t xml:space="preserve"> serves mid-size community hospitals and rural health systems. Meditech Expanse is the cloud-native platform. </w:t>
      </w:r>
      <w:proofErr w:type="spellStart"/>
      <w:r>
        <w:rPr>
          <w:b/>
          <w:bCs/>
          <w:color w:val="0B4F6C"/>
        </w:rPr>
        <w:t>Veradigm</w:t>
      </w:r>
      <w:proofErr w:type="spellEnd"/>
      <w:r>
        <w:rPr>
          <w:b/>
          <w:bCs/>
          <w:color w:val="0B4F6C"/>
        </w:rPr>
        <w:t xml:space="preserve"> (formerly Allscripts)</w:t>
      </w:r>
      <w:r>
        <w:t xml:space="preserve"> and </w:t>
      </w:r>
      <w:r>
        <w:rPr>
          <w:b/>
          <w:bCs/>
          <w:color w:val="0B4F6C"/>
        </w:rPr>
        <w:t>Athenahealth</w:t>
      </w:r>
      <w:r>
        <w:t xml:space="preserve"> serve physician practice and ambulatory markets.</w:t>
      </w:r>
    </w:p>
    <w:p w14:paraId="24EE1196" w14:textId="77777777" w:rsidR="00772358" w:rsidRDefault="00000000">
      <w:pPr>
        <w:pStyle w:val="Heading2"/>
        <w:pBdr>
          <w:bottom w:val="single" w:sz="4" w:space="2" w:color="E8A020"/>
        </w:pBdr>
      </w:pPr>
      <w:r>
        <w:t>16.2 FHIR and Interoperability</w:t>
      </w:r>
    </w:p>
    <w:p w14:paraId="5C256D19" w14:textId="77777777" w:rsidR="00772358" w:rsidRDefault="00000000">
      <w:pPr>
        <w:spacing w:before="60" w:after="120" w:line="280" w:lineRule="auto"/>
        <w:jc w:val="both"/>
      </w:pPr>
      <w:r>
        <w:t>The HL7 FHIR (Fast Healthcare Interoperability Resources) standard is the foundation of modern healthcare interoperability. FHIR APIs enable structured data exchange between EHRs, payer systems, patient engagement apps, and analytics platforms.</w:t>
      </w:r>
    </w:p>
    <w:p w14:paraId="22D74E79" w14:textId="77777777" w:rsidR="00772358" w:rsidRDefault="00000000">
      <w:pPr>
        <w:spacing w:before="60" w:after="120" w:line="280" w:lineRule="auto"/>
        <w:jc w:val="both"/>
      </w:pPr>
      <w:r>
        <w:rPr>
          <w:b/>
          <w:bCs/>
          <w:color w:val="0B4F6C"/>
        </w:rPr>
        <w:t>CMS mandates:</w:t>
      </w:r>
      <w:r>
        <w:t xml:space="preserve"> The CMS Interoperability and Patient Access Rule </w:t>
      </w:r>
      <w:proofErr w:type="gramStart"/>
      <w:r>
        <w:t>requires</w:t>
      </w:r>
      <w:proofErr w:type="gramEnd"/>
      <w:r>
        <w:t xml:space="preserve"> Medicare Advantage, Medicaid, and CHIP managed care plans to implement FHIR APIs providing patients access to their claims and clinical data. The CMS Prior Authorization Rule requires FHIR-based PA APIs for electronic submission and status checking.</w:t>
      </w:r>
    </w:p>
    <w:p w14:paraId="38EA2B22" w14:textId="77777777" w:rsidR="00772358" w:rsidRDefault="00000000">
      <w:pPr>
        <w:spacing w:before="60" w:after="120" w:line="280" w:lineRule="auto"/>
        <w:jc w:val="both"/>
      </w:pPr>
      <w:r>
        <w:rPr>
          <w:b/>
          <w:bCs/>
          <w:color w:val="0B4F6C"/>
        </w:rPr>
        <w:t>TEFCA:</w:t>
      </w:r>
      <w:r>
        <w:t xml:space="preserve"> The Trusted Exchange Framework and Common Agreement </w:t>
      </w:r>
      <w:proofErr w:type="gramStart"/>
      <w:r>
        <w:t>establishes</w:t>
      </w:r>
      <w:proofErr w:type="gramEnd"/>
      <w:r>
        <w:t xml:space="preserve"> a national network for health data exchange. TEFCA Qualified Health Information Networks (QHINs) — including </w:t>
      </w:r>
      <w:proofErr w:type="spellStart"/>
      <w:r>
        <w:t>CommonWell</w:t>
      </w:r>
      <w:proofErr w:type="spellEnd"/>
      <w:r>
        <w:t xml:space="preserve">, </w:t>
      </w:r>
      <w:proofErr w:type="spellStart"/>
      <w:r>
        <w:t>Carequality</w:t>
      </w:r>
      <w:proofErr w:type="spellEnd"/>
      <w:r>
        <w:t>, eHealth Exchange, and Epic's Care Everywhere — provide the connectivity infrastructure.</w:t>
      </w:r>
    </w:p>
    <w:p w14:paraId="0A859384" w14:textId="77777777" w:rsidR="00772358" w:rsidRDefault="00000000">
      <w:pPr>
        <w:pStyle w:val="Heading2"/>
        <w:pBdr>
          <w:bottom w:val="single" w:sz="4" w:space="2" w:color="E8A020"/>
        </w:pBdr>
      </w:pPr>
      <w:r>
        <w:t>16.3 Cloud Migration Strategy</w:t>
      </w:r>
    </w:p>
    <w:p w14:paraId="4178F277" w14:textId="77777777" w:rsidR="00772358" w:rsidRDefault="00000000">
      <w:pPr>
        <w:spacing w:before="60" w:after="120" w:line="280" w:lineRule="auto"/>
        <w:jc w:val="both"/>
      </w:pPr>
      <w:r>
        <w:t>Healthcare cloud migration is accelerating, driven by EHR vendor cloud strategies (Epic on Microsoft Azure, Oracle Health on OCI), analytics platform requirements (cloud-native data warehouses), and the scalability demands of AI and ML workloads.</w:t>
      </w:r>
    </w:p>
    <w:p w14:paraId="57FA8BF5" w14:textId="77777777" w:rsidR="00772358" w:rsidRDefault="00000000">
      <w:pPr>
        <w:spacing w:before="60" w:after="120" w:line="280" w:lineRule="auto"/>
        <w:jc w:val="both"/>
      </w:pPr>
      <w:r>
        <w:rPr>
          <w:b/>
          <w:bCs/>
          <w:color w:val="0B4F6C"/>
        </w:rPr>
        <w:t>Cloud benefits in healthcare:</w:t>
      </w:r>
      <w:r>
        <w:t xml:space="preserve"> Scalability for analytics and AI workloads, disaster recovery and business continuity, reduced infrastructure management burden, and access to cloud-native AI/ML services (AWS SageMaker, Azure OpenAI, Google Vertex AI).</w:t>
      </w:r>
    </w:p>
    <w:p w14:paraId="41D80FD8" w14:textId="77777777" w:rsidR="00772358" w:rsidRDefault="00000000">
      <w:pPr>
        <w:spacing w:before="60" w:after="120" w:line="280" w:lineRule="auto"/>
        <w:jc w:val="both"/>
      </w:pPr>
      <w:r>
        <w:rPr>
          <w:b/>
          <w:bCs/>
          <w:color w:val="0B4F6C"/>
        </w:rPr>
        <w:t>HIPAA in the cloud:</w:t>
      </w:r>
      <w:r>
        <w:t xml:space="preserve"> Major cloud providers (AWS, Azure, GCP) offer HIPAA-eligible services and will execute BAAs. However, HIPAA compliance in the cloud remains the covered entity's responsibility — cloud providers provide HIPAA-eligible infrastructure, not HIPAA compliance as a service.</w:t>
      </w:r>
    </w:p>
    <w:p w14:paraId="18E4A325" w14:textId="77777777" w:rsidR="00772358" w:rsidRDefault="00000000">
      <w:pPr>
        <w:pStyle w:val="Heading2"/>
        <w:pBdr>
          <w:bottom w:val="single" w:sz="4" w:space="2" w:color="E8A020"/>
        </w:pBdr>
      </w:pPr>
      <w:r>
        <w:t>16.4 Healthcare Cybersecurity</w:t>
      </w:r>
    </w:p>
    <w:p w14:paraId="16537578" w14:textId="77777777" w:rsidR="00772358" w:rsidRDefault="00000000">
      <w:pPr>
        <w:spacing w:before="60" w:after="120" w:line="280" w:lineRule="auto"/>
        <w:jc w:val="both"/>
      </w:pPr>
      <w:r>
        <w:t>Healthcare is the most frequently targeted sector for ransomware attacks. The 2024 Change Healthcare ransomware attack — which disrupted claims processing for the majority of US health systems for weeks — was the largest healthcare cybersecurity incident in US history, with costs estimated at $1.6 billion for UnitedHealth Group alone.</w:t>
      </w:r>
    </w:p>
    <w:p w14:paraId="1ACE4AD2" w14:textId="77777777" w:rsidR="00772358" w:rsidRDefault="00000000">
      <w:pPr>
        <w:spacing w:before="60" w:after="120" w:line="280" w:lineRule="auto"/>
        <w:jc w:val="both"/>
      </w:pPr>
      <w:r>
        <w:rPr>
          <w:b/>
          <w:bCs/>
          <w:color w:val="0B4F6C"/>
        </w:rPr>
        <w:t>Healthcare-specific threats:</w:t>
      </w:r>
      <w:r>
        <w:t xml:space="preserve"> Ransomware targeting operational technology (medical devices, building systems) in addition to IT systems; social engineering targeting healthcare workforce with phishing; nation-state actors targeting healthcare IP and research data.</w:t>
      </w:r>
    </w:p>
    <w:p w14:paraId="7719260A" w14:textId="77777777" w:rsidR="00772358" w:rsidRDefault="00000000">
      <w:pPr>
        <w:spacing w:before="60" w:after="120" w:line="280" w:lineRule="auto"/>
        <w:jc w:val="both"/>
      </w:pPr>
      <w:r>
        <w:rPr>
          <w:b/>
          <w:bCs/>
          <w:color w:val="0B4F6C"/>
        </w:rPr>
        <w:t>Critical controls:</w:t>
      </w:r>
      <w:r>
        <w:t xml:space="preserve"> Multi-factor authentication for all remote access, network segmentation between clinical and administrative systems, offline backup systems that cannot be encrypted by ransomware, incident response plans rehearsed annually, and vendor risk management programs.</w:t>
      </w:r>
    </w:p>
    <w:p w14:paraId="1AD53FFA" w14:textId="77777777" w:rsidR="00772358" w:rsidRDefault="00000000">
      <w:pPr>
        <w:pStyle w:val="Heading2"/>
        <w:pBdr>
          <w:bottom w:val="single" w:sz="4" w:space="2" w:color="E8A020"/>
        </w:pBdr>
      </w:pPr>
      <w:r>
        <w:t>Questions for Leadership</w:t>
      </w:r>
    </w:p>
    <w:p w14:paraId="0204147E" w14:textId="77777777" w:rsidR="00772358" w:rsidRDefault="00000000">
      <w:pPr>
        <w:spacing w:before="60" w:after="120" w:line="280" w:lineRule="auto"/>
        <w:jc w:val="both"/>
      </w:pPr>
      <w:r>
        <w:t>What is the organisation's EHR FHIR API implementation status — are all CMS-required FHIR capabilities live and audited? Has the cybersecurity team conducted tabletop exercises simulating a ransomware attack scenario, and does the organisation have offline backup capabilities that were tested in the past 12 months? Is the cloud migration strategy documented with a HIPAA risk assessment for each cloud workload?</w:t>
      </w:r>
    </w:p>
    <w:p w14:paraId="7192E1DD" w14:textId="77777777" w:rsidR="00772358" w:rsidRDefault="00000000">
      <w:pPr>
        <w:spacing w:before="60" w:after="120" w:line="280" w:lineRule="auto"/>
        <w:jc w:val="both"/>
      </w:pPr>
      <w:r>
        <w:rPr>
          <w:i/>
          <w:iCs/>
        </w:rPr>
        <w:t>Chapter 16 complete.</w:t>
      </w:r>
    </w:p>
    <w:p w14:paraId="2AEFCF0E" w14:textId="77777777" w:rsidR="00772358" w:rsidRDefault="00000000">
      <w:pPr>
        <w:pStyle w:val="Heading2"/>
        <w:pBdr>
          <w:bottom w:val="single" w:sz="4" w:space="2" w:color="E8A020"/>
        </w:pBdr>
      </w:pPr>
      <w:r>
        <w:t>16.4 EHR Ecosystem and Interoperability</w:t>
      </w:r>
    </w:p>
    <w:p w14:paraId="4CE7088D" w14:textId="77777777" w:rsidR="00772358" w:rsidRDefault="00000000">
      <w:pPr>
        <w:spacing w:before="60" w:after="120" w:line="280" w:lineRule="auto"/>
        <w:jc w:val="both"/>
      </w:pPr>
      <w:r>
        <w:t>The electronic health record (EHR) is the hub of the provider's digital ecosystem. Epic Systems commands approximately 38% of the hospital EHR market by beds; Oracle Health (formerly Cerner) holds approximately 25%; Meditech, MEDITECH Expanse, and others serve community hospitals and critical access settings. The major EHR platforms are converging on FHIR R4 APIs as the interoperability standard — driven by the 21st Century Cures Act and ONC Interoperability Rule requirements.</w:t>
      </w:r>
    </w:p>
    <w:p w14:paraId="563FF977" w14:textId="77777777" w:rsidR="00772358" w:rsidRDefault="00000000">
      <w:pPr>
        <w:spacing w:before="60" w:after="120" w:line="280" w:lineRule="auto"/>
        <w:jc w:val="both"/>
      </w:pPr>
      <w:r>
        <w:rPr>
          <w:b/>
          <w:bCs/>
          <w:color w:val="0B4F6C"/>
        </w:rPr>
        <w:t>FHIR and the App Ecosystem:</w:t>
      </w:r>
      <w:r>
        <w:t xml:space="preserve"> The FHIR API ecosystem is enabling a new generation of point-of-care applications that run directly within the EHR workflow. Epic's App Orchard and Cerner's Code developer program host hundreds of validated third-party applications — AI diagnostics tools, patient communication platforms, revenue cycle automation, and population health applications — that integrate with the EHR without custom interface development. This ecosystem model is dramatically reducing the cost of deploying best-of-breed digital tools.</w:t>
      </w:r>
    </w:p>
    <w:p w14:paraId="6F5227D0" w14:textId="77777777" w:rsidR="00772358" w:rsidRDefault="00000000">
      <w:pPr>
        <w:spacing w:before="60" w:after="120" w:line="280" w:lineRule="auto"/>
        <w:jc w:val="both"/>
      </w:pPr>
      <w:r>
        <w:rPr>
          <w:b/>
          <w:bCs/>
          <w:color w:val="0B4F6C"/>
        </w:rPr>
        <w:t>Ambient AI Documentation:</w:t>
      </w:r>
      <w:r>
        <w:t xml:space="preserve"> Ambient clinical intelligence — AI systems that listen to physician-patient conversations and automatically generate SOAP notes, order suggestions, and after-visit summaries — is the most transformative health IT development in a decade. Nuance DAX (embedded in Epic and Dragon), Abridge (deployed at UPMC, Duke, and others), Suki, </w:t>
      </w:r>
      <w:proofErr w:type="spellStart"/>
      <w:r>
        <w:t>DeepScribe</w:t>
      </w:r>
      <w:proofErr w:type="spellEnd"/>
      <w:r>
        <w:t xml:space="preserve">, and </w:t>
      </w:r>
      <w:proofErr w:type="spellStart"/>
      <w:r>
        <w:t>Nabla</w:t>
      </w:r>
      <w:proofErr w:type="spellEnd"/>
      <w:r>
        <w:t xml:space="preserve"> are competing in a market that reached $1.2 billion in 2024. Physicians using ambient AI document 2–3 hours less per day, see more patients, and report dramatically higher job satisfaction.</w:t>
      </w:r>
    </w:p>
    <w:p w14:paraId="3DCE51BF" w14:textId="77777777" w:rsidR="00772358" w:rsidRDefault="00000000">
      <w:pPr>
        <w:spacing w:before="60" w:after="120" w:line="280" w:lineRule="auto"/>
        <w:jc w:val="both"/>
      </w:pPr>
      <w:r>
        <w:rPr>
          <w:b/>
          <w:bCs/>
          <w:color w:val="0B4F6C"/>
        </w:rPr>
        <w:t>Cloud Migration Strategy:</w:t>
      </w:r>
      <w:r>
        <w:t xml:space="preserve"> Legacy on-premises EHR and ancillary system deployments are increasingly migrating to cloud-hosted models — either vendor-managed cloud (Epic's Managed Cloud, Oracle Health Cloud) or hybrid architectures where the EHR remains hosted but data platforms, analytics, and non-clinical systems move to public cloud. Cloud migration enables real-time software updates, scalable compute for AI workloads, and disaster recovery capabilities that on-premises infrastructure cannot match cost-effectively.</w:t>
      </w:r>
    </w:p>
    <w:p w14:paraId="2F22D78B" w14:textId="77777777" w:rsidR="00772358" w:rsidRDefault="00000000">
      <w:pPr>
        <w:pStyle w:val="Heading2"/>
        <w:pBdr>
          <w:bottom w:val="single" w:sz="4" w:space="2" w:color="E8A020"/>
        </w:pBdr>
      </w:pPr>
      <w:r>
        <w:t>16.5 Cybersecurity in Healthcare</w:t>
      </w:r>
    </w:p>
    <w:p w14:paraId="66B3AA17" w14:textId="77777777" w:rsidR="00772358" w:rsidRDefault="00000000">
      <w:pPr>
        <w:spacing w:before="60" w:after="120" w:line="280" w:lineRule="auto"/>
        <w:jc w:val="both"/>
      </w:pPr>
      <w:r>
        <w:t>Healthcare is the most frequently targeted sector for ransomware attacks, and the attacks are growing in severity. The 2024 Change Healthcare cyberattack — which disrupted claims processing for 94% of US hospitals for weeks — cost the US healthcare system an estimated $2.4 billion in direct costs and demonstrated the systemic fragility of highly concentrated healthcare IT infrastructure.</w:t>
      </w:r>
    </w:p>
    <w:p w14:paraId="15910FD9" w14:textId="77777777" w:rsidR="00772358" w:rsidRDefault="00000000">
      <w:pPr>
        <w:spacing w:before="60" w:after="120" w:line="280" w:lineRule="auto"/>
        <w:jc w:val="both"/>
      </w:pPr>
      <w:r>
        <w:rPr>
          <w:b/>
          <w:bCs/>
          <w:color w:val="0B4F6C"/>
        </w:rPr>
        <w:t>Threat landscape:</w:t>
      </w:r>
      <w:r>
        <w:t xml:space="preserve"> Healthcare organisations face four primary threat vectors: ransomware (encrypting systems and demanding payment); data theft (PHI and intellectual property extraction for sale on dark web markets); business email compromise (financial fraud through spoofed executive communications); and supply chain attacks (compromising healthcare IT vendors to reach client systems, as in the Change Healthcare attack).</w:t>
      </w:r>
    </w:p>
    <w:p w14:paraId="7919A2FD" w14:textId="77777777" w:rsidR="00772358" w:rsidRDefault="00000000">
      <w:pPr>
        <w:spacing w:before="60" w:after="120" w:line="280" w:lineRule="auto"/>
        <w:jc w:val="both"/>
      </w:pPr>
      <w:r>
        <w:rPr>
          <w:b/>
          <w:bCs/>
          <w:color w:val="0B4F6C"/>
        </w:rPr>
        <w:t>GCC cybersecurity requirements:</w:t>
      </w:r>
      <w:r>
        <w:t xml:space="preserve"> Healthcare GCCs handling PHI must operate under zero-trust security architectures. This means no implicit trust based on network location — every user, device, and application must authenticate and authorise every access request. Multi-factor authentication, privileged access management, data loss prevention, endpoint detection and response, and continuous security monitoring are minimum requirements for HIPAA-compliant GCC operations.</w:t>
      </w:r>
    </w:p>
    <w:p w14:paraId="678EB5B9" w14:textId="77777777" w:rsidR="00772358" w:rsidRDefault="00000000">
      <w:r>
        <w:br/>
      </w:r>
    </w:p>
    <w:p w14:paraId="68DE771C" w14:textId="77777777" w:rsidR="00772358" w:rsidRDefault="00000000">
      <w:pPr>
        <w:shd w:val="clear" w:color="auto" w:fill="072D3D"/>
        <w:spacing w:after="100"/>
        <w:jc w:val="center"/>
      </w:pPr>
      <w:r>
        <w:rPr>
          <w:b/>
          <w:bCs/>
          <w:color w:val="E8A020"/>
          <w:sz w:val="24"/>
          <w:szCs w:val="24"/>
        </w:rPr>
        <w:t>PART VII</w:t>
      </w:r>
    </w:p>
    <w:p w14:paraId="398C6582" w14:textId="77777777" w:rsidR="00772358" w:rsidRDefault="00000000">
      <w:pPr>
        <w:pBdr>
          <w:bottom w:val="single" w:sz="8" w:space="8" w:color="E8A020"/>
        </w:pBdr>
        <w:shd w:val="clear" w:color="auto" w:fill="072D3D"/>
        <w:spacing w:after="600"/>
        <w:jc w:val="center"/>
      </w:pPr>
      <w:r>
        <w:rPr>
          <w:b/>
          <w:bCs/>
          <w:color w:val="FFFFFF"/>
          <w:sz w:val="44"/>
          <w:szCs w:val="44"/>
        </w:rPr>
        <w:t>Provider Operations</w:t>
      </w:r>
    </w:p>
    <w:p w14:paraId="5A1EFB20" w14:textId="77777777" w:rsidR="00772358" w:rsidRDefault="00000000">
      <w:r>
        <w:br/>
      </w:r>
    </w:p>
    <w:p w14:paraId="7194DEBA" w14:textId="77777777" w:rsidR="00772358" w:rsidRDefault="00000000">
      <w:pPr>
        <w:pStyle w:val="Heading1"/>
        <w:pBdr>
          <w:bottom w:val="single" w:sz="8" w:space="4" w:color="E8A020"/>
        </w:pBdr>
        <w:shd w:val="clear" w:color="auto" w:fill="0B4F6C"/>
        <w:ind w:left="160" w:right="160"/>
      </w:pPr>
      <w:r>
        <w:t xml:space="preserve">Chapter 17: Provider </w:t>
      </w:r>
      <w:proofErr w:type="spellStart"/>
      <w:r>
        <w:t>Enrollment</w:t>
      </w:r>
      <w:proofErr w:type="spellEnd"/>
      <w:r>
        <w:t>, Credentialing &amp; Network Management</w:t>
      </w:r>
    </w:p>
    <w:p w14:paraId="7731792E"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290E302A" w14:textId="77777777">
        <w:tblPrEx>
          <w:tblCellMar>
            <w:top w:w="0" w:type="dxa"/>
            <w:bottom w:w="0" w:type="dxa"/>
          </w:tblCellMar>
        </w:tblPrEx>
        <w:tc>
          <w:tcPr>
            <w:tcW w:w="9360" w:type="dxa"/>
            <w:tcBorders>
              <w:top w:val="single" w:sz="6" w:space="0" w:color="17A8C8"/>
              <w:left w:val="single" w:sz="18" w:space="0" w:color="17A8C8"/>
              <w:bottom w:val="single" w:sz="6" w:space="0" w:color="17A8C8"/>
              <w:right w:val="single" w:sz="6" w:space="0" w:color="17A8C8"/>
            </w:tcBorders>
            <w:shd w:val="clear" w:color="auto" w:fill="E8F8FC"/>
            <w:tcMar>
              <w:top w:w="140" w:type="dxa"/>
              <w:left w:w="200" w:type="dxa"/>
              <w:bottom w:w="140" w:type="dxa"/>
              <w:right w:w="200" w:type="dxa"/>
            </w:tcMar>
          </w:tcPr>
          <w:p w14:paraId="4002E467" w14:textId="77777777" w:rsidR="00772358" w:rsidRDefault="00000000">
            <w:pPr>
              <w:spacing w:after="80"/>
            </w:pPr>
            <w:r>
              <w:rPr>
                <w:b/>
                <w:bCs/>
                <w:color w:val="E8A020"/>
                <w:sz w:val="17"/>
                <w:szCs w:val="17"/>
              </w:rPr>
              <w:t>EXECUTIVE SUMMARY</w:t>
            </w:r>
          </w:p>
          <w:p w14:paraId="4A0125A6" w14:textId="77777777" w:rsidR="00772358" w:rsidRDefault="00000000">
            <w:pPr>
              <w:jc w:val="both"/>
            </w:pPr>
            <w:r>
              <w:rPr>
                <w:i/>
                <w:iCs/>
                <w:sz w:val="20"/>
                <w:szCs w:val="20"/>
              </w:rPr>
              <w:t xml:space="preserve">Provider </w:t>
            </w:r>
            <w:proofErr w:type="spellStart"/>
            <w:r>
              <w:rPr>
                <w:i/>
                <w:iCs/>
                <w:sz w:val="20"/>
                <w:szCs w:val="20"/>
              </w:rPr>
              <w:t>enrollment</w:t>
            </w:r>
            <w:proofErr w:type="spellEnd"/>
            <w:r>
              <w:rPr>
                <w:i/>
                <w:iCs/>
                <w:sz w:val="20"/>
                <w:szCs w:val="20"/>
              </w:rPr>
              <w:t xml:space="preserve"> and credentialing are the operational foundation of both billing capability and patient safety assurance. A provider who is not enrolled with a payer cannot bill for services — creating revenue loss during the </w:t>
            </w:r>
            <w:proofErr w:type="spellStart"/>
            <w:r>
              <w:rPr>
                <w:i/>
                <w:iCs/>
                <w:sz w:val="20"/>
                <w:szCs w:val="20"/>
              </w:rPr>
              <w:t>enrollment</w:t>
            </w:r>
            <w:proofErr w:type="spellEnd"/>
            <w:r>
              <w:rPr>
                <w:i/>
                <w:iCs/>
                <w:sz w:val="20"/>
                <w:szCs w:val="20"/>
              </w:rPr>
              <w:t xml:space="preserve"> gap. A provider who is credentialed without adequate verification creates patient safety and liability risk. This chapter provides the complete operating model for provider </w:t>
            </w:r>
            <w:proofErr w:type="spellStart"/>
            <w:r>
              <w:rPr>
                <w:i/>
                <w:iCs/>
                <w:sz w:val="20"/>
                <w:szCs w:val="20"/>
              </w:rPr>
              <w:t>enrollment</w:t>
            </w:r>
            <w:proofErr w:type="spellEnd"/>
            <w:r>
              <w:rPr>
                <w:i/>
                <w:iCs/>
                <w:sz w:val="20"/>
                <w:szCs w:val="20"/>
              </w:rPr>
              <w:t>, credentialing, and network management.</w:t>
            </w:r>
          </w:p>
        </w:tc>
      </w:tr>
    </w:tbl>
    <w:p w14:paraId="205A9373" w14:textId="77777777" w:rsidR="00772358" w:rsidRDefault="00772358">
      <w:pPr>
        <w:spacing w:after="80"/>
      </w:pPr>
    </w:p>
    <w:p w14:paraId="4DD77499" w14:textId="77777777" w:rsidR="00772358" w:rsidRDefault="00000000">
      <w:pPr>
        <w:pStyle w:val="Heading2"/>
        <w:pBdr>
          <w:bottom w:val="single" w:sz="4" w:space="2" w:color="E8A020"/>
        </w:pBdr>
      </w:pPr>
      <w:r>
        <w:t>17.1 Provider Credentialing: The Safety and Compliance Foundation</w:t>
      </w:r>
    </w:p>
    <w:p w14:paraId="5DA0F8E8" w14:textId="77777777" w:rsidR="00772358" w:rsidRDefault="00000000">
      <w:pPr>
        <w:spacing w:before="60" w:after="120" w:line="280" w:lineRule="auto"/>
        <w:jc w:val="both"/>
      </w:pPr>
      <w:r>
        <w:t>Credentialing is the process by which healthcare organisations verify the qualifications, training, licensure, and competency of clinicians before granting them clinical privileges. The legal framework for credentialing includes The Joint Commission accreditation standards, CMS Conditions of Participation, state licensing board requirements, and hospital medical staff bylaws.</w:t>
      </w:r>
    </w:p>
    <w:p w14:paraId="0379C8A2" w14:textId="77777777" w:rsidR="00772358" w:rsidRDefault="00000000">
      <w:pPr>
        <w:spacing w:before="60" w:after="120" w:line="280" w:lineRule="auto"/>
        <w:jc w:val="both"/>
      </w:pPr>
      <w:r>
        <w:rPr>
          <w:b/>
          <w:bCs/>
          <w:color w:val="0B4F6C"/>
        </w:rPr>
        <w:t>Primary Source Verification (PSV):</w:t>
      </w:r>
      <w:r>
        <w:t xml:space="preserve"> Credentialing standards require verification of qualifications directly from the primary source — the medical school that granted the MD, the state board that issued the license, the NPDB for malpractice history. PSV cannot be delegated to intermediaries or accepted on applicant self-report alone.</w:t>
      </w:r>
    </w:p>
    <w:p w14:paraId="721294FD" w14:textId="77777777" w:rsidR="00772358" w:rsidRDefault="00000000">
      <w:pPr>
        <w:spacing w:before="60" w:after="120" w:line="280" w:lineRule="auto"/>
        <w:jc w:val="both"/>
      </w:pPr>
      <w:r>
        <w:rPr>
          <w:b/>
          <w:bCs/>
          <w:color w:val="0B4F6C"/>
        </w:rPr>
        <w:t>CAQH ProView:</w:t>
      </w:r>
      <w:r>
        <w:t xml:space="preserve"> The Council for Affordable Quality Healthcare (CAQH) ProView database is the industry-standard platform for provider credentialing data maintenance. Providers complete a universal credentialing application in CAQH ProView; participating health plans and hospital systems access the data for credentialing and re-credentialing, reducing duplicative data collection.</w:t>
      </w:r>
    </w:p>
    <w:p w14:paraId="4DEA9935" w14:textId="77777777" w:rsidR="00772358" w:rsidRDefault="00000000">
      <w:pPr>
        <w:spacing w:before="60" w:after="120" w:line="280" w:lineRule="auto"/>
        <w:jc w:val="both"/>
      </w:pPr>
      <w:r>
        <w:rPr>
          <w:b/>
          <w:bCs/>
          <w:color w:val="0B4F6C"/>
        </w:rPr>
        <w:t>Credentialing cycle time:</w:t>
      </w:r>
      <w:r>
        <w:t xml:space="preserve"> The industry average credentialing cycle time is 90–120 days from application to privileges. Best-practice organisations achieve 60–</w:t>
      </w:r>
      <w:proofErr w:type="gramStart"/>
      <w:r>
        <w:t>90 day</w:t>
      </w:r>
      <w:proofErr w:type="gramEnd"/>
      <w:r>
        <w:t xml:space="preserve"> cycle times through workflow automation, proactive PSV, and electronic committee review. Every day of delay is a day of unbillable provider productivity.</w:t>
      </w:r>
    </w:p>
    <w:p w14:paraId="3C04644A" w14:textId="77777777" w:rsidR="00772358" w:rsidRDefault="00000000">
      <w:pPr>
        <w:spacing w:before="60" w:after="120" w:line="280" w:lineRule="auto"/>
        <w:jc w:val="both"/>
      </w:pPr>
      <w:r>
        <w:rPr>
          <w:b/>
          <w:bCs/>
          <w:color w:val="0B4F6C"/>
        </w:rPr>
        <w:t>GCC credentialing operations:</w:t>
      </w:r>
      <w:r>
        <w:t xml:space="preserve"> PSV work — education verification, licensure verification, NPDB queries, malpractice history verification, exclusion screening — is appropriate for GCC delivery. Medical staff committee review and privilege granting are US-based clinical governance functions.</w:t>
      </w:r>
    </w:p>
    <w:p w14:paraId="0F884327" w14:textId="77777777" w:rsidR="00772358" w:rsidRDefault="00000000">
      <w:pPr>
        <w:pStyle w:val="Heading2"/>
        <w:pBdr>
          <w:bottom w:val="single" w:sz="4" w:space="2" w:color="E8A020"/>
        </w:pBdr>
      </w:pPr>
      <w:r>
        <w:t xml:space="preserve">17.2 Provider </w:t>
      </w:r>
      <w:proofErr w:type="spellStart"/>
      <w:r>
        <w:t>Enrollment</w:t>
      </w:r>
      <w:proofErr w:type="spellEnd"/>
      <w:r>
        <w:t>: The Revenue Dependency</w:t>
      </w:r>
    </w:p>
    <w:p w14:paraId="7984E197" w14:textId="77777777" w:rsidR="00772358" w:rsidRDefault="00000000">
      <w:pPr>
        <w:spacing w:before="60" w:after="120" w:line="280" w:lineRule="auto"/>
        <w:jc w:val="both"/>
      </w:pPr>
      <w:r>
        <w:t xml:space="preserve">Provider </w:t>
      </w:r>
      <w:proofErr w:type="spellStart"/>
      <w:r>
        <w:t>enrollment</w:t>
      </w:r>
      <w:proofErr w:type="spellEnd"/>
      <w:r>
        <w:t xml:space="preserve"> is the process of registering providers with payers to establish billing rights. An enrolled provider can bill the payer for services rendered; an unenrolled provider cannot, regardless of network contract status.</w:t>
      </w:r>
    </w:p>
    <w:p w14:paraId="79CF676C" w14:textId="77777777" w:rsidR="00772358" w:rsidRDefault="00000000">
      <w:pPr>
        <w:spacing w:before="60" w:after="120" w:line="280" w:lineRule="auto"/>
        <w:jc w:val="both"/>
      </w:pPr>
      <w:proofErr w:type="spellStart"/>
      <w:r>
        <w:rPr>
          <w:b/>
          <w:bCs/>
          <w:color w:val="0B4F6C"/>
        </w:rPr>
        <w:t>Enrollment</w:t>
      </w:r>
      <w:proofErr w:type="spellEnd"/>
      <w:r>
        <w:rPr>
          <w:b/>
          <w:bCs/>
          <w:color w:val="0B4F6C"/>
        </w:rPr>
        <w:t xml:space="preserve"> complexity:</w:t>
      </w:r>
      <w:r>
        <w:t xml:space="preserve"> A physician group with 100 providers participating in 50 payer contracts has 5,000 provider-payer </w:t>
      </w:r>
      <w:proofErr w:type="spellStart"/>
      <w:r>
        <w:t>enrollment</w:t>
      </w:r>
      <w:proofErr w:type="spellEnd"/>
      <w:r>
        <w:t xml:space="preserve"> relationships to maintain — each with its own application process, data requirements, processing timeline, and re-</w:t>
      </w:r>
      <w:proofErr w:type="spellStart"/>
      <w:r>
        <w:t>enrollment</w:t>
      </w:r>
      <w:proofErr w:type="spellEnd"/>
      <w:r>
        <w:t xml:space="preserve"> cycle.</w:t>
      </w:r>
    </w:p>
    <w:p w14:paraId="24BF86F5" w14:textId="77777777" w:rsidR="00772358" w:rsidRDefault="00000000">
      <w:pPr>
        <w:spacing w:before="60" w:after="120" w:line="280" w:lineRule="auto"/>
        <w:jc w:val="both"/>
      </w:pPr>
      <w:r>
        <w:rPr>
          <w:b/>
          <w:bCs/>
          <w:color w:val="0B4F6C"/>
        </w:rPr>
        <w:t xml:space="preserve">Medicare and Medicaid </w:t>
      </w:r>
      <w:proofErr w:type="spellStart"/>
      <w:r>
        <w:rPr>
          <w:b/>
          <w:bCs/>
          <w:color w:val="0B4F6C"/>
        </w:rPr>
        <w:t>enrollment</w:t>
      </w:r>
      <w:proofErr w:type="spellEnd"/>
      <w:r>
        <w:rPr>
          <w:b/>
          <w:bCs/>
          <w:color w:val="0B4F6C"/>
        </w:rPr>
        <w:t>:</w:t>
      </w:r>
      <w:r>
        <w:t xml:space="preserve"> CMS </w:t>
      </w:r>
      <w:proofErr w:type="spellStart"/>
      <w:r>
        <w:t>enrollment</w:t>
      </w:r>
      <w:proofErr w:type="spellEnd"/>
      <w:r>
        <w:t xml:space="preserve"> through PECOS (Provider </w:t>
      </w:r>
      <w:proofErr w:type="spellStart"/>
      <w:r>
        <w:t>Enrollment</w:t>
      </w:r>
      <w:proofErr w:type="spellEnd"/>
      <w:r>
        <w:t xml:space="preserve">, Chain, and Ownership System) is the foundational </w:t>
      </w:r>
      <w:proofErr w:type="spellStart"/>
      <w:r>
        <w:t>enrollment</w:t>
      </w:r>
      <w:proofErr w:type="spellEnd"/>
      <w:r>
        <w:t xml:space="preserve"> for Medicare billing. Medicaid </w:t>
      </w:r>
      <w:proofErr w:type="spellStart"/>
      <w:r>
        <w:t>enrollment</w:t>
      </w:r>
      <w:proofErr w:type="spellEnd"/>
      <w:r>
        <w:t xml:space="preserve"> must be completed separately with each state Medicaid agency for providers billing that state's program.</w:t>
      </w:r>
    </w:p>
    <w:p w14:paraId="62A92E0F" w14:textId="77777777" w:rsidR="00772358" w:rsidRDefault="00000000">
      <w:pPr>
        <w:spacing w:before="60" w:after="120" w:line="280" w:lineRule="auto"/>
        <w:jc w:val="both"/>
      </w:pPr>
      <w:r>
        <w:rPr>
          <w:b/>
          <w:bCs/>
          <w:color w:val="0B4F6C"/>
        </w:rPr>
        <w:t>Revalidation:</w:t>
      </w:r>
      <w:r>
        <w:t xml:space="preserve"> CMS requires Medicare enrolled providers to revalidate every 3–5 years. Failure to complete revalidation on time results in deactivation of Medicare billing privileges — a revenue risk that requires systematic tracking.</w:t>
      </w:r>
    </w:p>
    <w:p w14:paraId="0F58D31D" w14:textId="77777777" w:rsidR="00772358" w:rsidRDefault="00000000">
      <w:pPr>
        <w:pStyle w:val="Heading2"/>
        <w:pBdr>
          <w:bottom w:val="single" w:sz="4" w:space="2" w:color="E8A020"/>
        </w:pBdr>
      </w:pPr>
      <w:r>
        <w:t>17.3 Provider Network Management</w:t>
      </w:r>
    </w:p>
    <w:p w14:paraId="5DA7B4F5" w14:textId="77777777" w:rsidR="00772358" w:rsidRDefault="00000000">
      <w:pPr>
        <w:spacing w:before="60" w:after="120" w:line="280" w:lineRule="auto"/>
        <w:jc w:val="both"/>
      </w:pPr>
      <w:r>
        <w:rPr>
          <w:b/>
          <w:bCs/>
          <w:color w:val="0B4F6C"/>
        </w:rPr>
        <w:t>Network adequacy:</w:t>
      </w:r>
      <w:r>
        <w:t xml:space="preserve"> Payers must maintain provider networks that meet CMS and state-defined adequacy standards — sufficient providers within defined time-and-distance standards for each specialty. Network adequacy failures trigger regulatory action and can disqualify plans from Medicare Advantage and Medicaid managed care participation.</w:t>
      </w:r>
    </w:p>
    <w:p w14:paraId="05D60867" w14:textId="77777777" w:rsidR="00772358" w:rsidRDefault="00000000">
      <w:pPr>
        <w:spacing w:before="60" w:after="120" w:line="280" w:lineRule="auto"/>
        <w:jc w:val="both"/>
      </w:pPr>
      <w:r>
        <w:rPr>
          <w:b/>
          <w:bCs/>
          <w:color w:val="0B4F6C"/>
        </w:rPr>
        <w:t>Provider directory accuracy:</w:t>
      </w:r>
      <w:r>
        <w:t xml:space="preserve"> Payers are required to maintain accurate, current provider directories. Directory errors — incorrect addresses, phone numbers, or network status — create member access problems and regulatory liability. CMS has fined several large health plans for provider directory inaccuracies.</w:t>
      </w:r>
    </w:p>
    <w:p w14:paraId="7F0D1262" w14:textId="77777777" w:rsidR="00772358" w:rsidRDefault="00000000">
      <w:pPr>
        <w:spacing w:before="60" w:after="120" w:line="280" w:lineRule="auto"/>
        <w:jc w:val="both"/>
      </w:pPr>
      <w:r>
        <w:rPr>
          <w:b/>
          <w:bCs/>
          <w:color w:val="0B4F6C"/>
        </w:rPr>
        <w:t>Contracting analytics:</w:t>
      </w:r>
      <w:r>
        <w:t xml:space="preserve"> Network analytics — identifying geographic coverage gaps, specialty access gaps, and provider performance outliers — inform network development strategy and contract negotiation priorities.</w:t>
      </w:r>
    </w:p>
    <w:p w14:paraId="338737EF" w14:textId="77777777" w:rsidR="00772358" w:rsidRDefault="00000000">
      <w:pPr>
        <w:pStyle w:val="Heading2"/>
        <w:pBdr>
          <w:bottom w:val="single" w:sz="4" w:space="2" w:color="E8A020"/>
        </w:pBdr>
      </w:pPr>
      <w:r>
        <w:t>Questions for Leadership</w:t>
      </w:r>
    </w:p>
    <w:p w14:paraId="657988E4" w14:textId="77777777" w:rsidR="00772358" w:rsidRDefault="00000000">
      <w:pPr>
        <w:spacing w:before="60" w:after="120" w:line="280" w:lineRule="auto"/>
        <w:jc w:val="both"/>
      </w:pPr>
      <w:r>
        <w:t xml:space="preserve">What is the organisation's current average credentialing cycle time, and where are the top delay points? Is there a systematic payer </w:t>
      </w:r>
      <w:proofErr w:type="spellStart"/>
      <w:r>
        <w:t>enrollment</w:t>
      </w:r>
      <w:proofErr w:type="spellEnd"/>
      <w:r>
        <w:t xml:space="preserve"> tracking system that monitors </w:t>
      </w:r>
      <w:proofErr w:type="spellStart"/>
      <w:r>
        <w:t>enrollment</w:t>
      </w:r>
      <w:proofErr w:type="spellEnd"/>
      <w:r>
        <w:t xml:space="preserve"> status and proactively alerts for expiring </w:t>
      </w:r>
      <w:proofErr w:type="spellStart"/>
      <w:r>
        <w:t>enrollments</w:t>
      </w:r>
      <w:proofErr w:type="spellEnd"/>
      <w:r>
        <w:t xml:space="preserve"> and revalidation deadlines? Has the organisation assessed the revenue impact of current </w:t>
      </w:r>
      <w:proofErr w:type="spellStart"/>
      <w:r>
        <w:t>enrollment</w:t>
      </w:r>
      <w:proofErr w:type="spellEnd"/>
      <w:r>
        <w:t xml:space="preserve"> gaps — providers who are delivering services for which payer </w:t>
      </w:r>
      <w:proofErr w:type="spellStart"/>
      <w:r>
        <w:t>enrollment</w:t>
      </w:r>
      <w:proofErr w:type="spellEnd"/>
      <w:r>
        <w:t xml:space="preserve"> is not complete?</w:t>
      </w:r>
    </w:p>
    <w:p w14:paraId="02856E18" w14:textId="77777777" w:rsidR="00772358" w:rsidRDefault="00000000">
      <w:pPr>
        <w:spacing w:before="60" w:after="120" w:line="280" w:lineRule="auto"/>
        <w:jc w:val="both"/>
      </w:pPr>
      <w:r>
        <w:rPr>
          <w:i/>
          <w:iCs/>
        </w:rPr>
        <w:t>Chapter 17 complete.</w:t>
      </w:r>
    </w:p>
    <w:p w14:paraId="53DD4B56" w14:textId="77777777" w:rsidR="00772358" w:rsidRDefault="00000000">
      <w:pPr>
        <w:pStyle w:val="Heading2"/>
        <w:pBdr>
          <w:bottom w:val="single" w:sz="4" w:space="2" w:color="E8A020"/>
        </w:pBdr>
      </w:pPr>
      <w:r>
        <w:t>17.4 CAQH ProView and Primary Source Verification</w:t>
      </w:r>
    </w:p>
    <w:p w14:paraId="6B9FFA0F" w14:textId="77777777" w:rsidR="00772358" w:rsidRDefault="00000000">
      <w:pPr>
        <w:spacing w:before="60" w:after="120" w:line="280" w:lineRule="auto"/>
        <w:jc w:val="both"/>
      </w:pPr>
      <w:r>
        <w:t>The Council for Affordable Quality Healthcare (CAQH) ProView is the industry standard for provider credentialing data collection and sharing. Over 1.7 million providers maintain CAQH ProView profiles, and over 1,000 health plans and hospitals use CAQH data to streamline credentialing. Providers update their CAQH profile quarterly with current licensure, DEA certification, malpractice insurance, and practice information — enabling health plans to pull current data without requesting it directly from each provider.</w:t>
      </w:r>
    </w:p>
    <w:p w14:paraId="7348FDCB" w14:textId="77777777" w:rsidR="00772358" w:rsidRDefault="00000000">
      <w:pPr>
        <w:spacing w:before="60" w:after="120" w:line="280" w:lineRule="auto"/>
        <w:jc w:val="both"/>
      </w:pPr>
      <w:r>
        <w:rPr>
          <w:b/>
          <w:bCs/>
          <w:color w:val="0B4F6C"/>
        </w:rPr>
        <w:t>Primary source verification (PSV):</w:t>
      </w:r>
      <w:r>
        <w:t xml:space="preserve"> Credentialing requires verification of each credential directly with the issuing organisation (primary source) rather than accepting provider-submitted copies. PSV for medical education means contacting the medical school directly; PSV for board certification means verifying through the American Board of Medical Specialties; PSV for licensure means checking state medical board records. Manual PSV is time-consuming; automated PSV through CAQH's primary source network, </w:t>
      </w:r>
      <w:proofErr w:type="spellStart"/>
      <w:r>
        <w:t>Veritix</w:t>
      </w:r>
      <w:proofErr w:type="spellEnd"/>
      <w:r>
        <w:t>, and specialty verification services is dramatically faster.</w:t>
      </w:r>
    </w:p>
    <w:p w14:paraId="523D47C3" w14:textId="77777777" w:rsidR="00772358" w:rsidRDefault="00000000">
      <w:pPr>
        <w:spacing w:before="60" w:after="120" w:line="280" w:lineRule="auto"/>
        <w:jc w:val="both"/>
      </w:pPr>
      <w:r>
        <w:rPr>
          <w:b/>
          <w:bCs/>
          <w:color w:val="0B4F6C"/>
        </w:rPr>
        <w:t>GCC Credentialing Operations:</w:t>
      </w:r>
      <w:r>
        <w:t xml:space="preserve"> Provider credentialing is among the most GCC-mature healthcare functions. Well-designed GCC credentialing operations handle: CAQH profile management and update monitoring; payer application completion and submission; PSV for standard credentials; expiration tracking and re-credentialing coordination; and credentialing analytics (cycle time, application status, expiration pipeline). GCC credentialing teams at organisations like CIOX, Omega Healthcare, and Cognizant achieve cycle times of 45–60 days versus 90–120 days for decentralised hospital credentialing teams.</w:t>
      </w:r>
    </w:p>
    <w:p w14:paraId="13F6D6CA" w14:textId="77777777" w:rsidR="00772358" w:rsidRDefault="00000000">
      <w:pPr>
        <w:pStyle w:val="Heading2"/>
        <w:pBdr>
          <w:bottom w:val="single" w:sz="4" w:space="2" w:color="E8A020"/>
        </w:pBdr>
      </w:pPr>
      <w:r>
        <w:t>17.5 Provider Network Adequacy and Compliance</w:t>
      </w:r>
    </w:p>
    <w:p w14:paraId="7F9AB9C7" w14:textId="77777777" w:rsidR="00772358" w:rsidRDefault="00000000">
      <w:pPr>
        <w:spacing w:before="60" w:after="120" w:line="280" w:lineRule="auto"/>
        <w:jc w:val="both"/>
      </w:pPr>
      <w:r>
        <w:rPr>
          <w:b/>
          <w:bCs/>
          <w:color w:val="0B4F6C"/>
        </w:rPr>
        <w:t>Network adequacy standards:</w:t>
      </w:r>
      <w:r>
        <w:t xml:space="preserve"> CMS, state insurance departments, and commercial accreditation bodies (NCQA, URAC) require health plans to maintain provider networks that meet defined access standards — specific time-and-distance standards for primary care and specialists, maximum appointment wait time standards, and minimum provider-to-member ratios. Network adequacy failures result in CMS sanctions, state regulatory actions, and in the Medicare Advantage market, Star rating penalties.</w:t>
      </w:r>
    </w:p>
    <w:p w14:paraId="6DD6028C" w14:textId="77777777" w:rsidR="00772358" w:rsidRDefault="00000000">
      <w:pPr>
        <w:spacing w:before="60" w:after="120" w:line="280" w:lineRule="auto"/>
        <w:jc w:val="both"/>
      </w:pPr>
      <w:r>
        <w:rPr>
          <w:b/>
          <w:bCs/>
          <w:color w:val="0B4F6C"/>
        </w:rPr>
        <w:t>Provider directory accuracy:</w:t>
      </w:r>
      <w:r>
        <w:t xml:space="preserve"> Provider directories — the lists of in-network providers published for member use — must be accurate and updated within 90 days of provider changes under CMS regulations. Directory inaccuracies generate member complaints, incorrect cost-sharing expectations, and surprise billing disputes. Automated provider data management systems that pull real-time updates from CAQH, state license boards, and NPI registry significantly reduce directory errors.</w:t>
      </w:r>
    </w:p>
    <w:p w14:paraId="462CAD6B" w14:textId="77777777" w:rsidR="00772358" w:rsidRDefault="00000000">
      <w:r>
        <w:br/>
      </w:r>
    </w:p>
    <w:p w14:paraId="3B05C5C0" w14:textId="77777777" w:rsidR="00772358" w:rsidRDefault="00000000">
      <w:pPr>
        <w:pStyle w:val="Heading1"/>
        <w:pBdr>
          <w:bottom w:val="single" w:sz="8" w:space="4" w:color="E8A020"/>
        </w:pBdr>
        <w:shd w:val="clear" w:color="auto" w:fill="0B4F6C"/>
        <w:ind w:left="160" w:right="160"/>
      </w:pPr>
      <w:r>
        <w:t>Chapter 18: Specialty Services, Post-Acute &amp; Home Health</w:t>
      </w:r>
    </w:p>
    <w:p w14:paraId="67803575"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787983BA" w14:textId="77777777">
        <w:tblPrEx>
          <w:tblCellMar>
            <w:top w:w="0" w:type="dxa"/>
            <w:bottom w:w="0" w:type="dxa"/>
          </w:tblCellMar>
        </w:tblPrEx>
        <w:tc>
          <w:tcPr>
            <w:tcW w:w="9360" w:type="dxa"/>
            <w:tcBorders>
              <w:top w:val="single" w:sz="6" w:space="0" w:color="17A8C8"/>
              <w:left w:val="single" w:sz="18" w:space="0" w:color="17A8C8"/>
              <w:bottom w:val="single" w:sz="6" w:space="0" w:color="17A8C8"/>
              <w:right w:val="single" w:sz="6" w:space="0" w:color="17A8C8"/>
            </w:tcBorders>
            <w:shd w:val="clear" w:color="auto" w:fill="E8F8FC"/>
            <w:tcMar>
              <w:top w:w="140" w:type="dxa"/>
              <w:left w:w="200" w:type="dxa"/>
              <w:bottom w:w="140" w:type="dxa"/>
              <w:right w:w="200" w:type="dxa"/>
            </w:tcMar>
          </w:tcPr>
          <w:p w14:paraId="3C8FBA1F" w14:textId="77777777" w:rsidR="00772358" w:rsidRDefault="00000000">
            <w:pPr>
              <w:spacing w:after="80"/>
            </w:pPr>
            <w:r>
              <w:rPr>
                <w:b/>
                <w:bCs/>
                <w:color w:val="E8A020"/>
                <w:sz w:val="17"/>
                <w:szCs w:val="17"/>
              </w:rPr>
              <w:t>EXECUTIVE SUMMARY</w:t>
            </w:r>
          </w:p>
          <w:p w14:paraId="70E41153" w14:textId="77777777" w:rsidR="00772358" w:rsidRDefault="00000000">
            <w:pPr>
              <w:jc w:val="both"/>
            </w:pPr>
            <w:r>
              <w:rPr>
                <w:i/>
                <w:iCs/>
                <w:sz w:val="20"/>
                <w:szCs w:val="20"/>
              </w:rPr>
              <w:t>Specialty services and post-acute care represent both the highest-cost and highest-complexity segments of healthcare delivery. Oncology, behavioural health, transplant, and rehabilitation services carry distinct billing complexity, utilisation management requirements, and GCC support opportunities. Home health, skilled nursing, and long-term care form the post-acute continuum where transitional care failures result in preventable readmissions. This chapter examines operational models for these critical service lines.</w:t>
            </w:r>
          </w:p>
        </w:tc>
      </w:tr>
    </w:tbl>
    <w:p w14:paraId="68BF6A08" w14:textId="77777777" w:rsidR="00772358" w:rsidRDefault="00772358">
      <w:pPr>
        <w:spacing w:after="80"/>
      </w:pPr>
    </w:p>
    <w:p w14:paraId="1253B1AA" w14:textId="77777777" w:rsidR="00772358" w:rsidRDefault="00000000">
      <w:pPr>
        <w:pStyle w:val="Heading2"/>
        <w:pBdr>
          <w:bottom w:val="single" w:sz="4" w:space="2" w:color="E8A020"/>
        </w:pBdr>
      </w:pPr>
      <w:r>
        <w:t>18.1 Oncology Service Line Operations</w:t>
      </w:r>
    </w:p>
    <w:p w14:paraId="2FD38ACB" w14:textId="77777777" w:rsidR="00772358" w:rsidRDefault="00000000">
      <w:pPr>
        <w:spacing w:before="60" w:after="120" w:line="280" w:lineRule="auto"/>
        <w:jc w:val="both"/>
      </w:pPr>
      <w:r>
        <w:t>Oncology is the most complex and most expensive care domain in US healthcare, with annual cancer care expenditure exceeding $200 billion. The operational complexity of oncology — complex multi-drug regimen management, clinical trial participation, biosimilar formulary navigation, radiation therapy scheduling, and stem cell transplant logistics — requires dedicated administrative infrastructure.</w:t>
      </w:r>
    </w:p>
    <w:p w14:paraId="618064E3" w14:textId="77777777" w:rsidR="00772358" w:rsidRDefault="00000000">
      <w:pPr>
        <w:spacing w:before="60" w:after="120" w:line="280" w:lineRule="auto"/>
        <w:jc w:val="both"/>
      </w:pPr>
      <w:r>
        <w:rPr>
          <w:b/>
          <w:bCs/>
          <w:color w:val="0B4F6C"/>
        </w:rPr>
        <w:t>Oncology coding complexity:</w:t>
      </w:r>
      <w:r>
        <w:t xml:space="preserve"> Oncology coding requires specific expertise — active versus historical cancer status, sequencing of diagnoses for primary versus metastatic disease, chemotherapy administration coding, radiation therapy code families, and surgical oncology procedure coding.</w:t>
      </w:r>
    </w:p>
    <w:p w14:paraId="15AB3BD3" w14:textId="77777777" w:rsidR="00772358" w:rsidRDefault="00000000">
      <w:pPr>
        <w:spacing w:before="60" w:after="120" w:line="280" w:lineRule="auto"/>
        <w:jc w:val="both"/>
      </w:pPr>
      <w:r>
        <w:rPr>
          <w:b/>
          <w:bCs/>
          <w:color w:val="0B4F6C"/>
        </w:rPr>
        <w:t>Oncology prior authorisation:</w:t>
      </w:r>
      <w:r>
        <w:t xml:space="preserve"> Payers require PA for most oncology treatments — chemotherapy regimens, targeted therapies, immunotherapy, radiation therapy plans. NCCN clinical practice guidelines are the primary medical necessity criteria. Oncology PA programmes at high-volume cancer centres often employ dedicated oncology PA specialists.</w:t>
      </w:r>
    </w:p>
    <w:p w14:paraId="6522BB95" w14:textId="77777777" w:rsidR="00772358" w:rsidRDefault="00000000">
      <w:pPr>
        <w:spacing w:before="60" w:after="120" w:line="280" w:lineRule="auto"/>
        <w:jc w:val="both"/>
      </w:pPr>
      <w:r>
        <w:rPr>
          <w:b/>
          <w:bCs/>
          <w:color w:val="0B4F6C"/>
        </w:rPr>
        <w:t>GCC oncology support:</w:t>
      </w:r>
      <w:r>
        <w:t xml:space="preserve"> Oncology coding, PA management, clinical trial billing compliance, and oncology analytics are appropriate GCC functions with specialised training requirements.</w:t>
      </w:r>
    </w:p>
    <w:p w14:paraId="00832A3C" w14:textId="77777777" w:rsidR="00772358" w:rsidRDefault="00000000">
      <w:pPr>
        <w:pStyle w:val="Heading2"/>
        <w:pBdr>
          <w:bottom w:val="single" w:sz="4" w:space="2" w:color="E8A020"/>
        </w:pBdr>
      </w:pPr>
      <w:r>
        <w:t>18.2 Behavioural Health Operations</w:t>
      </w:r>
    </w:p>
    <w:p w14:paraId="42F7F0E0" w14:textId="77777777" w:rsidR="00772358" w:rsidRDefault="00000000">
      <w:pPr>
        <w:spacing w:before="60" w:after="120" w:line="280" w:lineRule="auto"/>
        <w:jc w:val="both"/>
      </w:pPr>
      <w:r>
        <w:t xml:space="preserve">Behavioural health — mental health and substance use disorder services — carries unique billing, coding, and parity compliance requirements. The Mental Health Parity and Addiction Equity Act (MHPAEA) </w:t>
      </w:r>
      <w:proofErr w:type="gramStart"/>
      <w:r>
        <w:t>prohibits</w:t>
      </w:r>
      <w:proofErr w:type="gramEnd"/>
      <w:r>
        <w:t xml:space="preserve"> payers from imposing more restrictive financial requirements or treatment limitations on behavioural health benefits than on medical/surgical benefits. MHPAEA enforcement actions by DOL and state insurance commissioners have increased significantly.</w:t>
      </w:r>
    </w:p>
    <w:p w14:paraId="3CE09A3E" w14:textId="77777777" w:rsidR="00772358" w:rsidRDefault="00000000">
      <w:pPr>
        <w:spacing w:before="60" w:after="120" w:line="280" w:lineRule="auto"/>
        <w:jc w:val="both"/>
      </w:pPr>
      <w:r>
        <w:rPr>
          <w:b/>
          <w:bCs/>
          <w:color w:val="0B4F6C"/>
        </w:rPr>
        <w:t>Behavioural health billing complexity:</w:t>
      </w:r>
      <w:r>
        <w:t xml:space="preserve"> Time-based E/M coding for psychiatric services, psychotherapy coding (add-on codes for combined E/M + psychotherapy), substance use disorder treatment billing (HCPCS H codes for residential and intensive outpatient programs), and MAT (Medication-Assisted Treatment) billing for opioid use disorder.</w:t>
      </w:r>
    </w:p>
    <w:p w14:paraId="0F8A0BCD" w14:textId="77777777" w:rsidR="00772358" w:rsidRDefault="00000000">
      <w:pPr>
        <w:pStyle w:val="Heading2"/>
        <w:pBdr>
          <w:bottom w:val="single" w:sz="4" w:space="2" w:color="E8A020"/>
        </w:pBdr>
      </w:pPr>
      <w:r>
        <w:t>18.3 Skilled Nursing and Home Health</w:t>
      </w:r>
    </w:p>
    <w:p w14:paraId="3DF371B1" w14:textId="77777777" w:rsidR="00772358" w:rsidRDefault="00000000">
      <w:pPr>
        <w:spacing w:before="60" w:after="120" w:line="280" w:lineRule="auto"/>
        <w:jc w:val="both"/>
      </w:pPr>
      <w:r>
        <w:rPr>
          <w:b/>
          <w:bCs/>
          <w:color w:val="0B4F6C"/>
        </w:rPr>
        <w:t>Skilled Nursing Facility (SNF) billing:</w:t>
      </w:r>
      <w:r>
        <w:t xml:space="preserve"> Medicare Part A pays for SNF stays following a qualifying 3-day inpatient hospitalisation under PDPM (Patient-Driven Payment Model), which classifies patients by clinical characteristics and care needs rather than service volume. SNF billing complexity includes MDS (Minimum Data Set) assessment accuracy, therapy documentation, and the complex rules governing Medicare Part A versus Part B billing transitions.</w:t>
      </w:r>
    </w:p>
    <w:p w14:paraId="3F5D724F" w14:textId="77777777" w:rsidR="00772358" w:rsidRDefault="00000000">
      <w:pPr>
        <w:spacing w:before="60" w:after="120" w:line="280" w:lineRule="auto"/>
        <w:jc w:val="both"/>
      </w:pPr>
      <w:r>
        <w:rPr>
          <w:b/>
          <w:bCs/>
          <w:color w:val="0B4F6C"/>
        </w:rPr>
        <w:t>Home health billing:</w:t>
      </w:r>
      <w:r>
        <w:t xml:space="preserve"> Home health agencies bill Medicare under the Home Health Resource Group (HHRG) payment system, with payment amounts reflecting patient clinical and functional characteristics captured in the OASIS (Outcome and Assessment Information Set) assessment.</w:t>
      </w:r>
    </w:p>
    <w:p w14:paraId="7EF726D3" w14:textId="77777777" w:rsidR="00772358" w:rsidRDefault="00000000">
      <w:pPr>
        <w:spacing w:before="60" w:after="120" w:line="280" w:lineRule="auto"/>
        <w:jc w:val="both"/>
      </w:pPr>
      <w:r>
        <w:rPr>
          <w:b/>
          <w:bCs/>
          <w:color w:val="0B4F6C"/>
        </w:rPr>
        <w:t>Transitional care management:</w:t>
      </w:r>
      <w:r>
        <w:t xml:space="preserve"> The 30 days following SNF or home health discharge are the highest-risk period for preventable readmission. Systematic transitional care management — medication reconciliation, primary care follow-up within 7 days, remote monitoring, and care coordinator outreach — reduces readmission rates by 20–30%.</w:t>
      </w:r>
    </w:p>
    <w:p w14:paraId="6A995C98" w14:textId="77777777" w:rsidR="00772358" w:rsidRDefault="00000000">
      <w:pPr>
        <w:pStyle w:val="Heading2"/>
        <w:pBdr>
          <w:bottom w:val="single" w:sz="4" w:space="2" w:color="E8A020"/>
        </w:pBdr>
      </w:pPr>
      <w:r>
        <w:t>Questions for Leadership</w:t>
      </w:r>
    </w:p>
    <w:p w14:paraId="18821B72" w14:textId="77777777" w:rsidR="00772358" w:rsidRDefault="00000000">
      <w:pPr>
        <w:spacing w:before="60" w:after="120" w:line="280" w:lineRule="auto"/>
        <w:jc w:val="both"/>
      </w:pPr>
      <w:r>
        <w:t>Is the oncology service line's prior authorisation function staffed with oncology-specific expertise, or is it managed by a general PA team without oncology protocol knowledge? What is the organisation's 30-day readmission rate from skilled nursing facilities, and is there a structured transitional care program targeting SNF discharges? Has the behavioural health service line conducted a MHPAEA parity analysis in the past 24 months?</w:t>
      </w:r>
    </w:p>
    <w:p w14:paraId="5263B14A" w14:textId="77777777" w:rsidR="00772358" w:rsidRDefault="00000000">
      <w:pPr>
        <w:spacing w:before="60" w:after="120" w:line="280" w:lineRule="auto"/>
        <w:jc w:val="both"/>
      </w:pPr>
      <w:r>
        <w:rPr>
          <w:i/>
          <w:iCs/>
        </w:rPr>
        <w:t>Chapter 18 complete.</w:t>
      </w:r>
    </w:p>
    <w:p w14:paraId="55954BA8" w14:textId="77777777" w:rsidR="00772358" w:rsidRDefault="00000000">
      <w:pPr>
        <w:pStyle w:val="Heading2"/>
        <w:pBdr>
          <w:bottom w:val="single" w:sz="4" w:space="2" w:color="E8A020"/>
        </w:pBdr>
      </w:pPr>
      <w:r>
        <w:t>18.3 Oncology — The Digital Transformation Frontier</w:t>
      </w:r>
    </w:p>
    <w:p w14:paraId="5B845BD3" w14:textId="77777777" w:rsidR="00772358" w:rsidRDefault="00000000">
      <w:pPr>
        <w:spacing w:before="60" w:after="120" w:line="280" w:lineRule="auto"/>
        <w:jc w:val="both"/>
      </w:pPr>
      <w:r>
        <w:t>Oncology is simultaneously the most complex and highest-cost specialty in healthcare — and the specialty most transformed by digital technology. Cancer care generates enormous data volumes (genomic sequencing, imaging, lab results, treatment response monitoring, patient-reported outcomes) that AI and analytics tools are beginning to synthesise into clinically actionable intelligence.</w:t>
      </w:r>
    </w:p>
    <w:p w14:paraId="7FC387CA" w14:textId="77777777" w:rsidR="00772358" w:rsidRDefault="00000000">
      <w:pPr>
        <w:spacing w:before="60" w:after="120" w:line="280" w:lineRule="auto"/>
        <w:jc w:val="both"/>
      </w:pPr>
      <w:r>
        <w:rPr>
          <w:b/>
          <w:bCs/>
          <w:color w:val="0B4F6C"/>
        </w:rPr>
        <w:t>Oncology clinical decision support:</w:t>
      </w:r>
      <w:r>
        <w:t xml:space="preserve"> Tools like Flatiron Health's </w:t>
      </w:r>
      <w:proofErr w:type="spellStart"/>
      <w:r>
        <w:t>OncoEMR</w:t>
      </w:r>
      <w:proofErr w:type="spellEnd"/>
      <w:r>
        <w:t>, Epic Beacon, and AI-powered oncology decision support platforms synthesise clinical data to suggest evidence-based treatment protocols, identify clinical trial eligibility, and flag drug-drug interactions in complex chemotherapy regimens. The integration of real-world evidence from de-identified oncology databases into clinical decision support represents a fundamental shift toward evidence-based oncology practice.</w:t>
      </w:r>
    </w:p>
    <w:p w14:paraId="0B3D3DEE" w14:textId="77777777" w:rsidR="00772358" w:rsidRDefault="00000000">
      <w:pPr>
        <w:spacing w:before="60" w:after="120" w:line="280" w:lineRule="auto"/>
        <w:jc w:val="both"/>
      </w:pPr>
      <w:r>
        <w:rPr>
          <w:b/>
          <w:bCs/>
          <w:color w:val="0B4F6C"/>
        </w:rPr>
        <w:t>Oncology RCM complexity:</w:t>
      </w:r>
      <w:r>
        <w:t xml:space="preserve"> Oncology billing is among the most complex in healthcare — involving Drug Administration codes (J-codes for infused chemotherapy), oral chemotherapy billing, biosimilar substitution tracking, prior authorisation for every chemotherapy agent, and complex clinical trial billing that must distinguish protocol-required services from routine care. GCC oncology billing specialisations require 6–12 months of dedicated training and represent among the highest-value coding GCC functions.</w:t>
      </w:r>
    </w:p>
    <w:p w14:paraId="477D9C84" w14:textId="77777777" w:rsidR="00772358" w:rsidRDefault="00000000">
      <w:pPr>
        <w:pStyle w:val="Heading2"/>
        <w:pBdr>
          <w:bottom w:val="single" w:sz="4" w:space="2" w:color="E8A020"/>
        </w:pBdr>
      </w:pPr>
      <w:r>
        <w:t>18.4 Behavioural Health Digital Integration</w:t>
      </w:r>
    </w:p>
    <w:p w14:paraId="38EA519D" w14:textId="77777777" w:rsidR="00772358" w:rsidRDefault="00000000">
      <w:pPr>
        <w:spacing w:before="60" w:after="120" w:line="280" w:lineRule="auto"/>
        <w:jc w:val="both"/>
      </w:pPr>
      <w:r>
        <w:t>Mental health and substance use disorder treatment have been systematically under-resourced and poorly integrated with physical health care. The No Surprises Act and CMS Mental Health Parity rules are driving structural changes that increase GCC operational complexity.</w:t>
      </w:r>
    </w:p>
    <w:p w14:paraId="1049CFD3" w14:textId="77777777" w:rsidR="00772358" w:rsidRDefault="00000000">
      <w:pPr>
        <w:spacing w:before="60" w:after="120" w:line="280" w:lineRule="auto"/>
        <w:jc w:val="both"/>
      </w:pPr>
      <w:r>
        <w:rPr>
          <w:b/>
          <w:bCs/>
          <w:color w:val="0B4F6C"/>
        </w:rPr>
        <w:t>Telehealth expansion:</w:t>
      </w:r>
      <w:r>
        <w:t xml:space="preserve"> The pandemic-era telehealth waivers that enabled audio-only mental health services, removed geographic restrictions, and allowed home-based teletherapy were partially made permanent by the Consolidated Appropriations Act. Telepsychiatry has expanded access to psychiatric care in rural and underserved markets where in-person psychiatrists are unavailable — but creates billing complexity as providers navigate state-by-state telehealth payment rules.</w:t>
      </w:r>
    </w:p>
    <w:p w14:paraId="7AB698AE" w14:textId="77777777" w:rsidR="00772358" w:rsidRDefault="00000000">
      <w:pPr>
        <w:spacing w:before="60" w:after="120" w:line="280" w:lineRule="auto"/>
        <w:jc w:val="both"/>
      </w:pPr>
      <w:r>
        <w:rPr>
          <w:b/>
          <w:bCs/>
          <w:color w:val="0B4F6C"/>
        </w:rPr>
        <w:t>Mental health parity compliance:</w:t>
      </w:r>
      <w:r>
        <w:t xml:space="preserve"> The MHPAEA (Mental Health Parity and Addiction Equity Act) and its enforcement mechanisms require commercial payers to demonstrate that limits on mental health and substance use disorder benefits are no more restrictive than limits on medical/surgical benefits. Comparative analysis of non-quantitative treatment limitations (NQTLs) — prior authorisation requirements, network admission standards, reimbursement rates — across mental health versus medical/surgical benefits is a complex GCC analytics function.</w:t>
      </w:r>
    </w:p>
    <w:p w14:paraId="4A0C52E8" w14:textId="77777777" w:rsidR="00772358" w:rsidRDefault="00000000">
      <w:pPr>
        <w:pStyle w:val="Heading2"/>
        <w:pBdr>
          <w:bottom w:val="single" w:sz="4" w:space="2" w:color="E8A020"/>
        </w:pBdr>
      </w:pPr>
      <w:r>
        <w:t>18.5 Home Health and Post-Acute Digital Operations</w:t>
      </w:r>
    </w:p>
    <w:p w14:paraId="55D56652" w14:textId="77777777" w:rsidR="00772358" w:rsidRDefault="00000000">
      <w:pPr>
        <w:spacing w:before="60" w:after="120" w:line="280" w:lineRule="auto"/>
        <w:jc w:val="both"/>
      </w:pPr>
      <w:r>
        <w:t>The post-acute care continuum — from hospital discharge through skilled nursing, home health, outpatient rehabilitation, and long-term care — represents a complex billing environment where GCC operations are increasingly valuable.</w:t>
      </w:r>
    </w:p>
    <w:p w14:paraId="76C34209" w14:textId="77777777" w:rsidR="00772358" w:rsidRDefault="00000000">
      <w:pPr>
        <w:spacing w:before="60" w:after="120" w:line="280" w:lineRule="auto"/>
        <w:jc w:val="both"/>
      </w:pPr>
      <w:r>
        <w:rPr>
          <w:b/>
          <w:bCs/>
          <w:color w:val="0B4F6C"/>
        </w:rPr>
        <w:t>PDPM (Patient-Driven Payment Model):</w:t>
      </w:r>
      <w:r>
        <w:t xml:space="preserve"> SNF billing under PDPM, implemented in 2019, calculates reimbursement based on patient clinical characteristics (diagnoses, functional status, service needs) rather than therapy minutes. PDPM requires accurate assessment coding (MDS coding) and interdisciplinary documentation that supports the clinical characterisation driving payment. MDS coding errors can cost a SNF $50–200 per resident day in lost reimbursement.</w:t>
      </w:r>
    </w:p>
    <w:p w14:paraId="3BC942D7" w14:textId="77777777" w:rsidR="00772358" w:rsidRDefault="00000000">
      <w:pPr>
        <w:spacing w:before="60" w:after="120" w:line="280" w:lineRule="auto"/>
        <w:jc w:val="both"/>
      </w:pPr>
      <w:r>
        <w:rPr>
          <w:b/>
          <w:bCs/>
          <w:color w:val="0B4F6C"/>
        </w:rPr>
        <w:t>Home health OASIS:</w:t>
      </w:r>
      <w:r>
        <w:t xml:space="preserve"> Home Health billing requires OASIS (Outcome and Assessment Information Set) assessments that determine the episode payment amount under PDGM (Patient-Driven Groupings Model). OASIS accuracy — particularly the clinical assessment items that drive grouping — is a primary driver of home health revenue integrity.</w:t>
      </w:r>
    </w:p>
    <w:p w14:paraId="3315F76A" w14:textId="77777777" w:rsidR="00772358" w:rsidRDefault="00000000">
      <w:r>
        <w:br/>
      </w:r>
    </w:p>
    <w:p w14:paraId="6CC17805" w14:textId="77777777" w:rsidR="00772358" w:rsidRDefault="00000000">
      <w:pPr>
        <w:shd w:val="clear" w:color="auto" w:fill="072D3D"/>
        <w:spacing w:after="100"/>
        <w:jc w:val="center"/>
      </w:pPr>
      <w:r>
        <w:rPr>
          <w:b/>
          <w:bCs/>
          <w:color w:val="E8A020"/>
          <w:sz w:val="24"/>
          <w:szCs w:val="24"/>
        </w:rPr>
        <w:t>PART VIII</w:t>
      </w:r>
    </w:p>
    <w:p w14:paraId="552641D7" w14:textId="77777777" w:rsidR="00772358" w:rsidRDefault="00000000">
      <w:pPr>
        <w:pBdr>
          <w:bottom w:val="single" w:sz="8" w:space="8" w:color="E8A020"/>
        </w:pBdr>
        <w:shd w:val="clear" w:color="auto" w:fill="072D3D"/>
        <w:spacing w:after="600"/>
        <w:jc w:val="center"/>
      </w:pPr>
      <w:r>
        <w:rPr>
          <w:b/>
          <w:bCs/>
          <w:color w:val="FFFFFF"/>
          <w:sz w:val="44"/>
          <w:szCs w:val="44"/>
        </w:rPr>
        <w:t>Generative AI &amp; Automation</w:t>
      </w:r>
    </w:p>
    <w:p w14:paraId="37B8AFD8" w14:textId="77777777" w:rsidR="00772358" w:rsidRDefault="00000000">
      <w:r>
        <w:br/>
      </w:r>
    </w:p>
    <w:p w14:paraId="433ECA09" w14:textId="77777777" w:rsidR="00772358" w:rsidRDefault="00000000">
      <w:pPr>
        <w:pStyle w:val="Heading1"/>
        <w:pBdr>
          <w:bottom w:val="single" w:sz="8" w:space="4" w:color="E8A020"/>
        </w:pBdr>
        <w:shd w:val="clear" w:color="auto" w:fill="0B4F6C"/>
        <w:ind w:left="160" w:right="160"/>
      </w:pPr>
      <w:r>
        <w:t>Chapter 19: Generative AI &amp; Workflow Automation at Scale</w:t>
      </w:r>
    </w:p>
    <w:p w14:paraId="5AD98991"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5316C5EC" w14:textId="77777777">
        <w:tblPrEx>
          <w:tblCellMar>
            <w:top w:w="0" w:type="dxa"/>
            <w:bottom w:w="0" w:type="dxa"/>
          </w:tblCellMar>
        </w:tblPrEx>
        <w:tc>
          <w:tcPr>
            <w:tcW w:w="9360" w:type="dxa"/>
            <w:tcBorders>
              <w:top w:val="single" w:sz="6" w:space="0" w:color="17A8C8"/>
              <w:left w:val="single" w:sz="18" w:space="0" w:color="17A8C8"/>
              <w:bottom w:val="single" w:sz="6" w:space="0" w:color="17A8C8"/>
              <w:right w:val="single" w:sz="6" w:space="0" w:color="17A8C8"/>
            </w:tcBorders>
            <w:shd w:val="clear" w:color="auto" w:fill="E8F8FC"/>
            <w:tcMar>
              <w:top w:w="140" w:type="dxa"/>
              <w:left w:w="200" w:type="dxa"/>
              <w:bottom w:w="140" w:type="dxa"/>
              <w:right w:w="200" w:type="dxa"/>
            </w:tcMar>
          </w:tcPr>
          <w:p w14:paraId="667F78C2" w14:textId="77777777" w:rsidR="00772358" w:rsidRDefault="00000000">
            <w:pPr>
              <w:spacing w:after="80"/>
            </w:pPr>
            <w:r>
              <w:rPr>
                <w:b/>
                <w:bCs/>
                <w:color w:val="E8A020"/>
                <w:sz w:val="17"/>
                <w:szCs w:val="17"/>
              </w:rPr>
              <w:t>EXECUTIVE SUMMARY</w:t>
            </w:r>
          </w:p>
          <w:p w14:paraId="434898B2" w14:textId="77777777" w:rsidR="00772358" w:rsidRDefault="00000000">
            <w:pPr>
              <w:jc w:val="both"/>
            </w:pPr>
            <w:r>
              <w:rPr>
                <w:i/>
                <w:iCs/>
                <w:sz w:val="20"/>
                <w:szCs w:val="20"/>
              </w:rPr>
              <w:t>Generative AI is no longer a pilot technology in healthcare operations — it is in production deployment across the revenue cycle, clinical documentation, patient communication, and prior authorisation workflows of leading health systems. This chapter examines the specific use cases, implementation architectures, and governance requirements for enterprise GenAI deployment in healthcare GCCs and operations centres.</w:t>
            </w:r>
          </w:p>
        </w:tc>
      </w:tr>
    </w:tbl>
    <w:p w14:paraId="2BB3BFBC" w14:textId="77777777" w:rsidR="00772358" w:rsidRDefault="00772358">
      <w:pPr>
        <w:spacing w:after="80"/>
      </w:pPr>
    </w:p>
    <w:p w14:paraId="29CF5056" w14:textId="77777777" w:rsidR="00772358" w:rsidRDefault="00000000">
      <w:pPr>
        <w:pStyle w:val="Heading2"/>
        <w:pBdr>
          <w:bottom w:val="single" w:sz="4" w:space="2" w:color="E8A020"/>
        </w:pBdr>
      </w:pPr>
      <w:r>
        <w:t>19.1 LLM Use Cases in RCM</w:t>
      </w:r>
    </w:p>
    <w:p w14:paraId="1149C032" w14:textId="77777777" w:rsidR="00772358" w:rsidRDefault="00000000">
      <w:pPr>
        <w:spacing w:before="60" w:after="120" w:line="280" w:lineRule="auto"/>
        <w:jc w:val="both"/>
      </w:pPr>
      <w:r>
        <w:rPr>
          <w:b/>
          <w:bCs/>
          <w:color w:val="0B4F6C"/>
        </w:rPr>
        <w:t>Prior authorisation letter generation:</w:t>
      </w:r>
      <w:r>
        <w:t xml:space="preserve"> LLMs trained on payer medical policies and clinical criteria generate PA request letters that include the required clinical justification, cite relevant medical evidence, and follow payer-specific format requirements. Implementations report 70–80% reductions in PA letter preparation time.</w:t>
      </w:r>
    </w:p>
    <w:p w14:paraId="555F068B" w14:textId="77777777" w:rsidR="00772358" w:rsidRDefault="00000000">
      <w:pPr>
        <w:spacing w:before="60" w:after="120" w:line="280" w:lineRule="auto"/>
        <w:jc w:val="both"/>
      </w:pPr>
      <w:r>
        <w:rPr>
          <w:b/>
          <w:bCs/>
          <w:color w:val="0B4F6C"/>
        </w:rPr>
        <w:t>Denial appeal letter generation:</w:t>
      </w:r>
      <w:r>
        <w:t xml:space="preserve"> Given a denial reason code, the clinical records, and the payer's appeal process requirements, LLMs draft appeal letters that present the clinical argument for payment. Appeal preparation time reductions of 60–75% have been documented at multiple health systems.</w:t>
      </w:r>
    </w:p>
    <w:p w14:paraId="398AEE2B" w14:textId="77777777" w:rsidR="00772358" w:rsidRDefault="00000000">
      <w:pPr>
        <w:spacing w:before="60" w:after="120" w:line="280" w:lineRule="auto"/>
        <w:jc w:val="both"/>
      </w:pPr>
      <w:r>
        <w:rPr>
          <w:b/>
          <w:bCs/>
          <w:color w:val="0B4F6C"/>
        </w:rPr>
        <w:t>Patient financial communication:</w:t>
      </w:r>
      <w:r>
        <w:t xml:space="preserve"> Generating plain-language explanations of billing statements, financial assistance eligibility, and payment plan options — replacing confusing form letters with personalised, comprehensible patient communication.</w:t>
      </w:r>
    </w:p>
    <w:p w14:paraId="21DFC223" w14:textId="77777777" w:rsidR="00772358" w:rsidRDefault="00000000">
      <w:pPr>
        <w:spacing w:before="60" w:after="120" w:line="280" w:lineRule="auto"/>
        <w:jc w:val="both"/>
      </w:pPr>
      <w:r>
        <w:rPr>
          <w:b/>
          <w:bCs/>
          <w:color w:val="0B4F6C"/>
        </w:rPr>
        <w:t>Coding query drafting:</w:t>
      </w:r>
      <w:r>
        <w:t xml:space="preserve"> CDI specialists use LLM tools to draft physician queries for documentation clarification, ensuring queries are compliant with AHIMA/ACDIS standards, non-leading, and clinically specific.</w:t>
      </w:r>
    </w:p>
    <w:p w14:paraId="20277C61" w14:textId="77777777" w:rsidR="00772358" w:rsidRDefault="00000000">
      <w:pPr>
        <w:spacing w:before="60" w:after="120" w:line="280" w:lineRule="auto"/>
        <w:jc w:val="both"/>
      </w:pPr>
      <w:r>
        <w:rPr>
          <w:b/>
          <w:bCs/>
          <w:color w:val="0B4F6C"/>
        </w:rPr>
        <w:t>Medical necessity documentation:</w:t>
      </w:r>
      <w:r>
        <w:t xml:space="preserve"> LLMs can analyse clinical documentation and generate summaries that highlight the elements supporting medical necessity criteria for utilisation management and prior authorisation reviews.</w:t>
      </w:r>
    </w:p>
    <w:p w14:paraId="25DB498A" w14:textId="77777777" w:rsidR="00772358" w:rsidRDefault="00000000">
      <w:pPr>
        <w:pStyle w:val="Heading2"/>
        <w:pBdr>
          <w:bottom w:val="single" w:sz="4" w:space="2" w:color="E8A020"/>
        </w:pBdr>
      </w:pPr>
      <w:r>
        <w:t>19.2 Clinical Documentation AI</w:t>
      </w:r>
    </w:p>
    <w:p w14:paraId="68A104BA" w14:textId="77777777" w:rsidR="00772358" w:rsidRDefault="00000000">
      <w:pPr>
        <w:spacing w:before="60" w:after="120" w:line="280" w:lineRule="auto"/>
        <w:jc w:val="both"/>
      </w:pPr>
      <w:r>
        <w:rPr>
          <w:b/>
          <w:bCs/>
          <w:color w:val="0B4F6C"/>
        </w:rPr>
        <w:t>Ambient documentation:</w:t>
      </w:r>
      <w:r>
        <w:t xml:space="preserve"> AI tools (Nuance DAX Copilot, Abridge, Suki) listen to physician-patient conversations and generate structured clinical notes — eliminating the documentation burden that contributes to physician burnout and drives 2–3 hours of daily after-visit note work.</w:t>
      </w:r>
    </w:p>
    <w:p w14:paraId="043F4C5C" w14:textId="77777777" w:rsidR="00772358" w:rsidRDefault="00000000">
      <w:pPr>
        <w:spacing w:before="60" w:after="120" w:line="280" w:lineRule="auto"/>
        <w:jc w:val="both"/>
      </w:pPr>
      <w:r>
        <w:rPr>
          <w:b/>
          <w:bCs/>
          <w:color w:val="0B4F6C"/>
        </w:rPr>
        <w:t>Discharge summary generation:</w:t>
      </w:r>
      <w:r>
        <w:t xml:space="preserve"> LLMs that synthesise inpatient clinical data — admission history, daily progress notes, lab trends, procedure notes, medication changes — into comprehensive, structured discharge summaries that are accurate, complete, and readable by the receiving provider.</w:t>
      </w:r>
    </w:p>
    <w:p w14:paraId="0B611169" w14:textId="77777777" w:rsidR="00772358" w:rsidRDefault="00000000">
      <w:pPr>
        <w:spacing w:before="60" w:after="120" w:line="280" w:lineRule="auto"/>
        <w:jc w:val="both"/>
      </w:pPr>
      <w:r>
        <w:rPr>
          <w:b/>
          <w:bCs/>
          <w:color w:val="0B4F6C"/>
        </w:rPr>
        <w:t>CDI concurrent query generation:</w:t>
      </w:r>
      <w:r>
        <w:t xml:space="preserve"> AI tools that continuously monitor inpatient records and generate CDI queries when documentation gaps are identified — scaling CDI function without proportional staffing increases.</w:t>
      </w:r>
    </w:p>
    <w:p w14:paraId="25E58E29" w14:textId="77777777" w:rsidR="00772358" w:rsidRDefault="00000000">
      <w:pPr>
        <w:pStyle w:val="Heading2"/>
        <w:pBdr>
          <w:bottom w:val="single" w:sz="4" w:space="2" w:color="E8A020"/>
        </w:pBdr>
      </w:pPr>
      <w:r>
        <w:t>19.3 Enterprise GenAI Architecture for Healthcare</w:t>
      </w:r>
    </w:p>
    <w:p w14:paraId="728B8A64" w14:textId="77777777" w:rsidR="00772358" w:rsidRDefault="00000000">
      <w:pPr>
        <w:spacing w:before="60" w:after="120" w:line="280" w:lineRule="auto"/>
        <w:jc w:val="both"/>
      </w:pPr>
      <w:r>
        <w:rPr>
          <w:b/>
          <w:bCs/>
          <w:color w:val="0B4F6C"/>
        </w:rPr>
        <w:t>Data security requirements:</w:t>
      </w:r>
      <w:r>
        <w:t xml:space="preserve"> All PHI used with LLMs must be processed in HIPAA-compliant environments. Major LLM providers (Microsoft Azure OpenAI Service, Amazon Bedrock, Google Vertex AI) offer HIPAA-eligible deployments with BAAs. Public API access to GPT-4 or Claude is not HIPAA-compliant for PHI processing.</w:t>
      </w:r>
    </w:p>
    <w:p w14:paraId="6E4913D0" w14:textId="77777777" w:rsidR="00772358" w:rsidRDefault="00000000">
      <w:pPr>
        <w:spacing w:before="60" w:after="120" w:line="280" w:lineRule="auto"/>
        <w:jc w:val="both"/>
      </w:pPr>
      <w:r>
        <w:rPr>
          <w:b/>
          <w:bCs/>
          <w:color w:val="0B4F6C"/>
        </w:rPr>
        <w:t>Retrieval-Augmented Generation (RAG):</w:t>
      </w:r>
      <w:r>
        <w:t xml:space="preserve"> Healthcare LLM applications typically use RAG architecture — retrieving relevant clinical policies, payer rules, or medical evidence before generating responses. RAG grounds LLM outputs in the organisation's specific policies and current clinical evidence, reducing hallucination risk.</w:t>
      </w:r>
    </w:p>
    <w:p w14:paraId="048A0B93" w14:textId="77777777" w:rsidR="00772358" w:rsidRDefault="00000000">
      <w:pPr>
        <w:spacing w:before="60" w:after="120" w:line="280" w:lineRule="auto"/>
        <w:jc w:val="both"/>
      </w:pPr>
      <w:r>
        <w:rPr>
          <w:b/>
          <w:bCs/>
          <w:color w:val="0B4F6C"/>
        </w:rPr>
        <w:t>Human-in-the-loop requirements:</w:t>
      </w:r>
      <w:r>
        <w:t xml:space="preserve"> All GenAI outputs in clinical and billing contexts must be reviewed by qualified professionals before use. PA letters must be reviewed by clinical staff. Denial appeals must be reviewed by coding or clinical professionals. AI-generated clinical notes must be reviewed and authenticated by the responsible physician.</w:t>
      </w:r>
    </w:p>
    <w:p w14:paraId="3EEAC75E" w14:textId="77777777" w:rsidR="00772358" w:rsidRDefault="00000000">
      <w:pPr>
        <w:spacing w:before="60" w:after="120" w:line="280" w:lineRule="auto"/>
        <w:jc w:val="both"/>
      </w:pPr>
      <w:r>
        <w:rPr>
          <w:b/>
          <w:bCs/>
          <w:color w:val="0B4F6C"/>
        </w:rPr>
        <w:t>Hallucination management:</w:t>
      </w:r>
      <w:r>
        <w:t xml:space="preserve"> LLMs can generate plausible-sounding but incorrect clinical or billing information. For healthcare applications, output validation — checking generated content against source documents, policy databases, and structured clinical data — is essential before human review.</w:t>
      </w:r>
    </w:p>
    <w:p w14:paraId="4FEF2721" w14:textId="77777777" w:rsidR="00772358" w:rsidRDefault="00000000">
      <w:pPr>
        <w:pStyle w:val="Heading2"/>
        <w:pBdr>
          <w:bottom w:val="single" w:sz="4" w:space="2" w:color="E8A020"/>
        </w:pBdr>
      </w:pPr>
      <w:r>
        <w:t>19.4 GCC GenAI Delivery Model</w:t>
      </w:r>
    </w:p>
    <w:p w14:paraId="24BD0FDB" w14:textId="77777777" w:rsidR="00772358" w:rsidRDefault="00000000">
      <w:pPr>
        <w:spacing w:before="60" w:after="120" w:line="280" w:lineRule="auto"/>
        <w:jc w:val="both"/>
      </w:pPr>
      <w:r>
        <w:t>Healthcare GCCs are the natural implementation and operations centres for enterprise GenAI programs:</w:t>
      </w:r>
    </w:p>
    <w:p w14:paraId="0416097F" w14:textId="77777777" w:rsidR="00772358" w:rsidRDefault="00000000">
      <w:pPr>
        <w:spacing w:before="60" w:after="120" w:line="280" w:lineRule="auto"/>
        <w:jc w:val="both"/>
      </w:pPr>
      <w:r>
        <w:rPr>
          <w:b/>
          <w:bCs/>
          <w:color w:val="0B4F6C"/>
        </w:rPr>
        <w:t>Prompt engineering and model fine-tuning:</w:t>
      </w:r>
      <w:r>
        <w:t xml:space="preserve"> GCC AI teams develop the prompting strategies and fine-tuning datasets that improve LLM performance for specific healthcare tasks.</w:t>
      </w:r>
    </w:p>
    <w:p w14:paraId="5C7704CF" w14:textId="77777777" w:rsidR="00772358" w:rsidRDefault="00000000">
      <w:pPr>
        <w:spacing w:before="60" w:after="120" w:line="280" w:lineRule="auto"/>
        <w:jc w:val="both"/>
      </w:pPr>
      <w:r>
        <w:rPr>
          <w:b/>
          <w:bCs/>
          <w:color w:val="0B4F6C"/>
        </w:rPr>
        <w:t>AI operations:</w:t>
      </w:r>
      <w:r>
        <w:t xml:space="preserve"> GCC teams manage the human-in-the-loop workflows — reviewing AI-generated PA letters, appeal letters, and documentation summaries before they are released to production use.</w:t>
      </w:r>
    </w:p>
    <w:p w14:paraId="5D005177" w14:textId="77777777" w:rsidR="00772358" w:rsidRDefault="00000000">
      <w:pPr>
        <w:spacing w:before="60" w:after="120" w:line="280" w:lineRule="auto"/>
        <w:jc w:val="both"/>
      </w:pPr>
      <w:r>
        <w:rPr>
          <w:b/>
          <w:bCs/>
          <w:color w:val="0B4F6C"/>
        </w:rPr>
        <w:t>Quality monitoring:</w:t>
      </w:r>
      <w:r>
        <w:t xml:space="preserve"> Ongoing monitoring of AI output quality — tracking accuracy, hallucination rates, and clinical appropriateness — against defined performance standards.</w:t>
      </w:r>
    </w:p>
    <w:p w14:paraId="70421B05" w14:textId="77777777" w:rsidR="00772358" w:rsidRDefault="00000000">
      <w:pPr>
        <w:spacing w:before="60" w:after="120" w:line="280" w:lineRule="auto"/>
        <w:jc w:val="both"/>
      </w:pPr>
      <w:r>
        <w:rPr>
          <w:b/>
          <w:bCs/>
          <w:color w:val="0B4F6C"/>
        </w:rPr>
        <w:t>Training data curation:</w:t>
      </w:r>
      <w:r>
        <w:t xml:space="preserve"> Building and maintaining the high-quality, labelled training datasets that enable healthcare-specific model improvement.</w:t>
      </w:r>
    </w:p>
    <w:p w14:paraId="33137206" w14:textId="77777777" w:rsidR="00772358" w:rsidRDefault="00000000">
      <w:pPr>
        <w:pStyle w:val="Heading2"/>
        <w:pBdr>
          <w:bottom w:val="single" w:sz="4" w:space="2" w:color="E8A020"/>
        </w:pBdr>
      </w:pPr>
      <w:r>
        <w:t>Questions for Leadership</w:t>
      </w:r>
    </w:p>
    <w:p w14:paraId="0C0A168A" w14:textId="77777777" w:rsidR="00772358" w:rsidRDefault="00000000">
      <w:pPr>
        <w:spacing w:before="60" w:after="120" w:line="280" w:lineRule="auto"/>
        <w:jc w:val="both"/>
      </w:pPr>
      <w:r>
        <w:t>Has the organisation deployed ambient documentation AI, and what is the measured impact on physician documentation time and note quality? Is there a GenAI governance policy in place that addresses PHI processing requirements, human oversight requirements, and LLM vendor BAA execution? What percentage of prior authorisation letters and denial appeals are currently being drafted with AI assistance?</w:t>
      </w:r>
    </w:p>
    <w:p w14:paraId="7A0F751C" w14:textId="77777777" w:rsidR="00772358" w:rsidRDefault="00000000">
      <w:pPr>
        <w:spacing w:before="60" w:after="120" w:line="280" w:lineRule="auto"/>
        <w:jc w:val="both"/>
      </w:pPr>
      <w:r>
        <w:rPr>
          <w:i/>
          <w:iCs/>
        </w:rPr>
        <w:t>Chapter 19 complete.</w:t>
      </w:r>
    </w:p>
    <w:p w14:paraId="3E0CB03A" w14:textId="77777777" w:rsidR="00772358" w:rsidRDefault="00000000">
      <w:r>
        <w:br/>
      </w:r>
    </w:p>
    <w:p w14:paraId="07D1810F" w14:textId="77777777" w:rsidR="00772358" w:rsidRDefault="00000000">
      <w:pPr>
        <w:pStyle w:val="Heading1"/>
        <w:pBdr>
          <w:bottom w:val="single" w:sz="8" w:space="4" w:color="E8A020"/>
        </w:pBdr>
        <w:shd w:val="clear" w:color="auto" w:fill="0B4F6C"/>
        <w:ind w:left="160" w:right="160"/>
      </w:pPr>
      <w:r>
        <w:t>Chapter 20: India Healthcare GCC Landscape — Players, Cities &amp; Strategy</w:t>
      </w:r>
    </w:p>
    <w:p w14:paraId="0B50C3B7"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13F2622E" w14:textId="77777777">
        <w:tblPrEx>
          <w:tblCellMar>
            <w:top w:w="0" w:type="dxa"/>
            <w:bottom w:w="0" w:type="dxa"/>
          </w:tblCellMar>
        </w:tblPrEx>
        <w:tc>
          <w:tcPr>
            <w:tcW w:w="9360" w:type="dxa"/>
            <w:tcBorders>
              <w:top w:val="single" w:sz="6" w:space="0" w:color="17A8C8"/>
              <w:left w:val="single" w:sz="18" w:space="0" w:color="17A8C8"/>
              <w:bottom w:val="single" w:sz="6" w:space="0" w:color="17A8C8"/>
              <w:right w:val="single" w:sz="6" w:space="0" w:color="17A8C8"/>
            </w:tcBorders>
            <w:shd w:val="clear" w:color="auto" w:fill="E8F8FC"/>
            <w:tcMar>
              <w:top w:w="140" w:type="dxa"/>
              <w:left w:w="200" w:type="dxa"/>
              <w:bottom w:w="140" w:type="dxa"/>
              <w:right w:w="200" w:type="dxa"/>
            </w:tcMar>
          </w:tcPr>
          <w:p w14:paraId="3470FDDA" w14:textId="77777777" w:rsidR="00772358" w:rsidRDefault="00000000">
            <w:pPr>
              <w:spacing w:after="80"/>
            </w:pPr>
            <w:r>
              <w:rPr>
                <w:b/>
                <w:bCs/>
                <w:color w:val="E8A020"/>
                <w:sz w:val="17"/>
                <w:szCs w:val="17"/>
              </w:rPr>
              <w:t>EXECUTIVE SUMMARY</w:t>
            </w:r>
          </w:p>
          <w:p w14:paraId="6DC75AC6" w14:textId="77777777" w:rsidR="00772358" w:rsidRDefault="00000000">
            <w:pPr>
              <w:jc w:val="both"/>
            </w:pPr>
            <w:r>
              <w:rPr>
                <w:i/>
                <w:iCs/>
                <w:sz w:val="20"/>
                <w:szCs w:val="20"/>
              </w:rPr>
              <w:t>India is the world's most important geography for healthcare Global Capability Centres. The combination of deep English-language proficiency, a large and growing healthcare operations talent pool, favourable labour economics, a proactive policy environment, and decades of accumulated institutional knowledge in healthcare BPO and KPO has made India the preferred location for healthcare GCC development by US payers, health systems, and healthcare technology companies. This chapter provides the complete India healthcare GCC landscape — the major players, the emerging landscape, the city-by-city analysis, and the strategic framework for GCC investment decisions.</w:t>
            </w:r>
          </w:p>
        </w:tc>
      </w:tr>
    </w:tbl>
    <w:p w14:paraId="54AD491D" w14:textId="77777777" w:rsidR="00772358" w:rsidRDefault="00772358">
      <w:pPr>
        <w:spacing w:after="80"/>
      </w:pPr>
    </w:p>
    <w:p w14:paraId="16DAC58A" w14:textId="77777777" w:rsidR="00772358" w:rsidRDefault="00000000">
      <w:pPr>
        <w:pStyle w:val="Heading2"/>
        <w:pBdr>
          <w:bottom w:val="single" w:sz="4" w:space="2" w:color="E8A020"/>
        </w:pBdr>
      </w:pPr>
      <w:r>
        <w:t>20.1 The Major Healthcare GCCs in India</w:t>
      </w:r>
    </w:p>
    <w:p w14:paraId="61D8F71A" w14:textId="77777777" w:rsidR="00772358" w:rsidRDefault="00000000">
      <w:pPr>
        <w:spacing w:before="200" w:after="80"/>
        <w:jc w:val="center"/>
      </w:pPr>
      <w:r>
        <w:rPr>
          <w:noProof/>
        </w:rPr>
        <w:drawing>
          <wp:inline distT="0" distB="0" distL="0" distR="0" wp14:anchorId="3BAC0006" wp14:editId="5089AFE9">
            <wp:extent cx="3924300" cy="1962150"/>
            <wp:effectExtent l="0" t="0" r="0" b="0"/>
            <wp:docPr id="1612171085" name="Picture 161217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924300" cy="1962150"/>
                    </a:xfrm>
                    <a:prstGeom prst="rect">
                      <a:avLst/>
                    </a:prstGeom>
                  </pic:spPr>
                </pic:pic>
              </a:graphicData>
            </a:graphic>
          </wp:inline>
        </w:drawing>
      </w:r>
    </w:p>
    <w:p w14:paraId="5B8C9495" w14:textId="77777777" w:rsidR="00772358" w:rsidRDefault="00000000">
      <w:pPr>
        <w:spacing w:after="200"/>
        <w:jc w:val="center"/>
      </w:pPr>
      <w:r>
        <w:rPr>
          <w:i/>
          <w:iCs/>
          <w:color w:val="5B8FA8"/>
          <w:sz w:val="18"/>
          <w:szCs w:val="18"/>
        </w:rPr>
        <w:t>Figure 20.1: India Healthcare GCC Landscape — Cities &amp; Major Players</w:t>
      </w:r>
    </w:p>
    <w:p w14:paraId="3B2D06CC" w14:textId="77777777" w:rsidR="00772358" w:rsidRDefault="00000000">
      <w:pPr>
        <w:spacing w:before="60" w:after="120" w:line="280" w:lineRule="auto"/>
        <w:jc w:val="both"/>
      </w:pPr>
      <w:r>
        <w:rPr>
          <w:b/>
          <w:bCs/>
          <w:color w:val="0B4F6C"/>
        </w:rPr>
        <w:t>Optum India — UnitedHealth Group</w:t>
      </w:r>
    </w:p>
    <w:p w14:paraId="496AA4D0" w14:textId="77777777" w:rsidR="00772358" w:rsidRDefault="00000000">
      <w:pPr>
        <w:spacing w:before="60" w:after="120" w:line="280" w:lineRule="auto"/>
        <w:jc w:val="both"/>
      </w:pPr>
      <w:r>
        <w:t>Optum India is the largest healthcare GCC in the world, with 35,000+ employees across Hyderabad, Gurgaon, Noida, and Bengaluru. Optum's India operations span analytics, technology, clinical operations (medical coding, CDI, clinical review), payer operations (claims, eligibility, network management), and product engineering. Hyderabad is Optum's primary hub, with a campus employing approximately 20,000 people and housing capabilities across the full Optum service portfolio.</w:t>
      </w:r>
    </w:p>
    <w:p w14:paraId="1B419E33" w14:textId="77777777" w:rsidR="00772358" w:rsidRDefault="00000000">
      <w:pPr>
        <w:spacing w:before="60" w:after="120" w:line="280" w:lineRule="auto"/>
        <w:jc w:val="both"/>
      </w:pPr>
      <w:r>
        <w:rPr>
          <w:b/>
          <w:bCs/>
          <w:color w:val="0B4F6C"/>
        </w:rPr>
        <w:t>Elevance Health India (Anthem)</w:t>
      </w:r>
    </w:p>
    <w:p w14:paraId="3F5ECDD0" w14:textId="77777777" w:rsidR="00772358" w:rsidRDefault="00000000">
      <w:pPr>
        <w:spacing w:before="60" w:after="120" w:line="280" w:lineRule="auto"/>
        <w:jc w:val="both"/>
      </w:pPr>
      <w:r>
        <w:t>Elevance Health India operates in Hyderabad with approximately 8,000 employees. The GCC delivers claims operations, analytics, provider data management, compliance, and technology services. Elevance's India operations are characterised by deep domain expertise in Medicare Advantage and Medicaid managed care — reflecting the parent company's concentration in government-sponsored health plans.</w:t>
      </w:r>
    </w:p>
    <w:p w14:paraId="330A82C0" w14:textId="77777777" w:rsidR="00772358" w:rsidRDefault="00000000">
      <w:pPr>
        <w:spacing w:before="60" w:after="120" w:line="280" w:lineRule="auto"/>
        <w:jc w:val="both"/>
      </w:pPr>
      <w:r>
        <w:rPr>
          <w:b/>
          <w:bCs/>
          <w:color w:val="0B4F6C"/>
        </w:rPr>
        <w:t>Humana India</w:t>
      </w:r>
    </w:p>
    <w:p w14:paraId="3546BF97" w14:textId="77777777" w:rsidR="00772358" w:rsidRDefault="00000000">
      <w:pPr>
        <w:spacing w:before="60" w:after="120" w:line="280" w:lineRule="auto"/>
        <w:jc w:val="both"/>
      </w:pPr>
      <w:r>
        <w:t>Humana's India GCC in Hyderabad employs approximately 4,000 people across analytics, technology, and care management support functions. Humana India is a significant contributor to Humana's clinical analytics capability, including its population health risk stratification and care management programs.</w:t>
      </w:r>
    </w:p>
    <w:p w14:paraId="7630D467" w14:textId="77777777" w:rsidR="00772358" w:rsidRDefault="00000000">
      <w:pPr>
        <w:spacing w:before="60" w:after="120" w:line="280" w:lineRule="auto"/>
        <w:jc w:val="both"/>
      </w:pPr>
      <w:r>
        <w:rPr>
          <w:b/>
          <w:bCs/>
          <w:color w:val="0B4F6C"/>
        </w:rPr>
        <w:t>Cigna India</w:t>
      </w:r>
    </w:p>
    <w:p w14:paraId="4A51575F" w14:textId="77777777" w:rsidR="00772358" w:rsidRDefault="00000000">
      <w:pPr>
        <w:spacing w:before="60" w:after="120" w:line="280" w:lineRule="auto"/>
        <w:jc w:val="both"/>
      </w:pPr>
      <w:r>
        <w:t>Cigna India operates in Hyderabad and delivers clinical operations, analytics, and IT services in support of Cigna's global health insurance business. Cigna's India operations have particular depth in international health plan administration.</w:t>
      </w:r>
    </w:p>
    <w:p w14:paraId="2D91BD57" w14:textId="77777777" w:rsidR="00772358" w:rsidRDefault="00000000">
      <w:pPr>
        <w:spacing w:before="60" w:after="120" w:line="280" w:lineRule="auto"/>
        <w:jc w:val="both"/>
      </w:pPr>
      <w:r>
        <w:rPr>
          <w:b/>
          <w:bCs/>
          <w:color w:val="0B4F6C"/>
        </w:rPr>
        <w:t>Aetna/CVS Health India</w:t>
      </w:r>
    </w:p>
    <w:p w14:paraId="4B1986AD" w14:textId="77777777" w:rsidR="00772358" w:rsidRDefault="00000000">
      <w:pPr>
        <w:spacing w:before="60" w:after="120" w:line="280" w:lineRule="auto"/>
        <w:jc w:val="both"/>
      </w:pPr>
      <w:r>
        <w:t>CVS Health's India operations (encompassing Aetna health plan operations) are based in Pune and Hyderabad, with approximately 5,000 employees delivering claims operations, analytics, pharmacy benefit management support, and technology.</w:t>
      </w:r>
    </w:p>
    <w:p w14:paraId="2D506D0C" w14:textId="77777777" w:rsidR="00772358" w:rsidRDefault="00000000">
      <w:pPr>
        <w:spacing w:before="60" w:after="120" w:line="280" w:lineRule="auto"/>
        <w:jc w:val="both"/>
      </w:pPr>
      <w:r>
        <w:rPr>
          <w:b/>
          <w:bCs/>
          <w:color w:val="0B4F6C"/>
        </w:rPr>
        <w:t>HCA Healthcare India</w:t>
      </w:r>
    </w:p>
    <w:p w14:paraId="017422CE" w14:textId="77777777" w:rsidR="00772358" w:rsidRDefault="00000000">
      <w:pPr>
        <w:spacing w:before="60" w:after="120" w:line="280" w:lineRule="auto"/>
        <w:jc w:val="both"/>
      </w:pPr>
      <w:r>
        <w:t>HCA Healthcare's Hyderabad GCC focuses on clinical coding, CDI, and revenue cycle analytics in support of HCA's network of 180+ US hospitals. HCA's India operations are notable for the depth of their clinical coding expertise — reflecting the parent company's investment in coding quality as a revenue integrity lever.</w:t>
      </w:r>
    </w:p>
    <w:p w14:paraId="5F67EA36" w14:textId="77777777" w:rsidR="00772358" w:rsidRDefault="00000000">
      <w:pPr>
        <w:spacing w:before="60" w:after="120" w:line="280" w:lineRule="auto"/>
        <w:jc w:val="both"/>
      </w:pPr>
      <w:r>
        <w:rPr>
          <w:b/>
          <w:bCs/>
          <w:color w:val="0B4F6C"/>
        </w:rPr>
        <w:t>Emerging provider GCCs:</w:t>
      </w:r>
      <w:r>
        <w:t xml:space="preserve"> </w:t>
      </w:r>
      <w:proofErr w:type="spellStart"/>
      <w:r>
        <w:t>CommonSpirit</w:t>
      </w:r>
      <w:proofErr w:type="spellEnd"/>
      <w:r>
        <w:t xml:space="preserve"> Health, Ascension, Providence, Froedtert, and several major academic medical centre health systems are establishing or expanding India GCC operations, reflecting a shift from payer-dominated GCC adoption to broader provider organisation investment.</w:t>
      </w:r>
    </w:p>
    <w:p w14:paraId="30910E5C" w14:textId="77777777" w:rsidR="00772358" w:rsidRDefault="00000000">
      <w:pPr>
        <w:pStyle w:val="Heading2"/>
        <w:pBdr>
          <w:bottom w:val="single" w:sz="4" w:space="2" w:color="E8A020"/>
        </w:pBdr>
      </w:pPr>
      <w:r>
        <w:t>20.2 City-by-City Analysis</w:t>
      </w:r>
    </w:p>
    <w:p w14:paraId="47E09E36" w14:textId="77777777" w:rsidR="00772358" w:rsidRDefault="00000000">
      <w:pPr>
        <w:spacing w:before="60" w:after="120" w:line="280" w:lineRule="auto"/>
        <w:jc w:val="both"/>
      </w:pPr>
      <w:r>
        <w:rPr>
          <w:b/>
          <w:bCs/>
          <w:color w:val="0B4F6C"/>
        </w:rPr>
        <w:t>Hyderabad — The Healthcare GCC Capital</w:t>
      </w:r>
    </w:p>
    <w:p w14:paraId="0F225FB4" w14:textId="77777777" w:rsidR="00772358" w:rsidRDefault="00000000">
      <w:pPr>
        <w:spacing w:before="60" w:after="120" w:line="280" w:lineRule="auto"/>
        <w:jc w:val="both"/>
      </w:pPr>
      <w:r>
        <w:t>Hyderabad is the dominant city for healthcare GCCs, hosting the India operations of Optum, Elevance, Humana, Cigna, HCA, and dozens of mid-tier healthcare organisations. The city's advantages include a large, established healthcare operations talent pool (built over 20+ years of BPO and KPO development), comparatively lower cost of living and real estate than Bengaluru, a proactive state government (Telangana's T-Hub and TASK initiatives), and the Genome Valley pharmaceutical and life sciences cluster that creates adjacency for healthcare talent development.</w:t>
      </w:r>
    </w:p>
    <w:p w14:paraId="34BE26F3" w14:textId="77777777" w:rsidR="00772358" w:rsidRDefault="00000000">
      <w:pPr>
        <w:spacing w:before="60" w:after="120" w:line="280" w:lineRule="auto"/>
        <w:jc w:val="both"/>
      </w:pPr>
      <w:r>
        <w:rPr>
          <w:b/>
          <w:bCs/>
          <w:color w:val="0B4F6C"/>
        </w:rPr>
        <w:t>Bengaluru — The Technology Hub</w:t>
      </w:r>
    </w:p>
    <w:p w14:paraId="7DE918B5" w14:textId="77777777" w:rsidR="00772358" w:rsidRDefault="00000000">
      <w:pPr>
        <w:spacing w:before="60" w:after="120" w:line="280" w:lineRule="auto"/>
        <w:jc w:val="both"/>
      </w:pPr>
      <w:r>
        <w:t>Bengaluru hosts technology-intensive healthcare GCCs that require deeper software engineering, AI/ML, and data engineering talent alongside healthcare domain knowledge. AstraZeneca India (Bengaluru) and several healthcare technology companies have significant Bengaluru presences. The city's tech talent density makes it the preferred location for healthcare GCCs with large engineering components.</w:t>
      </w:r>
    </w:p>
    <w:p w14:paraId="7265CF30" w14:textId="77777777" w:rsidR="00772358" w:rsidRDefault="00000000">
      <w:pPr>
        <w:spacing w:before="60" w:after="120" w:line="280" w:lineRule="auto"/>
        <w:jc w:val="both"/>
      </w:pPr>
      <w:r>
        <w:rPr>
          <w:b/>
          <w:bCs/>
          <w:color w:val="0B4F6C"/>
        </w:rPr>
        <w:t>Chennai — Emerging Healthcare GCC</w:t>
      </w:r>
    </w:p>
    <w:p w14:paraId="46CA52F5" w14:textId="77777777" w:rsidR="00772358" w:rsidRDefault="00000000">
      <w:pPr>
        <w:spacing w:before="60" w:after="120" w:line="280" w:lineRule="auto"/>
        <w:jc w:val="both"/>
      </w:pPr>
      <w:r>
        <w:t>Chennai is developing as a healthcare GCC location, particularly for provider-side organisations with large clinical coding and revenue cycle requirements. The city's strong analytical talent base and lower cost structure than Bengaluru make it attractive for function-specific GCC expansion.</w:t>
      </w:r>
    </w:p>
    <w:p w14:paraId="5ADD57D8" w14:textId="77777777" w:rsidR="00772358" w:rsidRDefault="00000000">
      <w:pPr>
        <w:spacing w:before="60" w:after="120" w:line="280" w:lineRule="auto"/>
        <w:jc w:val="both"/>
      </w:pPr>
      <w:r>
        <w:rPr>
          <w:b/>
          <w:bCs/>
          <w:color w:val="0B4F6C"/>
        </w:rPr>
        <w:t>Pune — Financial and Analytics Hub</w:t>
      </w:r>
    </w:p>
    <w:p w14:paraId="787FE74F" w14:textId="77777777" w:rsidR="00772358" w:rsidRDefault="00000000">
      <w:pPr>
        <w:spacing w:before="60" w:after="120" w:line="280" w:lineRule="auto"/>
        <w:jc w:val="both"/>
      </w:pPr>
      <w:r>
        <w:t>Pune hosts CVS Health/Aetna and several mid-tier healthcare GCCs. The city's strength in financial analytics, actuarial science, and business process management makes it particularly attractive for payer analytics and financial operations functions.</w:t>
      </w:r>
    </w:p>
    <w:p w14:paraId="5DD9CCD7" w14:textId="77777777" w:rsidR="00772358" w:rsidRDefault="00000000">
      <w:pPr>
        <w:pStyle w:val="Heading2"/>
        <w:pBdr>
          <w:bottom w:val="single" w:sz="4" w:space="2" w:color="E8A020"/>
        </w:pBdr>
      </w:pPr>
      <w:r>
        <w:t>20.3 GCC Operating Model Design</w:t>
      </w:r>
    </w:p>
    <w:p w14:paraId="079439C9" w14:textId="77777777" w:rsidR="00772358" w:rsidRDefault="00000000">
      <w:pPr>
        <w:spacing w:before="60" w:after="120" w:line="280" w:lineRule="auto"/>
        <w:jc w:val="both"/>
      </w:pPr>
      <w:r>
        <w:t>The critical design decisions for a healthcare GCC encompass four dimensions.</w:t>
      </w:r>
    </w:p>
    <w:p w14:paraId="5C799A27" w14:textId="77777777" w:rsidR="00772358" w:rsidRDefault="00000000">
      <w:pPr>
        <w:spacing w:before="60" w:after="120" w:line="280" w:lineRule="auto"/>
        <w:jc w:val="both"/>
      </w:pPr>
      <w:r>
        <w:rPr>
          <w:b/>
          <w:bCs/>
          <w:color w:val="0B4F6C"/>
        </w:rPr>
        <w:t>Scope and mandate:</w:t>
      </w:r>
      <w:r>
        <w:t xml:space="preserve"> What capabilities will the GCC own, versus support? Is the GCC a cost centre (delivering defined services at defined SLAs), a shared service centre (delivering consolidated services across multiple business units), or a capability hub (owning global processes and building proprietary capabilities)?</w:t>
      </w:r>
    </w:p>
    <w:p w14:paraId="401BA49B" w14:textId="77777777" w:rsidR="00772358" w:rsidRDefault="00000000">
      <w:pPr>
        <w:spacing w:before="60" w:after="120" w:line="280" w:lineRule="auto"/>
        <w:jc w:val="both"/>
      </w:pPr>
      <w:r>
        <w:rPr>
          <w:b/>
          <w:bCs/>
          <w:color w:val="0B4F6C"/>
        </w:rPr>
        <w:t>Operating model:</w:t>
      </w:r>
      <w:r>
        <w:t xml:space="preserve"> Captive GCC (wholly owned subsidiary) provides maximum control and capability development but requires substantial upfront investment. BOT (Build-Operate-Transfer) model uses a managed services partner to establish the GCC, with transfer to full captive ownership after 2–3 years. Managed capacity model uses a partner to provide dedicated staffing without full GCC infrastructure — lower investment but lower capability development.</w:t>
      </w:r>
    </w:p>
    <w:p w14:paraId="7F86B15C" w14:textId="77777777" w:rsidR="00772358" w:rsidRDefault="00000000">
      <w:pPr>
        <w:spacing w:before="60" w:after="120" w:line="280" w:lineRule="auto"/>
        <w:jc w:val="both"/>
      </w:pPr>
      <w:r>
        <w:rPr>
          <w:b/>
          <w:bCs/>
          <w:color w:val="0B4F6C"/>
        </w:rPr>
        <w:t>Governance:</w:t>
      </w:r>
      <w:r>
        <w:t xml:space="preserve"> SLA frameworks, escalation protocols, quality audit programs, and the leadership structure that connects the GCC to parent organisation strategic priorities. The GCC leader's reporting relationship — to the CFO, COO, or a functional executive — signals organisational positioning.</w:t>
      </w:r>
    </w:p>
    <w:p w14:paraId="6D4F1B91" w14:textId="77777777" w:rsidR="00772358" w:rsidRDefault="00000000">
      <w:pPr>
        <w:spacing w:before="60" w:after="120" w:line="280" w:lineRule="auto"/>
        <w:jc w:val="both"/>
      </w:pPr>
      <w:r>
        <w:rPr>
          <w:b/>
          <w:bCs/>
          <w:color w:val="0B4F6C"/>
        </w:rPr>
        <w:t>Talent strategy:</w:t>
      </w:r>
      <w:r>
        <w:t xml:space="preserve"> Healthcare GCC talent in India is in increasing demand as GCC adoption grows. Differentiated talent strategies — IIT/IIIT academic partnerships, healthcare-specific training programs, career path clarity, and flexible work models — are essential for attracting and retaining the specialist talent that Gen 3 GCCs require.</w:t>
      </w:r>
    </w:p>
    <w:p w14:paraId="0EE18157" w14:textId="77777777" w:rsidR="00772358" w:rsidRDefault="00000000">
      <w:pPr>
        <w:pStyle w:val="Heading2"/>
        <w:pBdr>
          <w:bottom w:val="single" w:sz="4" w:space="2" w:color="E8A020"/>
        </w:pBdr>
      </w:pPr>
      <w:r>
        <w:t>Questions for Leadership</w:t>
      </w:r>
    </w:p>
    <w:p w14:paraId="7C2B9D3A" w14:textId="77777777" w:rsidR="00772358" w:rsidRDefault="00000000">
      <w:pPr>
        <w:spacing w:before="60" w:after="120" w:line="280" w:lineRule="auto"/>
        <w:jc w:val="both"/>
      </w:pPr>
      <w:r>
        <w:t>Is the organisation's GCC operating model explicitly designed to advance the GCC from Generation 1 or 2 to Generation 3 capability, and is there a funded capability development roadmap? What is the current GCC capability maturity level for each major function (RCM, analytics, clinical operations, technology), and what are the highest-priority advancement investments? Has the GCC talent strategy been benchmarked against the leading healthcare GCCs in Hyderabad to ensure competitive compensation, career development, and employer brand positioning?</w:t>
      </w:r>
    </w:p>
    <w:p w14:paraId="303BA3DF" w14:textId="77777777" w:rsidR="00772358" w:rsidRDefault="00000000">
      <w:pPr>
        <w:spacing w:before="60" w:after="120" w:line="280" w:lineRule="auto"/>
        <w:jc w:val="both"/>
      </w:pPr>
      <w:r>
        <w:rPr>
          <w:i/>
          <w:iCs/>
        </w:rPr>
        <w:t>Chapter 20 complete.</w:t>
      </w:r>
    </w:p>
    <w:p w14:paraId="7B0A67C4" w14:textId="77777777" w:rsidR="00772358" w:rsidRDefault="00000000">
      <w:r>
        <w:br/>
      </w:r>
    </w:p>
    <w:p w14:paraId="593BCE86" w14:textId="77777777" w:rsidR="00772358" w:rsidRDefault="00000000">
      <w:pPr>
        <w:shd w:val="clear" w:color="auto" w:fill="072D3D"/>
        <w:spacing w:after="100"/>
        <w:jc w:val="center"/>
      </w:pPr>
      <w:r>
        <w:rPr>
          <w:b/>
          <w:bCs/>
          <w:color w:val="E8A020"/>
          <w:sz w:val="24"/>
          <w:szCs w:val="24"/>
        </w:rPr>
        <w:t>PART IX</w:t>
      </w:r>
    </w:p>
    <w:p w14:paraId="666EE27D" w14:textId="77777777" w:rsidR="00772358" w:rsidRDefault="00000000">
      <w:pPr>
        <w:pBdr>
          <w:bottom w:val="single" w:sz="8" w:space="8" w:color="E8A020"/>
        </w:pBdr>
        <w:shd w:val="clear" w:color="auto" w:fill="072D3D"/>
        <w:spacing w:after="600"/>
        <w:jc w:val="center"/>
      </w:pPr>
      <w:r>
        <w:rPr>
          <w:b/>
          <w:bCs/>
          <w:color w:val="FFFFFF"/>
          <w:sz w:val="44"/>
          <w:szCs w:val="44"/>
        </w:rPr>
        <w:t>Payment Integrity &amp; Specialist Topics</w:t>
      </w:r>
    </w:p>
    <w:p w14:paraId="46F3C042" w14:textId="77777777" w:rsidR="00772358" w:rsidRDefault="00000000">
      <w:r>
        <w:br/>
      </w:r>
    </w:p>
    <w:p w14:paraId="10237E91" w14:textId="77777777" w:rsidR="00772358" w:rsidRDefault="00000000">
      <w:pPr>
        <w:pStyle w:val="Heading1"/>
        <w:pBdr>
          <w:bottom w:val="single" w:sz="8" w:space="4" w:color="E8A020"/>
        </w:pBdr>
        <w:shd w:val="clear" w:color="auto" w:fill="0B4F6C"/>
        <w:ind w:left="160" w:right="160"/>
      </w:pPr>
      <w:r>
        <w:t>Chapter 21: Payment Integrity, FWA &amp; Audit Analytics</w:t>
      </w:r>
    </w:p>
    <w:p w14:paraId="3CBB4B4E"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11D5872B" w14:textId="77777777">
        <w:tblPrEx>
          <w:tblCellMar>
            <w:top w:w="0" w:type="dxa"/>
            <w:bottom w:w="0" w:type="dxa"/>
          </w:tblCellMar>
        </w:tblPrEx>
        <w:tc>
          <w:tcPr>
            <w:tcW w:w="9360" w:type="dxa"/>
            <w:tcBorders>
              <w:top w:val="single" w:sz="6" w:space="0" w:color="17A8C8"/>
              <w:left w:val="single" w:sz="18" w:space="0" w:color="17A8C8"/>
              <w:bottom w:val="single" w:sz="6" w:space="0" w:color="17A8C8"/>
              <w:right w:val="single" w:sz="6" w:space="0" w:color="17A8C8"/>
            </w:tcBorders>
            <w:shd w:val="clear" w:color="auto" w:fill="E8F8FC"/>
            <w:tcMar>
              <w:top w:w="140" w:type="dxa"/>
              <w:left w:w="200" w:type="dxa"/>
              <w:bottom w:w="140" w:type="dxa"/>
              <w:right w:w="200" w:type="dxa"/>
            </w:tcMar>
          </w:tcPr>
          <w:p w14:paraId="7844C5E0" w14:textId="77777777" w:rsidR="00772358" w:rsidRDefault="00000000">
            <w:pPr>
              <w:spacing w:after="80"/>
            </w:pPr>
            <w:r>
              <w:rPr>
                <w:b/>
                <w:bCs/>
                <w:color w:val="E8A020"/>
                <w:sz w:val="17"/>
                <w:szCs w:val="17"/>
              </w:rPr>
              <w:t>EXECUTIVE SUMMARY</w:t>
            </w:r>
          </w:p>
          <w:p w14:paraId="01681AB7" w14:textId="77777777" w:rsidR="00772358" w:rsidRDefault="00000000">
            <w:pPr>
              <w:jc w:val="both"/>
            </w:pPr>
            <w:r>
              <w:rPr>
                <w:i/>
                <w:iCs/>
                <w:sz w:val="20"/>
                <w:szCs w:val="20"/>
              </w:rPr>
              <w:t>Payment integrity is the discipline of ensuring healthcare claims are paid correctly — not overpaid, not underpaid, and not fraudulently obtained. The scale of the problem is staggering: the federal government estimates that healthcare fraud, waste, and abuse costs $60–90 billion annually across Medicare and Medicaid alone. Improper payments in Medicare FFS totalled $31.4 billion in FY2023 per CMS reporting. Commercial payers face equivalent proportional losses. Payment integrity programs — combining pre-payment editing, post-payment audit, predictive analytics, and investigation — are among the highest-ROI investments in healthcare operations, returning $5–12 for every dollar invested.</w:t>
            </w:r>
          </w:p>
        </w:tc>
      </w:tr>
    </w:tbl>
    <w:p w14:paraId="47AF484D" w14:textId="77777777" w:rsidR="00772358" w:rsidRDefault="00772358">
      <w:pPr>
        <w:spacing w:after="80"/>
      </w:pPr>
    </w:p>
    <w:p w14:paraId="2A75827C" w14:textId="77777777" w:rsidR="00772358" w:rsidRDefault="00000000">
      <w:pPr>
        <w:pStyle w:val="Heading2"/>
        <w:pBdr>
          <w:bottom w:val="single" w:sz="4" w:space="2" w:color="E8A020"/>
        </w:pBdr>
      </w:pPr>
      <w:r>
        <w:t>21.1 The Payment Integrity Ecosystem</w:t>
      </w:r>
    </w:p>
    <w:p w14:paraId="791B9C5F" w14:textId="77777777" w:rsidR="00772358" w:rsidRDefault="00000000">
      <w:pPr>
        <w:spacing w:before="60" w:after="120" w:line="280" w:lineRule="auto"/>
        <w:jc w:val="both"/>
      </w:pPr>
      <w:r>
        <w:t xml:space="preserve">Payment integrity operates across </w:t>
      </w:r>
      <w:proofErr w:type="gramStart"/>
      <w:r>
        <w:t>three time</w:t>
      </w:r>
      <w:proofErr w:type="gramEnd"/>
      <w:r>
        <w:t xml:space="preserve"> horizons:</w:t>
      </w:r>
    </w:p>
    <w:p w14:paraId="334AD3BC" w14:textId="77777777" w:rsidR="00772358" w:rsidRDefault="00000000">
      <w:pPr>
        <w:spacing w:before="60" w:after="120" w:line="280" w:lineRule="auto"/>
        <w:jc w:val="both"/>
      </w:pPr>
      <w:r>
        <w:rPr>
          <w:b/>
          <w:bCs/>
          <w:color w:val="0B4F6C"/>
        </w:rPr>
        <w:t>Pre-payment</w:t>
      </w:r>
      <w:r>
        <w:t xml:space="preserve"> controls catch errors and anomalies before money leaves the payer. This includes claim editing (checking for coding validity, medical necessity, duplicate submission, coverage eligibility), clinical review (authorisation confirmation, medical necessity evaluation), and AI-based anomaly detection that flags statistically unusual billing patterns. Pre-payment controls are the highest-value intervention — stopping a fraudulent payment costs a fraction of recovering it.</w:t>
      </w:r>
    </w:p>
    <w:p w14:paraId="58A9AA70" w14:textId="77777777" w:rsidR="00772358" w:rsidRDefault="00000000">
      <w:pPr>
        <w:spacing w:before="60" w:after="120" w:line="280" w:lineRule="auto"/>
        <w:jc w:val="both"/>
      </w:pPr>
      <w:r>
        <w:rPr>
          <w:b/>
          <w:bCs/>
          <w:color w:val="0B4F6C"/>
        </w:rPr>
        <w:t>Real-time payment</w:t>
      </w:r>
      <w:r>
        <w:t xml:space="preserve"> controls apply at the moment of adjudication — automated flags that pause specific claims for review based on real-time risk scoring, provider behaviour patterns, or diagnosis-procedure combination anomalies.</w:t>
      </w:r>
    </w:p>
    <w:p w14:paraId="7FFC6E0A" w14:textId="77777777" w:rsidR="00772358" w:rsidRDefault="00000000">
      <w:pPr>
        <w:spacing w:before="60" w:after="120" w:line="280" w:lineRule="auto"/>
        <w:jc w:val="both"/>
      </w:pPr>
      <w:r>
        <w:rPr>
          <w:b/>
          <w:bCs/>
          <w:color w:val="0B4F6C"/>
        </w:rPr>
        <w:t>Post-payment</w:t>
      </w:r>
      <w:r>
        <w:t xml:space="preserve"> controls recover funds after disbursement through audit programs, retrospective review, data mining, coordination of benefits recovery, and subrogation. While harder than pre-payment prevention, post-payment recovery remains valuable — the average post-payment audit program identifies 1–3% of total paid claims as overpayments.</w:t>
      </w:r>
    </w:p>
    <w:p w14:paraId="1216704B" w14:textId="77777777" w:rsidR="00772358" w:rsidRDefault="00000000">
      <w:pPr>
        <w:pStyle w:val="Heading2"/>
        <w:pBdr>
          <w:bottom w:val="single" w:sz="4" w:space="2" w:color="E8A020"/>
        </w:pBdr>
      </w:pPr>
      <w:r>
        <w:t>21.2 Fraud, Waste &amp; Abuse Taxonomy</w:t>
      </w:r>
    </w:p>
    <w:p w14:paraId="01DEAE10" w14:textId="77777777" w:rsidR="00772358" w:rsidRDefault="00000000">
      <w:pPr>
        <w:spacing w:before="60" w:after="120" w:line="280" w:lineRule="auto"/>
        <w:jc w:val="both"/>
      </w:pPr>
      <w:r>
        <w:rPr>
          <w:b/>
          <w:bCs/>
          <w:color w:val="0B4F6C"/>
        </w:rPr>
        <w:t>Fraud</w:t>
      </w:r>
      <w:r>
        <w:t xml:space="preserve"> involves intentional deception to obtain unauthorised payment: billing for services not rendered, upcoding, unbundling, identity theft, phantom providers, and kickback arrangements. Fraud is a federal crime under the False Claims Act, Anti-Kickback Statute, and healthcare fraud statutes.</w:t>
      </w:r>
    </w:p>
    <w:p w14:paraId="56C853DC" w14:textId="77777777" w:rsidR="00772358" w:rsidRDefault="00000000">
      <w:pPr>
        <w:spacing w:before="60" w:after="120" w:line="280" w:lineRule="auto"/>
        <w:jc w:val="both"/>
      </w:pPr>
      <w:r>
        <w:rPr>
          <w:b/>
          <w:bCs/>
          <w:color w:val="0B4F6C"/>
        </w:rPr>
        <w:t>Waste</w:t>
      </w:r>
      <w:r>
        <w:t xml:space="preserve"> involves unnecessary resource consumption without intentional deception: overutilisation, inefficient care delivery, administrative inefficiency, and excessive resource consumption due to poorly designed care protocols.</w:t>
      </w:r>
    </w:p>
    <w:p w14:paraId="5E45F3AB" w14:textId="77777777" w:rsidR="00772358" w:rsidRDefault="00000000">
      <w:pPr>
        <w:spacing w:before="60" w:after="120" w:line="280" w:lineRule="auto"/>
        <w:jc w:val="both"/>
      </w:pPr>
      <w:r>
        <w:rPr>
          <w:b/>
          <w:bCs/>
          <w:color w:val="0B4F6C"/>
        </w:rPr>
        <w:t>Abuse</w:t>
      </w:r>
      <w:r>
        <w:t xml:space="preserve"> falls between fraud and waste: billing practices that are inconsistent with professional standards or payer policy but not necessarily intentional fraud. Examples include inappropriate modifier use, systematic overbilling of E&amp;M levels, and routine waiver of patient cost share.</w:t>
      </w:r>
    </w:p>
    <w:p w14:paraId="3CA1C24F" w14:textId="77777777" w:rsidR="00772358" w:rsidRDefault="00000000">
      <w:pPr>
        <w:pStyle w:val="Heading2"/>
        <w:pBdr>
          <w:bottom w:val="single" w:sz="4" w:space="2" w:color="E8A020"/>
        </w:pBdr>
      </w:pPr>
      <w:r>
        <w:t>21.3 High-Risk Fraud Schemes</w:t>
      </w:r>
    </w:p>
    <w:p w14:paraId="24A82CB7" w14:textId="77777777" w:rsidR="00772358" w:rsidRDefault="00000000">
      <w:pPr>
        <w:spacing w:before="60" w:after="120" w:line="280" w:lineRule="auto"/>
        <w:jc w:val="both"/>
      </w:pPr>
      <w:r>
        <w:rPr>
          <w:b/>
          <w:bCs/>
          <w:color w:val="0B4F6C"/>
        </w:rPr>
        <w:t>Phantom billing:</w:t>
      </w:r>
      <w:r>
        <w:t xml:space="preserve"> Claims for services never provided. Highest prevalence in home health, DME, and mental health services.</w:t>
      </w:r>
    </w:p>
    <w:p w14:paraId="62C81E0D" w14:textId="77777777" w:rsidR="00772358" w:rsidRDefault="00000000">
      <w:pPr>
        <w:spacing w:before="60" w:after="120" w:line="280" w:lineRule="auto"/>
        <w:jc w:val="both"/>
      </w:pPr>
      <w:r>
        <w:rPr>
          <w:b/>
          <w:bCs/>
          <w:color w:val="0B4F6C"/>
        </w:rPr>
        <w:t>Upcoding and DRG gaming:</w:t>
      </w:r>
      <w:r>
        <w:t xml:space="preserve"> Systematic billing at higher payment levels than clinical documentation supports. In DRG-based inpatient billing, every MS-DRG level represents a specific clinical and financial threshold — upcoding adds complications or comorbidities that were not clinically present.</w:t>
      </w:r>
    </w:p>
    <w:p w14:paraId="3235D40E" w14:textId="77777777" w:rsidR="00772358" w:rsidRDefault="00000000">
      <w:pPr>
        <w:spacing w:before="60" w:after="120" w:line="280" w:lineRule="auto"/>
        <w:jc w:val="both"/>
      </w:pPr>
      <w:r>
        <w:rPr>
          <w:b/>
          <w:bCs/>
          <w:color w:val="0B4F6C"/>
        </w:rPr>
        <w:t>Unbundling:</w:t>
      </w:r>
      <w:r>
        <w:t xml:space="preserve"> Billing component codes separately when a comprehensive code should apply. CPT's National Correct Coding Initiative (NCCI) edits address this systematically, but unapproved modifier use can bypass them.</w:t>
      </w:r>
    </w:p>
    <w:p w14:paraId="5614F62D" w14:textId="77777777" w:rsidR="00772358" w:rsidRDefault="00000000">
      <w:pPr>
        <w:spacing w:before="60" w:after="120" w:line="280" w:lineRule="auto"/>
        <w:jc w:val="both"/>
      </w:pPr>
      <w:r>
        <w:rPr>
          <w:b/>
          <w:bCs/>
          <w:color w:val="0B4F6C"/>
        </w:rPr>
        <w:t>Kickback arrangements:</w:t>
      </w:r>
      <w:r>
        <w:t xml:space="preserve"> Financial inducements for referrals — the most common federal prosecution basis in healthcare, affecting both the paying and receiving parties.</w:t>
      </w:r>
    </w:p>
    <w:p w14:paraId="7D34F50F" w14:textId="77777777" w:rsidR="00772358" w:rsidRDefault="00000000">
      <w:pPr>
        <w:spacing w:before="60" w:after="120" w:line="280" w:lineRule="auto"/>
        <w:jc w:val="both"/>
      </w:pPr>
      <w:r>
        <w:rPr>
          <w:b/>
          <w:bCs/>
          <w:color w:val="0B4F6C"/>
        </w:rPr>
        <w:t>Identity theft and credential fraud:</w:t>
      </w:r>
      <w:r>
        <w:t xml:space="preserve"> Billing under stolen provider or member identities. Account takeover in the healthcare context can generate millions in fraudulent claims before detection.</w:t>
      </w:r>
    </w:p>
    <w:p w14:paraId="73AA430C" w14:textId="77777777" w:rsidR="00772358" w:rsidRDefault="00000000">
      <w:pPr>
        <w:pStyle w:val="Heading2"/>
        <w:pBdr>
          <w:bottom w:val="single" w:sz="4" w:space="2" w:color="E8A020"/>
        </w:pBdr>
      </w:pPr>
      <w:r>
        <w:t>21.4 Analytics Architecture for Payment Integrity</w:t>
      </w:r>
    </w:p>
    <w:p w14:paraId="65DB1446" w14:textId="77777777" w:rsidR="00772358" w:rsidRDefault="00000000">
      <w:pPr>
        <w:spacing w:before="60" w:after="120" w:line="280" w:lineRule="auto"/>
        <w:jc w:val="both"/>
      </w:pPr>
      <w:r>
        <w:rPr>
          <w:b/>
          <w:bCs/>
          <w:color w:val="0B4F6C"/>
        </w:rPr>
        <w:t>Rule-based editing</w:t>
      </w:r>
      <w:r>
        <w:t xml:space="preserve"> applies deterministic checks — NCCI edits, LCD/NCD medical necessity rules, age-sex validity, anatomical consistency. High throughput, low cost, well-understood. But rules can only catch what they were designed to catch — sophisticated schemes route around known edits.</w:t>
      </w:r>
    </w:p>
    <w:p w14:paraId="20A5B772" w14:textId="77777777" w:rsidR="00772358" w:rsidRDefault="00000000">
      <w:pPr>
        <w:spacing w:before="60" w:after="120" w:line="280" w:lineRule="auto"/>
        <w:jc w:val="both"/>
      </w:pPr>
      <w:r>
        <w:rPr>
          <w:b/>
          <w:bCs/>
          <w:color w:val="0B4F6C"/>
        </w:rPr>
        <w:t>Statistical anomaly detection</w:t>
      </w:r>
      <w:r>
        <w:t xml:space="preserve"> compares provider billing patterns to peer benchmarks. A provider billing E&amp;M level 5 (the highest complexity visit code) for 95% of encounters when the peer average is 25% is a statistical outlier that warrants investigation. Provider profiling, peer benchmarking, and Z-score analysis are standard tools.</w:t>
      </w:r>
    </w:p>
    <w:p w14:paraId="107B471D" w14:textId="77777777" w:rsidR="00772358" w:rsidRDefault="00000000">
      <w:pPr>
        <w:spacing w:before="60" w:after="120" w:line="280" w:lineRule="auto"/>
        <w:jc w:val="both"/>
      </w:pPr>
      <w:r>
        <w:rPr>
          <w:b/>
          <w:bCs/>
          <w:color w:val="0B4F6C"/>
        </w:rPr>
        <w:t>Machine learning models</w:t>
      </w:r>
      <w:r>
        <w:t xml:space="preserve"> learn complex non-linear relationships between billing patterns, clinical context, provider characteristics, and fraud probability. Gradient boosted models trained on confirmed fraud cases outperform rule-based systems for catching novel schemes. Models must be continuously retrained as fraud patterns evolve.</w:t>
      </w:r>
    </w:p>
    <w:p w14:paraId="6463EDF0" w14:textId="77777777" w:rsidR="00772358" w:rsidRDefault="00000000">
      <w:pPr>
        <w:spacing w:before="60" w:after="120" w:line="280" w:lineRule="auto"/>
        <w:jc w:val="both"/>
      </w:pPr>
      <w:r>
        <w:rPr>
          <w:b/>
          <w:bCs/>
          <w:color w:val="0B4F6C"/>
        </w:rPr>
        <w:t>Network analysis</w:t>
      </w:r>
      <w:r>
        <w:t xml:space="preserve"> maps relationships between providers, patients, and billing entities to identify coordinated fraud rings — groups of providers who systematically refer to each other, share patients, or use the same billing entity for implausible service combinations.</w:t>
      </w:r>
    </w:p>
    <w:p w14:paraId="68ABF830" w14:textId="77777777" w:rsidR="00772358" w:rsidRDefault="00000000">
      <w:pPr>
        <w:spacing w:before="60" w:after="120" w:line="280" w:lineRule="auto"/>
        <w:jc w:val="both"/>
      </w:pPr>
      <w:r>
        <w:rPr>
          <w:b/>
          <w:bCs/>
          <w:color w:val="0B4F6C"/>
        </w:rPr>
        <w:t>NLP and document analysis</w:t>
      </w:r>
      <w:r>
        <w:t xml:space="preserve"> extracts clinical content from medical records to detect documentation that does not support the billed services — detecting copy-paste, template abuse, and fabricated clinical notes.</w:t>
      </w:r>
    </w:p>
    <w:p w14:paraId="285D27C6" w14:textId="77777777" w:rsidR="00772358" w:rsidRDefault="00000000">
      <w:pPr>
        <w:pStyle w:val="Heading2"/>
        <w:pBdr>
          <w:bottom w:val="single" w:sz="4" w:space="2" w:color="E8A020"/>
        </w:pBdr>
      </w:pPr>
      <w:r>
        <w:t>21.5 GCC Opportunity in Payment Integrity</w:t>
      </w:r>
    </w:p>
    <w:p w14:paraId="18CBA4B5" w14:textId="77777777" w:rsidR="00772358" w:rsidRDefault="00000000">
      <w:pPr>
        <w:spacing w:before="60" w:after="120" w:line="280" w:lineRule="auto"/>
        <w:jc w:val="both"/>
      </w:pPr>
      <w:r>
        <w:t>Payment integrity analytics and audit operations are among the highest-value GCC functions in healthcare. Data analysis, coding review, audit letter generation, provider education, and coordination of benefits recovery are all structured, high-volume activities well-suited to GCC delivery.</w:t>
      </w:r>
    </w:p>
    <w:p w14:paraId="577A7C0F" w14:textId="77777777" w:rsidR="00772358" w:rsidRDefault="00000000">
      <w:pPr>
        <w:spacing w:before="60" w:after="120" w:line="280" w:lineRule="auto"/>
        <w:jc w:val="both"/>
      </w:pPr>
      <w:r>
        <w:t>Leading healthcare GCCs in India run dedicated payment integrity operations that include: claims audit and review teams processing 2,000–5,000 claims per FTE per month; coding review specialists validating inpatient DRG assignments and outpatient APC groupings; provider profiling analysts generating peer benchmark reports; and coordination of benefits recovery teams working commercial-commercial, Medicare-secondary, and subrogation claims.</w:t>
      </w:r>
    </w:p>
    <w:p w14:paraId="10F63028" w14:textId="77777777" w:rsidR="00772358" w:rsidRDefault="00000000">
      <w:pPr>
        <w:spacing w:before="60" w:after="120" w:line="280" w:lineRule="auto"/>
        <w:jc w:val="both"/>
      </w:pPr>
      <w:r>
        <w:rPr>
          <w:b/>
          <w:bCs/>
          <w:color w:val="0B4F6C"/>
        </w:rPr>
        <w:t>ROI benchmark:</w:t>
      </w:r>
      <w:r>
        <w:t xml:space="preserve"> Well-designed payment integrity GCC operations return $8–15 per dollar of GCC operating cost, making them among the highest-ROI GCC investments in healthcare.</w:t>
      </w:r>
    </w:p>
    <w:p w14:paraId="4FA226CD" w14:textId="77777777" w:rsidR="00772358" w:rsidRDefault="00000000">
      <w:pPr>
        <w:pStyle w:val="Heading2"/>
        <w:pBdr>
          <w:bottom w:val="single" w:sz="4" w:space="2" w:color="E8A020"/>
        </w:pBdr>
      </w:pPr>
      <w:r>
        <w:t>21.6 KPI Framework</w:t>
      </w:r>
    </w:p>
    <w:p w14:paraId="1AB77020"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72358" w14:paraId="605BA2DE"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0A553373" w14:textId="77777777" w:rsidR="00772358" w:rsidRDefault="00000000">
            <w:r>
              <w:rPr>
                <w:b/>
                <w:bCs/>
                <w:color w:val="FFFFFF"/>
                <w:sz w:val="18"/>
                <w:szCs w:val="18"/>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01A3829F" w14:textId="77777777" w:rsidR="00772358" w:rsidRDefault="00000000">
            <w:r>
              <w:rPr>
                <w:b/>
                <w:bCs/>
                <w:color w:val="FFFFFF"/>
                <w:sz w:val="18"/>
                <w:szCs w:val="18"/>
              </w:rPr>
              <w:t>Definition</w:t>
            </w:r>
          </w:p>
        </w:tc>
        <w:tc>
          <w:tcPr>
            <w:tcW w:w="312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78D6B7F1" w14:textId="77777777" w:rsidR="00772358" w:rsidRDefault="00000000">
            <w:r>
              <w:rPr>
                <w:b/>
                <w:bCs/>
                <w:color w:val="FFFFFF"/>
                <w:sz w:val="18"/>
                <w:szCs w:val="18"/>
              </w:rPr>
              <w:t>Target</w:t>
            </w:r>
          </w:p>
        </w:tc>
      </w:tr>
      <w:tr w:rsidR="00772358" w14:paraId="30EB7D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36840FDE" w14:textId="77777777" w:rsidR="00772358" w:rsidRDefault="00000000">
            <w:r>
              <w:rPr>
                <w:sz w:val="18"/>
                <w:szCs w:val="18"/>
              </w:rPr>
              <w:t>Pre-payment edit catch rate</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03617CBD" w14:textId="77777777" w:rsidR="00772358" w:rsidRDefault="00000000">
            <w:r>
              <w:rPr>
                <w:sz w:val="18"/>
                <w:szCs w:val="18"/>
              </w:rPr>
              <w:t>% of paid claims flagged for review</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4DFAFDE8" w14:textId="77777777" w:rsidR="00772358" w:rsidRDefault="00000000">
            <w:r>
              <w:rPr>
                <w:sz w:val="18"/>
                <w:szCs w:val="18"/>
              </w:rPr>
              <w:t>&gt;3% of claims</w:t>
            </w:r>
          </w:p>
        </w:tc>
      </w:tr>
      <w:tr w:rsidR="00772358" w14:paraId="4B0CE2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5532F2E0" w14:textId="77777777" w:rsidR="00772358" w:rsidRDefault="00000000">
            <w:r>
              <w:rPr>
                <w:sz w:val="18"/>
                <w:szCs w:val="18"/>
              </w:rPr>
              <w:t>Overpayment recovery rate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1E9C578A" w14:textId="77777777" w:rsidR="00772358" w:rsidRDefault="00000000">
            <w:r>
              <w:rPr>
                <w:sz w:val="18"/>
                <w:szCs w:val="18"/>
              </w:rPr>
              <w:t>$ recovered / $ identified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6ED70CA4" w14:textId="77777777" w:rsidR="00772358" w:rsidRDefault="00000000">
            <w:r>
              <w:rPr>
                <w:sz w:val="18"/>
                <w:szCs w:val="18"/>
              </w:rPr>
              <w:t>&gt;70%</w:t>
            </w:r>
          </w:p>
        </w:tc>
      </w:tr>
      <w:tr w:rsidR="00772358" w14:paraId="2F6A4F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486093F6" w14:textId="77777777" w:rsidR="00772358" w:rsidRDefault="00000000">
            <w:r>
              <w:rPr>
                <w:sz w:val="18"/>
                <w:szCs w:val="18"/>
              </w:rPr>
              <w:t>Provider audit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3C19160A" w14:textId="77777777" w:rsidR="00772358" w:rsidRDefault="00000000">
            <w:r>
              <w:rPr>
                <w:sz w:val="18"/>
                <w:szCs w:val="18"/>
              </w:rPr>
              <w:t>Coding change rate on audit</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296F5706" w14:textId="77777777" w:rsidR="00772358" w:rsidRDefault="00000000">
            <w:r>
              <w:rPr>
                <w:sz w:val="18"/>
                <w:szCs w:val="18"/>
              </w:rPr>
              <w:t>&gt;25%</w:t>
            </w:r>
          </w:p>
        </w:tc>
      </w:tr>
      <w:tr w:rsidR="00772358" w14:paraId="78853A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1C751489" w14:textId="77777777" w:rsidR="00772358" w:rsidRDefault="00000000">
            <w:proofErr w:type="spellStart"/>
            <w:r>
              <w:rPr>
                <w:sz w:val="18"/>
                <w:szCs w:val="18"/>
              </w:rPr>
              <w:t>CoB</w:t>
            </w:r>
            <w:proofErr w:type="spellEnd"/>
            <w:r>
              <w:rPr>
                <w:sz w:val="18"/>
                <w:szCs w:val="18"/>
              </w:rPr>
              <w:t xml:space="preserve"> recovery rate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52A197BF" w14:textId="77777777" w:rsidR="00772358" w:rsidRDefault="00000000">
            <w:r>
              <w:rPr>
                <w:sz w:val="18"/>
                <w:szCs w:val="18"/>
              </w:rPr>
              <w:t>Secondary payer recovery / primary paid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1C475B46" w14:textId="77777777" w:rsidR="00772358" w:rsidRDefault="00000000">
            <w:r>
              <w:rPr>
                <w:sz w:val="18"/>
                <w:szCs w:val="18"/>
              </w:rPr>
              <w:t>&gt;85% of identified</w:t>
            </w:r>
          </w:p>
        </w:tc>
      </w:tr>
      <w:tr w:rsidR="00772358" w14:paraId="6A7E81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2A256223" w14:textId="77777777" w:rsidR="00772358" w:rsidRDefault="00000000">
            <w:r>
              <w:rPr>
                <w:sz w:val="18"/>
                <w:szCs w:val="18"/>
              </w:rPr>
              <w:t>Post-payment audit ROI</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7732A3DD" w14:textId="77777777" w:rsidR="00772358" w:rsidRDefault="00000000">
            <w:r>
              <w:rPr>
                <w:sz w:val="18"/>
                <w:szCs w:val="18"/>
              </w:rPr>
              <w:t>Recovery / audit program cost</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6CC55C9A" w14:textId="77777777" w:rsidR="00772358" w:rsidRDefault="00000000">
            <w:r>
              <w:rPr>
                <w:sz w:val="18"/>
                <w:szCs w:val="18"/>
              </w:rPr>
              <w:t>&gt;8:1</w:t>
            </w:r>
          </w:p>
        </w:tc>
      </w:tr>
      <w:tr w:rsidR="00772358" w14:paraId="414AB8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124C0073" w14:textId="77777777" w:rsidR="00772358" w:rsidRDefault="00000000">
            <w:r>
              <w:rPr>
                <w:sz w:val="18"/>
                <w:szCs w:val="18"/>
              </w:rPr>
              <w:t>False positive rate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08BA05F6" w14:textId="77777777" w:rsidR="00772358" w:rsidRDefault="00000000">
            <w:r>
              <w:rPr>
                <w:sz w:val="18"/>
                <w:szCs w:val="18"/>
              </w:rPr>
              <w:t>% of flagged claims correctly paid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63835B19" w14:textId="77777777" w:rsidR="00772358" w:rsidRDefault="00000000">
            <w:r>
              <w:rPr>
                <w:sz w:val="18"/>
                <w:szCs w:val="18"/>
              </w:rPr>
              <w:t>&lt;15% of flags</w:t>
            </w:r>
          </w:p>
        </w:tc>
      </w:tr>
    </w:tbl>
    <w:p w14:paraId="6A9F9D4E" w14:textId="77777777" w:rsidR="00772358" w:rsidRDefault="00772358">
      <w:pPr>
        <w:spacing w:after="80"/>
      </w:pPr>
    </w:p>
    <w:p w14:paraId="0862B293"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53138870" w14:textId="77777777">
        <w:tblPrEx>
          <w:tblCellMar>
            <w:top w:w="0" w:type="dxa"/>
            <w:bottom w:w="0" w:type="dxa"/>
          </w:tblCellMar>
        </w:tblPrEx>
        <w:tc>
          <w:tcPr>
            <w:tcW w:w="9360" w:type="dxa"/>
            <w:tcBorders>
              <w:top w:val="single" w:sz="6" w:space="0" w:color="1D8A5E"/>
              <w:left w:val="single" w:sz="18" w:space="0" w:color="1D8A5E"/>
              <w:bottom w:val="single" w:sz="6" w:space="0" w:color="1D8A5E"/>
              <w:right w:val="single" w:sz="6" w:space="0" w:color="1D8A5E"/>
            </w:tcBorders>
            <w:shd w:val="clear" w:color="auto" w:fill="EEF8F2"/>
            <w:tcMar>
              <w:top w:w="140" w:type="dxa"/>
              <w:left w:w="200" w:type="dxa"/>
              <w:bottom w:w="140" w:type="dxa"/>
              <w:right w:w="200" w:type="dxa"/>
            </w:tcMar>
          </w:tcPr>
          <w:p w14:paraId="4D6960D5" w14:textId="77777777" w:rsidR="00772358" w:rsidRDefault="00000000">
            <w:pPr>
              <w:spacing w:after="80"/>
            </w:pPr>
            <w:r>
              <w:rPr>
                <w:b/>
                <w:bCs/>
                <w:color w:val="1D8A5E"/>
                <w:sz w:val="17"/>
                <w:szCs w:val="17"/>
              </w:rPr>
              <w:t>QUESTIONS FOR THE BOARD</w:t>
            </w:r>
          </w:p>
          <w:p w14:paraId="5EB4A464" w14:textId="77777777" w:rsidR="00772358" w:rsidRDefault="00000000">
            <w:pPr>
              <w:jc w:val="both"/>
            </w:pPr>
            <w:r>
              <w:rPr>
                <w:i/>
                <w:iCs/>
                <w:sz w:val="20"/>
                <w:szCs w:val="20"/>
              </w:rPr>
              <w:t>Does the organisation have a unified payment integrity program — connecting pre-payment edits, real-time risk scoring, and post-payment audit — with a single P&amp;L that measures ROI? Is the analytics capability for fraud detection rules-based only, or has ML-based anomaly detection been deployed? What is the current pre-payment edit catch rate, and how does it compare to industry benchmarks?</w:t>
            </w:r>
          </w:p>
        </w:tc>
      </w:tr>
    </w:tbl>
    <w:p w14:paraId="2F66110C" w14:textId="77777777" w:rsidR="00772358" w:rsidRDefault="00772358">
      <w:pPr>
        <w:spacing w:after="80"/>
      </w:pPr>
    </w:p>
    <w:p w14:paraId="79A8C376" w14:textId="77777777" w:rsidR="00772358" w:rsidRDefault="00000000">
      <w:r>
        <w:br/>
      </w:r>
    </w:p>
    <w:p w14:paraId="5A5F785B" w14:textId="77777777" w:rsidR="00772358" w:rsidRDefault="00000000">
      <w:pPr>
        <w:pStyle w:val="Heading1"/>
        <w:pBdr>
          <w:bottom w:val="single" w:sz="8" w:space="4" w:color="E8A020"/>
        </w:pBdr>
        <w:shd w:val="clear" w:color="auto" w:fill="0B4F6C"/>
        <w:ind w:left="160" w:right="160"/>
      </w:pPr>
      <w:r>
        <w:t xml:space="preserve">Chapter 22: Contact </w:t>
      </w:r>
      <w:proofErr w:type="spellStart"/>
      <w:r>
        <w:t>Centers</w:t>
      </w:r>
      <w:proofErr w:type="spellEnd"/>
      <w:r>
        <w:t xml:space="preserve"> — Member &amp; Patient Services Operations</w:t>
      </w:r>
    </w:p>
    <w:p w14:paraId="1B9929E1"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15880CDF" w14:textId="77777777">
        <w:tblPrEx>
          <w:tblCellMar>
            <w:top w:w="0" w:type="dxa"/>
            <w:bottom w:w="0" w:type="dxa"/>
          </w:tblCellMar>
        </w:tblPrEx>
        <w:tc>
          <w:tcPr>
            <w:tcW w:w="9360" w:type="dxa"/>
            <w:tcBorders>
              <w:top w:val="single" w:sz="6" w:space="0" w:color="17A8C8"/>
              <w:left w:val="single" w:sz="18" w:space="0" w:color="17A8C8"/>
              <w:bottom w:val="single" w:sz="6" w:space="0" w:color="17A8C8"/>
              <w:right w:val="single" w:sz="6" w:space="0" w:color="17A8C8"/>
            </w:tcBorders>
            <w:shd w:val="clear" w:color="auto" w:fill="E8F8FC"/>
            <w:tcMar>
              <w:top w:w="140" w:type="dxa"/>
              <w:left w:w="200" w:type="dxa"/>
              <w:bottom w:w="140" w:type="dxa"/>
              <w:right w:w="200" w:type="dxa"/>
            </w:tcMar>
          </w:tcPr>
          <w:p w14:paraId="5DE86904" w14:textId="77777777" w:rsidR="00772358" w:rsidRDefault="00000000">
            <w:pPr>
              <w:spacing w:after="80"/>
            </w:pPr>
            <w:r>
              <w:rPr>
                <w:b/>
                <w:bCs/>
                <w:color w:val="E8A020"/>
                <w:sz w:val="17"/>
                <w:szCs w:val="17"/>
              </w:rPr>
              <w:t>EXECUTIVE SUMMARY</w:t>
            </w:r>
          </w:p>
          <w:p w14:paraId="381194D9" w14:textId="77777777" w:rsidR="00772358" w:rsidRDefault="00000000">
            <w:pPr>
              <w:jc w:val="both"/>
            </w:pPr>
            <w:r>
              <w:rPr>
                <w:i/>
                <w:iCs/>
                <w:sz w:val="20"/>
                <w:szCs w:val="20"/>
              </w:rPr>
              <w:t>Healthcare contact centres are the primary human interface between patients, members, and their healthcare system. They handle scheduling, eligibility inquiries, prior authorisation status, billing questions, appeals, care navigation, medication refills, and crisis support — across multiple channels (phone, chat, portal, SMS) and multiple audiences (patients, members, providers, caregivers). Contact centre performance directly drives CAHPS scores, member satisfaction, and Star ratings — making it simultaneously an operational function and a strategic asset. AI and digital transformation are reshaping what healthcare contact centres can do, at what cost, and at what quality level.</w:t>
            </w:r>
          </w:p>
        </w:tc>
      </w:tr>
    </w:tbl>
    <w:p w14:paraId="1F6277CB" w14:textId="77777777" w:rsidR="00772358" w:rsidRDefault="00772358">
      <w:pPr>
        <w:spacing w:after="80"/>
      </w:pPr>
    </w:p>
    <w:p w14:paraId="1F9A63BD" w14:textId="77777777" w:rsidR="00772358" w:rsidRDefault="00000000">
      <w:pPr>
        <w:pStyle w:val="Heading2"/>
        <w:pBdr>
          <w:bottom w:val="single" w:sz="4" w:space="2" w:color="E8A020"/>
        </w:pBdr>
      </w:pPr>
      <w:r>
        <w:t>22.1 Contact Centre Scope in Healthcare</w:t>
      </w:r>
    </w:p>
    <w:p w14:paraId="00F11DF5" w14:textId="77777777" w:rsidR="00772358" w:rsidRDefault="00000000">
      <w:pPr>
        <w:spacing w:before="60" w:after="120" w:line="280" w:lineRule="auto"/>
        <w:jc w:val="both"/>
      </w:pPr>
      <w:r>
        <w:t>Healthcare contact centres serve two distinct customer groups with overlapping but distinct needs:</w:t>
      </w:r>
    </w:p>
    <w:p w14:paraId="3D1700BE" w14:textId="77777777" w:rsidR="00772358" w:rsidRDefault="00000000">
      <w:pPr>
        <w:spacing w:before="60" w:after="120" w:line="280" w:lineRule="auto"/>
        <w:jc w:val="both"/>
      </w:pPr>
      <w:r>
        <w:rPr>
          <w:b/>
          <w:bCs/>
          <w:color w:val="0B4F6C"/>
        </w:rPr>
        <w:t>Patient-facing contact centres</w:t>
      </w:r>
      <w:r>
        <w:t xml:space="preserve"> at provider organisations handle appointment scheduling, pre-registration completion, billing inquiries, financial counselling referrals, medical records requests, prescription refill routing, clinical question triage to clinical staff, and post-discharge follow-up. Patient experience in these interactions drives satisfaction scores that influence referral decisions and, in value-based care models, quality bonus payments.</w:t>
      </w:r>
    </w:p>
    <w:p w14:paraId="36845078" w14:textId="77777777" w:rsidR="00772358" w:rsidRDefault="00000000">
      <w:pPr>
        <w:spacing w:before="60" w:after="120" w:line="280" w:lineRule="auto"/>
        <w:jc w:val="both"/>
      </w:pPr>
      <w:r>
        <w:rPr>
          <w:b/>
          <w:bCs/>
          <w:color w:val="0B4F6C"/>
        </w:rPr>
        <w:t>Member-facing contact centres</w:t>
      </w:r>
      <w:r>
        <w:t xml:space="preserve"> at payer organisations handle eligibility verification, benefits explanation, prior authorisation status inquiry, claims status and dispute, provider directory assistance, referral management, care management programme enrolment, grievance and appeals intake, and wellness programme support. Medicare Advantage Star ratings include CAHPS-based member experience measures that directly affect plan revenue — a one-star improvement in a plan serving 100,000 members can generate $30–50 million in additional CMS payments.</w:t>
      </w:r>
    </w:p>
    <w:p w14:paraId="0D0FC990" w14:textId="77777777" w:rsidR="00772358" w:rsidRDefault="00000000">
      <w:pPr>
        <w:spacing w:before="60" w:after="120" w:line="280" w:lineRule="auto"/>
        <w:jc w:val="both"/>
      </w:pPr>
      <w:r>
        <w:rPr>
          <w:b/>
          <w:bCs/>
          <w:color w:val="0B4F6C"/>
        </w:rPr>
        <w:t>Provider-facing contact centres</w:t>
      </w:r>
      <w:r>
        <w:t xml:space="preserve"> at payers handle provider portal support, credentialing status, claims and payment inquiries, prior authorisation intake, and network participation questions. Provider satisfaction with payer administrative processes affects network participation decisions — providers who experience high administrative burden are more likely to leave networks.</w:t>
      </w:r>
    </w:p>
    <w:p w14:paraId="31B4551B" w14:textId="77777777" w:rsidR="00772358" w:rsidRDefault="00000000">
      <w:pPr>
        <w:pStyle w:val="Heading2"/>
        <w:pBdr>
          <w:bottom w:val="single" w:sz="4" w:space="2" w:color="E8A020"/>
        </w:pBdr>
      </w:pPr>
      <w:r>
        <w:t>22.2 The AI-Transformed Contact Centre</w:t>
      </w:r>
    </w:p>
    <w:p w14:paraId="6E31C4B2" w14:textId="77777777" w:rsidR="00772358" w:rsidRDefault="00000000">
      <w:pPr>
        <w:spacing w:before="60" w:after="120" w:line="280" w:lineRule="auto"/>
        <w:jc w:val="both"/>
      </w:pPr>
      <w:r>
        <w:t>The healthcare contact centre of 2025 looks fundamentally different from the contact centre of 2019. AI has transformed every layer of the contact centre operating model:</w:t>
      </w:r>
    </w:p>
    <w:p w14:paraId="0653E358" w14:textId="77777777" w:rsidR="00772358" w:rsidRDefault="00000000">
      <w:pPr>
        <w:spacing w:before="60" w:after="120" w:line="280" w:lineRule="auto"/>
        <w:jc w:val="both"/>
      </w:pPr>
      <w:r>
        <w:rPr>
          <w:b/>
          <w:bCs/>
          <w:color w:val="0B4F6C"/>
        </w:rPr>
        <w:t>Conversational AI and IVR:</w:t>
      </w:r>
      <w:r>
        <w:t xml:space="preserve"> Natural language IVR systems (replacing touch-tone DTMF menus) allow callers to state their need in natural speech — "I need to know if my procedure is covered" or "What's the status of my claim" — and route intelligently to the appropriate agent or self-service flow. Azure Bot Service, Google CCAI, and Nuance Conversational AI are leading platforms.</w:t>
      </w:r>
    </w:p>
    <w:p w14:paraId="5B45520D" w14:textId="77777777" w:rsidR="00772358" w:rsidRDefault="00000000">
      <w:pPr>
        <w:spacing w:before="60" w:after="120" w:line="280" w:lineRule="auto"/>
        <w:jc w:val="both"/>
      </w:pPr>
      <w:r>
        <w:rPr>
          <w:b/>
          <w:bCs/>
          <w:color w:val="0B4F6C"/>
        </w:rPr>
        <w:t>Real-time agent assist:</w:t>
      </w:r>
      <w:r>
        <w:t xml:space="preserve"> AI tools that listen to calls in real time and surface relevant information for agents — the patient's account, benefit details, prior authorisation history, relevant policy language — without agents having to navigate multiple systems during the call. Demonstrated to reduce average handle time by 20–35% and improve first-call resolution by 15–25%.</w:t>
      </w:r>
    </w:p>
    <w:p w14:paraId="0D69A793" w14:textId="77777777" w:rsidR="00772358" w:rsidRDefault="00000000">
      <w:pPr>
        <w:spacing w:before="60" w:after="120" w:line="280" w:lineRule="auto"/>
        <w:jc w:val="both"/>
      </w:pPr>
      <w:r>
        <w:rPr>
          <w:b/>
          <w:bCs/>
          <w:color w:val="0B4F6C"/>
        </w:rPr>
        <w:t>Post-call summarisation:</w:t>
      </w:r>
      <w:r>
        <w:t xml:space="preserve"> Generative AI tools that produce accurate call summaries immediately after call completion, eliminating 2–5 minutes of after-call work per interaction and improving documentation consistency.</w:t>
      </w:r>
    </w:p>
    <w:p w14:paraId="294E66A1" w14:textId="77777777" w:rsidR="00772358" w:rsidRDefault="00000000">
      <w:pPr>
        <w:spacing w:before="60" w:after="120" w:line="280" w:lineRule="auto"/>
        <w:jc w:val="both"/>
      </w:pPr>
      <w:r>
        <w:rPr>
          <w:b/>
          <w:bCs/>
          <w:color w:val="0B4F6C"/>
        </w:rPr>
        <w:t>Sentiment analysis and QA:</w:t>
      </w:r>
      <w:r>
        <w:t xml:space="preserve"> AI-powered quality assurance that evaluates 100% of calls (versus the traditional 2–5% manual sampling) for adherence to scripts, regulatory requirements, and service standards. Real-time sentiment analysis flags distressed callers for supervisor intervention.</w:t>
      </w:r>
    </w:p>
    <w:p w14:paraId="3FC3F91E" w14:textId="77777777" w:rsidR="00772358" w:rsidRDefault="00000000">
      <w:pPr>
        <w:spacing w:before="60" w:after="120" w:line="280" w:lineRule="auto"/>
        <w:jc w:val="both"/>
      </w:pPr>
      <w:r>
        <w:rPr>
          <w:b/>
          <w:bCs/>
          <w:color w:val="0B4F6C"/>
        </w:rPr>
        <w:t>Predictive routing:</w:t>
      </w:r>
      <w:r>
        <w:t xml:space="preserve"> ML models that predict which agent is most likely to successfully resolve a specific caller's issue based on the caller's history, query type, language preference, and agent specialisation — routing for first-call resolution rather than just for availability.</w:t>
      </w:r>
    </w:p>
    <w:p w14:paraId="5C38CA70" w14:textId="77777777" w:rsidR="00772358" w:rsidRDefault="00000000">
      <w:pPr>
        <w:pStyle w:val="Heading2"/>
        <w:pBdr>
          <w:bottom w:val="single" w:sz="4" w:space="2" w:color="E8A020"/>
        </w:pBdr>
      </w:pPr>
      <w:r>
        <w:t>22.3 GCC Model for Contact Centre Operations</w:t>
      </w:r>
    </w:p>
    <w:p w14:paraId="09BB2307" w14:textId="77777777" w:rsidR="00772358" w:rsidRDefault="00000000">
      <w:pPr>
        <w:spacing w:before="60" w:after="120" w:line="280" w:lineRule="auto"/>
        <w:jc w:val="both"/>
      </w:pPr>
      <w:r>
        <w:t>Healthcare contact centres were among the first healthcare functions to move to GCC/offshore models, and they remain the highest-volume GCC function by headcount. India, the Philippines, and increasingly Eastern Europe host large healthcare contact centre operations serving US payer and provider clients.</w:t>
      </w:r>
    </w:p>
    <w:p w14:paraId="6B3B6C14" w14:textId="77777777" w:rsidR="00772358" w:rsidRDefault="00000000">
      <w:pPr>
        <w:spacing w:before="60" w:after="120" w:line="280" w:lineRule="auto"/>
        <w:jc w:val="both"/>
      </w:pPr>
      <w:r>
        <w:rPr>
          <w:b/>
          <w:bCs/>
          <w:color w:val="0B4F6C"/>
        </w:rPr>
        <w:t>Why GCCs work for contact centres:</w:t>
      </w:r>
    </w:p>
    <w:p w14:paraId="61AE1F5E" w14:textId="77777777" w:rsidR="00772358" w:rsidRDefault="00000000">
      <w:pPr>
        <w:pStyle w:val="ListParagraph"/>
        <w:numPr>
          <w:ilvl w:val="0"/>
          <w:numId w:val="2"/>
        </w:numPr>
        <w:spacing w:before="40" w:after="80"/>
      </w:pPr>
      <w:r>
        <w:t>High volume, structured workflows with clear decision trees</w:t>
      </w:r>
    </w:p>
    <w:p w14:paraId="6FF64CC3" w14:textId="77777777" w:rsidR="00772358" w:rsidRDefault="00000000">
      <w:pPr>
        <w:pStyle w:val="ListParagraph"/>
        <w:numPr>
          <w:ilvl w:val="0"/>
          <w:numId w:val="2"/>
        </w:numPr>
        <w:spacing w:before="40" w:after="80"/>
      </w:pPr>
      <w:r>
        <w:t>Trainable to healthcare-specific requirements (HIPAA, payer-specific rules, clinical triage protocols)</w:t>
      </w:r>
    </w:p>
    <w:p w14:paraId="56EBB918" w14:textId="77777777" w:rsidR="00772358" w:rsidRDefault="00000000">
      <w:pPr>
        <w:pStyle w:val="ListParagraph"/>
        <w:numPr>
          <w:ilvl w:val="0"/>
          <w:numId w:val="2"/>
        </w:numPr>
        <w:spacing w:before="40" w:after="80"/>
      </w:pPr>
      <w:r>
        <w:t>Significant labour cost arbitrage (40–55% cost reduction versus US equivalents)</w:t>
      </w:r>
    </w:p>
    <w:p w14:paraId="2C28A90F" w14:textId="77777777" w:rsidR="00772358" w:rsidRDefault="00000000">
      <w:pPr>
        <w:pStyle w:val="ListParagraph"/>
        <w:numPr>
          <w:ilvl w:val="0"/>
          <w:numId w:val="2"/>
        </w:numPr>
        <w:spacing w:before="40" w:after="80"/>
      </w:pPr>
      <w:r>
        <w:t>Scalability — GCCs can ramp headcount for open enrolment seasons, product launches, and demand surges</w:t>
      </w:r>
    </w:p>
    <w:p w14:paraId="2EEA6809" w14:textId="77777777" w:rsidR="00772358" w:rsidRDefault="00000000">
      <w:pPr>
        <w:spacing w:before="60" w:after="120" w:line="280" w:lineRule="auto"/>
        <w:jc w:val="both"/>
      </w:pPr>
      <w:r>
        <w:rPr>
          <w:b/>
          <w:bCs/>
          <w:color w:val="0B4F6C"/>
        </w:rPr>
        <w:t>GCC maturity levels for contact centres:</w:t>
      </w:r>
    </w:p>
    <w:p w14:paraId="71A5F4F6" w14:textId="77777777" w:rsidR="00772358" w:rsidRDefault="00000000">
      <w:pPr>
        <w:pStyle w:val="ListParagraph"/>
        <w:numPr>
          <w:ilvl w:val="0"/>
          <w:numId w:val="2"/>
        </w:numPr>
        <w:spacing w:before="40" w:after="80"/>
      </w:pPr>
      <w:r>
        <w:rPr>
          <w:b/>
          <w:bCs/>
          <w:color w:val="0B4F6C"/>
        </w:rPr>
        <w:t>Entry:</w:t>
      </w:r>
      <w:r>
        <w:t xml:space="preserve"> Overflow handling, after-hours scheduling, basic eligibility inquiry</w:t>
      </w:r>
    </w:p>
    <w:p w14:paraId="06B37D74" w14:textId="77777777" w:rsidR="00772358" w:rsidRDefault="00000000">
      <w:pPr>
        <w:pStyle w:val="ListParagraph"/>
        <w:numPr>
          <w:ilvl w:val="0"/>
          <w:numId w:val="2"/>
        </w:numPr>
        <w:spacing w:before="40" w:after="80"/>
      </w:pPr>
      <w:r>
        <w:rPr>
          <w:b/>
          <w:bCs/>
          <w:color w:val="0B4F6C"/>
        </w:rPr>
        <w:t>Intermediate:</w:t>
      </w:r>
      <w:r>
        <w:t xml:space="preserve"> Claims status, prior auth status, billing inquiries, appointment management</w:t>
      </w:r>
    </w:p>
    <w:p w14:paraId="2EE076D3" w14:textId="77777777" w:rsidR="00772358" w:rsidRDefault="00000000">
      <w:pPr>
        <w:pStyle w:val="ListParagraph"/>
        <w:numPr>
          <w:ilvl w:val="0"/>
          <w:numId w:val="2"/>
        </w:numPr>
        <w:spacing w:before="40" w:after="80"/>
      </w:pPr>
      <w:r>
        <w:rPr>
          <w:b/>
          <w:bCs/>
          <w:color w:val="0B4F6C"/>
        </w:rPr>
        <w:t>Advanced:</w:t>
      </w:r>
      <w:r>
        <w:t xml:space="preserve"> Complex benefits counselling, care navigation, financial counselling, grievance intake, multi-lingual support</w:t>
      </w:r>
    </w:p>
    <w:p w14:paraId="743B5284" w14:textId="77777777" w:rsidR="00772358" w:rsidRDefault="00000000">
      <w:pPr>
        <w:spacing w:before="60" w:after="120" w:line="280" w:lineRule="auto"/>
        <w:jc w:val="both"/>
      </w:pPr>
      <w:r>
        <w:rPr>
          <w:b/>
          <w:bCs/>
          <w:color w:val="0B4F6C"/>
        </w:rPr>
        <w:t>Governance requirements:</w:t>
      </w:r>
      <w:r>
        <w:t xml:space="preserve"> HIPAA BAA, PHI access controls, call recording and storage compliance, real-time monitoring, QA sampling, and escalation protocols to onshore clinical staff for clinical questions.</w:t>
      </w:r>
    </w:p>
    <w:p w14:paraId="22D9984D" w14:textId="77777777" w:rsidR="00772358" w:rsidRDefault="00000000">
      <w:pPr>
        <w:pStyle w:val="Heading2"/>
        <w:pBdr>
          <w:bottom w:val="single" w:sz="4" w:space="2" w:color="E8A020"/>
        </w:pBdr>
      </w:pPr>
      <w:r>
        <w:t>22.4 KPI Framework</w:t>
      </w:r>
    </w:p>
    <w:p w14:paraId="10B48FAD"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72358" w14:paraId="1EB2C99B"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79F8A12F" w14:textId="77777777" w:rsidR="00772358" w:rsidRDefault="00000000">
            <w:r>
              <w:rPr>
                <w:b/>
                <w:bCs/>
                <w:color w:val="FFFFFF"/>
                <w:sz w:val="18"/>
                <w:szCs w:val="18"/>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524C70E6" w14:textId="77777777" w:rsidR="00772358" w:rsidRDefault="00000000">
            <w:r>
              <w:rPr>
                <w:b/>
                <w:bCs/>
                <w:color w:val="FFFFFF"/>
                <w:sz w:val="18"/>
                <w:szCs w:val="18"/>
              </w:rPr>
              <w:t>Target</w:t>
            </w:r>
          </w:p>
        </w:tc>
        <w:tc>
          <w:tcPr>
            <w:tcW w:w="312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599405E3" w14:textId="77777777" w:rsidR="00772358" w:rsidRDefault="00000000">
            <w:r>
              <w:rPr>
                <w:b/>
                <w:bCs/>
                <w:color w:val="FFFFFF"/>
                <w:sz w:val="18"/>
                <w:szCs w:val="18"/>
              </w:rPr>
              <w:t>Notes</w:t>
            </w:r>
          </w:p>
        </w:tc>
      </w:tr>
      <w:tr w:rsidR="00772358" w14:paraId="0C0519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4BED079D" w14:textId="77777777" w:rsidR="00772358" w:rsidRDefault="00000000">
            <w:r>
              <w:rPr>
                <w:sz w:val="18"/>
                <w:szCs w:val="18"/>
              </w:rPr>
              <w:t>First Call Resolution (FCR)</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5F49F6BD" w14:textId="77777777" w:rsidR="00772358" w:rsidRDefault="00000000">
            <w:r>
              <w:rPr>
                <w:sz w:val="18"/>
                <w:szCs w:val="18"/>
              </w:rPr>
              <w:t>&gt;85%</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338B8F4C" w14:textId="77777777" w:rsidR="00772358" w:rsidRDefault="00000000">
            <w:r>
              <w:rPr>
                <w:sz w:val="18"/>
                <w:szCs w:val="18"/>
              </w:rPr>
              <w:t>% of calls resolved without callback</w:t>
            </w:r>
          </w:p>
        </w:tc>
      </w:tr>
      <w:tr w:rsidR="00772358" w14:paraId="4BD1E7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3ABF4460" w14:textId="77777777" w:rsidR="00772358" w:rsidRDefault="00000000">
            <w:r>
              <w:rPr>
                <w:sz w:val="18"/>
                <w:szCs w:val="18"/>
              </w:rPr>
              <w:t>Average Handle Time (AHT)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56AEFD13" w14:textId="77777777" w:rsidR="00772358" w:rsidRDefault="00000000">
            <w:r>
              <w:rPr>
                <w:sz w:val="18"/>
                <w:szCs w:val="18"/>
              </w:rPr>
              <w:t>4–6 min (simple); 8–12 min (complex)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122FB8D1" w14:textId="77777777" w:rsidR="00772358" w:rsidRDefault="00000000">
            <w:r>
              <w:rPr>
                <w:sz w:val="18"/>
                <w:szCs w:val="18"/>
              </w:rPr>
              <w:t>Varies by call type</w:t>
            </w:r>
          </w:p>
        </w:tc>
      </w:tr>
      <w:tr w:rsidR="00772358" w14:paraId="7DF013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4EAB98A1" w14:textId="77777777" w:rsidR="00772358" w:rsidRDefault="00000000">
            <w:r>
              <w:rPr>
                <w:sz w:val="18"/>
                <w:szCs w:val="18"/>
              </w:rPr>
              <w:t>After-Call Work (ACW)</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280B44FC" w14:textId="77777777" w:rsidR="00772358" w:rsidRDefault="00000000">
            <w:r>
              <w:rPr>
                <w:sz w:val="18"/>
                <w:szCs w:val="18"/>
              </w:rPr>
              <w:t>&lt;90 seconds</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536251FC" w14:textId="77777777" w:rsidR="00772358" w:rsidRDefault="00000000">
            <w:r>
              <w:rPr>
                <w:sz w:val="18"/>
                <w:szCs w:val="18"/>
              </w:rPr>
              <w:t>AI summarisation target: &lt;30 sec</w:t>
            </w:r>
          </w:p>
        </w:tc>
      </w:tr>
      <w:tr w:rsidR="00772358" w14:paraId="68EB62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7E2CD9BA" w14:textId="77777777" w:rsidR="00772358" w:rsidRDefault="00000000">
            <w:r>
              <w:rPr>
                <w:sz w:val="18"/>
                <w:szCs w:val="18"/>
              </w:rPr>
              <w:t>Abandon Rate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19A9AC3C" w14:textId="77777777" w:rsidR="00772358" w:rsidRDefault="00000000">
            <w:r>
              <w:rPr>
                <w:sz w:val="18"/>
                <w:szCs w:val="18"/>
              </w:rPr>
              <w:t>&lt;5%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1D41306C" w14:textId="77777777" w:rsidR="00772358" w:rsidRDefault="00000000">
            <w:r>
              <w:rPr>
                <w:sz w:val="18"/>
                <w:szCs w:val="18"/>
              </w:rPr>
              <w:t>Callers who hang up before reaching agent</w:t>
            </w:r>
          </w:p>
        </w:tc>
      </w:tr>
      <w:tr w:rsidR="00772358" w14:paraId="3C4D40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2935263F" w14:textId="77777777" w:rsidR="00772358" w:rsidRDefault="00000000">
            <w:r>
              <w:rPr>
                <w:sz w:val="18"/>
                <w:szCs w:val="18"/>
              </w:rPr>
              <w:t>CSAT Score</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7708F67B" w14:textId="77777777" w:rsidR="00772358" w:rsidRDefault="00000000">
            <w:r>
              <w:rPr>
                <w:sz w:val="18"/>
                <w:szCs w:val="18"/>
              </w:rPr>
              <w:t>&gt;4.2/5.0</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2DE4C458" w14:textId="77777777" w:rsidR="00772358" w:rsidRDefault="00000000">
            <w:r>
              <w:rPr>
                <w:sz w:val="18"/>
                <w:szCs w:val="18"/>
              </w:rPr>
              <w:t>Post-call survey</w:t>
            </w:r>
          </w:p>
        </w:tc>
      </w:tr>
      <w:tr w:rsidR="00772358" w14:paraId="0F0843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7AC1BA70" w14:textId="77777777" w:rsidR="00772358" w:rsidRDefault="00000000">
            <w:r>
              <w:rPr>
                <w:sz w:val="18"/>
                <w:szCs w:val="18"/>
              </w:rPr>
              <w:t>Net Promoter Score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751A46CE" w14:textId="77777777" w:rsidR="00772358" w:rsidRDefault="00000000">
            <w:r>
              <w:rPr>
                <w:sz w:val="18"/>
                <w:szCs w:val="18"/>
              </w:rPr>
              <w:t>&gt;40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0C1B513D" w14:textId="77777777" w:rsidR="00772358" w:rsidRDefault="00000000">
            <w:r>
              <w:rPr>
                <w:sz w:val="18"/>
                <w:szCs w:val="18"/>
              </w:rPr>
              <w:t>Member/patient loyalty indicator</w:t>
            </w:r>
          </w:p>
        </w:tc>
      </w:tr>
      <w:tr w:rsidR="00772358" w14:paraId="630119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4B047579" w14:textId="77777777" w:rsidR="00772358" w:rsidRDefault="00000000">
            <w:r>
              <w:rPr>
                <w:sz w:val="18"/>
                <w:szCs w:val="18"/>
              </w:rPr>
              <w:t>Call Quality Score</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051B820C" w14:textId="77777777" w:rsidR="00772358" w:rsidRDefault="00000000">
            <w:r>
              <w:rPr>
                <w:sz w:val="18"/>
                <w:szCs w:val="18"/>
              </w:rPr>
              <w:t>&gt;92%</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0B58A6BB" w14:textId="77777777" w:rsidR="00772358" w:rsidRDefault="00000000">
            <w:r>
              <w:rPr>
                <w:sz w:val="18"/>
                <w:szCs w:val="18"/>
              </w:rPr>
              <w:t>AI-evaluated or manual QA</w:t>
            </w:r>
          </w:p>
        </w:tc>
      </w:tr>
      <w:tr w:rsidR="00772358" w14:paraId="0E9082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3C37F9C7" w14:textId="77777777" w:rsidR="00772358" w:rsidRDefault="00000000">
            <w:r>
              <w:rPr>
                <w:sz w:val="18"/>
                <w:szCs w:val="18"/>
              </w:rPr>
              <w:t>CAHPS Member Experience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4A762913" w14:textId="77777777" w:rsidR="00772358" w:rsidRDefault="00000000">
            <w:r>
              <w:rPr>
                <w:sz w:val="18"/>
                <w:szCs w:val="18"/>
              </w:rPr>
              <w:t>&gt;4.0/5.0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32129951" w14:textId="77777777" w:rsidR="00772358" w:rsidRDefault="00000000">
            <w:r>
              <w:rPr>
                <w:sz w:val="18"/>
                <w:szCs w:val="18"/>
              </w:rPr>
              <w:t>CMS Star rating input</w:t>
            </w:r>
          </w:p>
        </w:tc>
      </w:tr>
    </w:tbl>
    <w:p w14:paraId="58FDA6C2" w14:textId="77777777" w:rsidR="00772358" w:rsidRDefault="00772358">
      <w:pPr>
        <w:spacing w:after="80"/>
      </w:pPr>
    </w:p>
    <w:p w14:paraId="15F33692"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0157FD0C" w14:textId="77777777">
        <w:tblPrEx>
          <w:tblCellMar>
            <w:top w:w="0" w:type="dxa"/>
            <w:bottom w:w="0" w:type="dxa"/>
          </w:tblCellMar>
        </w:tblPrEx>
        <w:tc>
          <w:tcPr>
            <w:tcW w:w="9360" w:type="dxa"/>
            <w:tcBorders>
              <w:top w:val="single" w:sz="6" w:space="0" w:color="1D8A5E"/>
              <w:left w:val="single" w:sz="18" w:space="0" w:color="1D8A5E"/>
              <w:bottom w:val="single" w:sz="6" w:space="0" w:color="1D8A5E"/>
              <w:right w:val="single" w:sz="6" w:space="0" w:color="1D8A5E"/>
            </w:tcBorders>
            <w:shd w:val="clear" w:color="auto" w:fill="EEF8F2"/>
            <w:tcMar>
              <w:top w:w="140" w:type="dxa"/>
              <w:left w:w="200" w:type="dxa"/>
              <w:bottom w:w="140" w:type="dxa"/>
              <w:right w:w="200" w:type="dxa"/>
            </w:tcMar>
          </w:tcPr>
          <w:p w14:paraId="2E814D91" w14:textId="77777777" w:rsidR="00772358" w:rsidRDefault="00000000">
            <w:pPr>
              <w:spacing w:after="80"/>
            </w:pPr>
            <w:r>
              <w:rPr>
                <w:b/>
                <w:bCs/>
                <w:color w:val="1D8A5E"/>
                <w:sz w:val="17"/>
                <w:szCs w:val="17"/>
              </w:rPr>
              <w:t>QUESTIONS FOR THE BOARD</w:t>
            </w:r>
          </w:p>
          <w:p w14:paraId="318974F1" w14:textId="77777777" w:rsidR="00772358" w:rsidRDefault="00000000">
            <w:pPr>
              <w:jc w:val="both"/>
            </w:pPr>
            <w:r>
              <w:rPr>
                <w:i/>
                <w:iCs/>
                <w:sz w:val="20"/>
                <w:szCs w:val="20"/>
              </w:rPr>
              <w:t>What proportion of contact centre volume is handled through self-service digital channels versus live agents, and what is the trend? Is AI-powered agent assist deployed, and what is its measured impact on AHT and FCR? For payer contact centres, what is the current CAHPS Getting Needed Care and Customer Service score, and how does it compare to plan benchmarks for Star rating thresholds?</w:t>
            </w:r>
          </w:p>
        </w:tc>
      </w:tr>
    </w:tbl>
    <w:p w14:paraId="27937161" w14:textId="77777777" w:rsidR="00772358" w:rsidRDefault="00772358">
      <w:pPr>
        <w:spacing w:after="80"/>
      </w:pPr>
    </w:p>
    <w:p w14:paraId="5E715CAC" w14:textId="77777777" w:rsidR="00772358" w:rsidRDefault="00000000">
      <w:r>
        <w:br/>
      </w:r>
    </w:p>
    <w:p w14:paraId="3DFD0DEF" w14:textId="77777777" w:rsidR="00772358" w:rsidRDefault="00000000">
      <w:pPr>
        <w:pStyle w:val="Heading1"/>
        <w:pBdr>
          <w:bottom w:val="single" w:sz="8" w:space="4" w:color="E8A020"/>
        </w:pBdr>
        <w:shd w:val="clear" w:color="auto" w:fill="0B4F6C"/>
        <w:ind w:left="160" w:right="160"/>
      </w:pPr>
      <w:r>
        <w:t>Chapter 23: Healthcare KPIs, Benchmarks &amp; Executive Dashboards</w:t>
      </w:r>
    </w:p>
    <w:p w14:paraId="300C6B15"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57E901FE" w14:textId="77777777">
        <w:tblPrEx>
          <w:tblCellMar>
            <w:top w:w="0" w:type="dxa"/>
            <w:bottom w:w="0" w:type="dxa"/>
          </w:tblCellMar>
        </w:tblPrEx>
        <w:tc>
          <w:tcPr>
            <w:tcW w:w="9360" w:type="dxa"/>
            <w:tcBorders>
              <w:top w:val="single" w:sz="6" w:space="0" w:color="17A8C8"/>
              <w:left w:val="single" w:sz="18" w:space="0" w:color="17A8C8"/>
              <w:bottom w:val="single" w:sz="6" w:space="0" w:color="17A8C8"/>
              <w:right w:val="single" w:sz="6" w:space="0" w:color="17A8C8"/>
            </w:tcBorders>
            <w:shd w:val="clear" w:color="auto" w:fill="E8F8FC"/>
            <w:tcMar>
              <w:top w:w="140" w:type="dxa"/>
              <w:left w:w="200" w:type="dxa"/>
              <w:bottom w:w="140" w:type="dxa"/>
              <w:right w:w="200" w:type="dxa"/>
            </w:tcMar>
          </w:tcPr>
          <w:p w14:paraId="6774D5A0" w14:textId="77777777" w:rsidR="00772358" w:rsidRDefault="00000000">
            <w:pPr>
              <w:spacing w:after="80"/>
            </w:pPr>
            <w:r>
              <w:rPr>
                <w:b/>
                <w:bCs/>
                <w:color w:val="E8A020"/>
                <w:sz w:val="17"/>
                <w:szCs w:val="17"/>
              </w:rPr>
              <w:t>EXECUTIVE SUMMARY</w:t>
            </w:r>
          </w:p>
          <w:p w14:paraId="08344288" w14:textId="77777777" w:rsidR="00772358" w:rsidRDefault="00000000">
            <w:pPr>
              <w:jc w:val="both"/>
            </w:pPr>
            <w:r>
              <w:rPr>
                <w:i/>
                <w:iCs/>
                <w:sz w:val="20"/>
                <w:szCs w:val="20"/>
              </w:rPr>
              <w:t>What gets measured in healthcare determines what gets managed — and what gets funded. The design of the performance measurement architecture for a healthcare organisation or GCC is a strategic governance act, not a reporting exercise. Organisations that measure only what is easy to count (call volume, claims processed, productivity units) without measuring what matters (denial rate by root cause, AR conversion, net collection yield, member experience scores) consistently make inferior investment and operational decisions. This chapter provides the complete KPI framework for healthcare operations — covering RCM, payer operations, population health, GCC performance, and digital transformation.</w:t>
            </w:r>
          </w:p>
        </w:tc>
      </w:tr>
    </w:tbl>
    <w:p w14:paraId="20FE5C05" w14:textId="77777777" w:rsidR="00772358" w:rsidRDefault="00772358">
      <w:pPr>
        <w:spacing w:after="80"/>
      </w:pPr>
    </w:p>
    <w:p w14:paraId="591CF120" w14:textId="77777777" w:rsidR="00772358" w:rsidRDefault="00000000">
      <w:pPr>
        <w:pStyle w:val="Heading2"/>
        <w:pBdr>
          <w:bottom w:val="single" w:sz="4" w:space="2" w:color="E8A020"/>
        </w:pBdr>
      </w:pPr>
      <w:r>
        <w:t>23.1 The KPI Architecture Principle</w:t>
      </w:r>
    </w:p>
    <w:p w14:paraId="465B3323" w14:textId="77777777" w:rsidR="00772358" w:rsidRDefault="00000000">
      <w:pPr>
        <w:spacing w:before="200" w:after="80"/>
        <w:jc w:val="center"/>
      </w:pPr>
      <w:r>
        <w:rPr>
          <w:noProof/>
        </w:rPr>
        <w:drawing>
          <wp:inline distT="0" distB="0" distL="0" distR="0" wp14:anchorId="4D2E4D4B" wp14:editId="04581350">
            <wp:extent cx="3924300" cy="2019300"/>
            <wp:effectExtent l="0" t="0" r="0" b="0"/>
            <wp:docPr id="1451968551" name="Picture 145196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924300" cy="2019300"/>
                    </a:xfrm>
                    <a:prstGeom prst="rect">
                      <a:avLst/>
                    </a:prstGeom>
                  </pic:spPr>
                </pic:pic>
              </a:graphicData>
            </a:graphic>
          </wp:inline>
        </w:drawing>
      </w:r>
    </w:p>
    <w:p w14:paraId="33C5AFBD" w14:textId="77777777" w:rsidR="00772358" w:rsidRDefault="00000000">
      <w:pPr>
        <w:spacing w:after="200"/>
        <w:jc w:val="center"/>
      </w:pPr>
      <w:r>
        <w:rPr>
          <w:i/>
          <w:iCs/>
          <w:color w:val="5B8FA8"/>
          <w:sz w:val="18"/>
          <w:szCs w:val="18"/>
        </w:rPr>
        <w:t>Figure 23.1: Healthcare Operations — Strategic KPI Scorecard</w:t>
      </w:r>
    </w:p>
    <w:p w14:paraId="41F3C053" w14:textId="77777777" w:rsidR="00772358" w:rsidRDefault="00000000">
      <w:pPr>
        <w:spacing w:before="60" w:after="120" w:line="280" w:lineRule="auto"/>
        <w:jc w:val="both"/>
      </w:pPr>
      <w:r>
        <w:t>Effective healthcare performance measurement operates across four levels:</w:t>
      </w:r>
    </w:p>
    <w:p w14:paraId="3F2601C0" w14:textId="77777777" w:rsidR="00772358" w:rsidRDefault="00000000">
      <w:pPr>
        <w:spacing w:before="60" w:after="120" w:line="280" w:lineRule="auto"/>
        <w:jc w:val="both"/>
      </w:pPr>
      <w:r>
        <w:rPr>
          <w:b/>
          <w:bCs/>
          <w:color w:val="0B4F6C"/>
        </w:rPr>
        <w:t>Strategic:</w:t>
      </w:r>
      <w:r>
        <w:t xml:space="preserve"> 8–12 headline metrics that the CEO and Board track quarterly — net collection rate, denial rate trend, CAHPS score, total cost of care per member, operating margin impact of RCM.</w:t>
      </w:r>
    </w:p>
    <w:p w14:paraId="301DF52C" w14:textId="77777777" w:rsidR="00772358" w:rsidRDefault="00000000">
      <w:pPr>
        <w:spacing w:before="60" w:after="120" w:line="280" w:lineRule="auto"/>
        <w:jc w:val="both"/>
      </w:pPr>
      <w:r>
        <w:rPr>
          <w:b/>
          <w:bCs/>
          <w:color w:val="0B4F6C"/>
        </w:rPr>
        <w:t>Operational:</w:t>
      </w:r>
      <w:r>
        <w:t xml:space="preserve"> 20–40 function-specific metrics that operational leaders track weekly — clean claim rate by payer, eligibility denial rate by service line, prior authorisation turnaround by procedure type, coding accuracy by coder.</w:t>
      </w:r>
    </w:p>
    <w:p w14:paraId="08536B56" w14:textId="77777777" w:rsidR="00772358" w:rsidRDefault="00000000">
      <w:pPr>
        <w:spacing w:before="60" w:after="120" w:line="280" w:lineRule="auto"/>
        <w:jc w:val="both"/>
      </w:pPr>
      <w:r>
        <w:rPr>
          <w:b/>
          <w:bCs/>
          <w:color w:val="0B4F6C"/>
        </w:rPr>
        <w:t>Process:</w:t>
      </w:r>
      <w:r>
        <w:t xml:space="preserve"> Detailed metrics that team leaders track daily — edits cleared per FTE, appeals filed per day, eligibility checks completed, authorisation requests submitted.</w:t>
      </w:r>
    </w:p>
    <w:p w14:paraId="03496743" w14:textId="77777777" w:rsidR="00772358" w:rsidRDefault="00000000">
      <w:pPr>
        <w:spacing w:before="60" w:after="120" w:line="280" w:lineRule="auto"/>
        <w:jc w:val="both"/>
      </w:pPr>
      <w:r>
        <w:rPr>
          <w:b/>
          <w:bCs/>
          <w:color w:val="0B4F6C"/>
        </w:rPr>
        <w:t>Diagnostic:</w:t>
      </w:r>
      <w:r>
        <w:t xml:space="preserve"> Root cause metrics that enable attribution of problems to their source — denials by originating process stage, coding errors by documentation deficiency type, eligibility failures by verification touchpoint.</w:t>
      </w:r>
    </w:p>
    <w:p w14:paraId="320B1E7A" w14:textId="77777777" w:rsidR="00772358" w:rsidRDefault="00000000">
      <w:pPr>
        <w:pStyle w:val="Heading2"/>
        <w:pBdr>
          <w:bottom w:val="single" w:sz="4" w:space="2" w:color="E8A020"/>
        </w:pBdr>
      </w:pPr>
      <w:r>
        <w:t>23.2 RCM KPI Dashboard</w:t>
      </w:r>
    </w:p>
    <w:p w14:paraId="6F9CFD72" w14:textId="77777777" w:rsidR="00772358" w:rsidRDefault="00000000">
      <w:pPr>
        <w:pStyle w:val="Heading3"/>
      </w:pPr>
      <w:r>
        <w:t>Patient Access &amp; Front-End Metrics</w:t>
      </w:r>
    </w:p>
    <w:p w14:paraId="74B3E80F"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72358" w14:paraId="34B00975"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34DA8C26" w14:textId="77777777" w:rsidR="00772358" w:rsidRDefault="00000000">
            <w:r>
              <w:rPr>
                <w:b/>
                <w:bCs/>
                <w:color w:val="FFFFFF"/>
                <w:sz w:val="18"/>
                <w:szCs w:val="18"/>
              </w:rPr>
              <w:t>KPI</w:t>
            </w:r>
          </w:p>
        </w:tc>
        <w:tc>
          <w:tcPr>
            <w:tcW w:w="234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3F3F5BA8" w14:textId="77777777" w:rsidR="00772358" w:rsidRDefault="00000000">
            <w:r>
              <w:rPr>
                <w:b/>
                <w:bCs/>
                <w:color w:val="FFFFFF"/>
                <w:sz w:val="18"/>
                <w:szCs w:val="18"/>
              </w:rPr>
              <w:t>Best-in-Class</w:t>
            </w:r>
          </w:p>
        </w:tc>
        <w:tc>
          <w:tcPr>
            <w:tcW w:w="234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7CAC0B4D" w14:textId="77777777" w:rsidR="00772358" w:rsidRDefault="00000000">
            <w:r>
              <w:rPr>
                <w:b/>
                <w:bCs/>
                <w:color w:val="FFFFFF"/>
                <w:sz w:val="18"/>
                <w:szCs w:val="18"/>
              </w:rPr>
              <w:t>Average</w:t>
            </w:r>
          </w:p>
        </w:tc>
        <w:tc>
          <w:tcPr>
            <w:tcW w:w="234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6F3A8FEA" w14:textId="77777777" w:rsidR="00772358" w:rsidRDefault="00000000">
            <w:r>
              <w:rPr>
                <w:b/>
                <w:bCs/>
                <w:color w:val="FFFFFF"/>
                <w:sz w:val="18"/>
                <w:szCs w:val="18"/>
              </w:rPr>
              <w:t>Warning</w:t>
            </w:r>
          </w:p>
        </w:tc>
      </w:tr>
      <w:tr w:rsidR="00772358" w14:paraId="4CB2B1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6067944F" w14:textId="77777777" w:rsidR="00772358" w:rsidRDefault="00000000">
            <w:r>
              <w:rPr>
                <w:sz w:val="18"/>
                <w:szCs w:val="18"/>
              </w:rPr>
              <w:t>Pre-registration completion rate</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00B18D7E" w14:textId="77777777" w:rsidR="00772358" w:rsidRDefault="00000000">
            <w:r>
              <w:rPr>
                <w:sz w:val="18"/>
                <w:szCs w:val="18"/>
              </w:rPr>
              <w:t>&gt;95%</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368DD8BD" w14:textId="77777777" w:rsidR="00772358" w:rsidRDefault="00000000">
            <w:r>
              <w:rPr>
                <w:sz w:val="18"/>
                <w:szCs w:val="18"/>
              </w:rPr>
              <w:t>80–88%</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7AC0ACD0" w14:textId="77777777" w:rsidR="00772358" w:rsidRDefault="00000000">
            <w:r>
              <w:rPr>
                <w:sz w:val="18"/>
                <w:szCs w:val="18"/>
              </w:rPr>
              <w:t>&lt;75%</w:t>
            </w:r>
          </w:p>
        </w:tc>
      </w:tr>
      <w:tr w:rsidR="00772358" w14:paraId="31B6E9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7E47EB99" w14:textId="77777777" w:rsidR="00772358" w:rsidRDefault="00000000">
            <w:r>
              <w:rPr>
                <w:sz w:val="18"/>
                <w:szCs w:val="18"/>
              </w:rPr>
              <w:t>Eligibility verification rate (pre-service)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2826419F" w14:textId="77777777" w:rsidR="00772358" w:rsidRDefault="00000000">
            <w:r>
              <w:rPr>
                <w:sz w:val="18"/>
                <w:szCs w:val="18"/>
              </w:rPr>
              <w:t>&gt;98%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5EB0401C" w14:textId="77777777" w:rsidR="00772358" w:rsidRDefault="00000000">
            <w:r>
              <w:rPr>
                <w:sz w:val="18"/>
                <w:szCs w:val="18"/>
              </w:rPr>
              <w:t>88–94%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2A9859B9" w14:textId="77777777" w:rsidR="00772358" w:rsidRDefault="00000000">
            <w:r>
              <w:rPr>
                <w:sz w:val="18"/>
                <w:szCs w:val="18"/>
              </w:rPr>
              <w:t>&lt;85%</w:t>
            </w:r>
          </w:p>
        </w:tc>
      </w:tr>
      <w:tr w:rsidR="00772358" w14:paraId="6FD940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51192438" w14:textId="77777777" w:rsidR="00772358" w:rsidRDefault="00000000">
            <w:r>
              <w:rPr>
                <w:sz w:val="18"/>
                <w:szCs w:val="18"/>
              </w:rPr>
              <w:t>Eligibility-related denial rate</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4C8F64C4" w14:textId="77777777" w:rsidR="00772358" w:rsidRDefault="00000000">
            <w:r>
              <w:rPr>
                <w:sz w:val="18"/>
                <w:szCs w:val="18"/>
              </w:rPr>
              <w:t>&lt;1.5%</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341986AD" w14:textId="77777777" w:rsidR="00772358" w:rsidRDefault="00000000">
            <w:r>
              <w:rPr>
                <w:sz w:val="18"/>
                <w:szCs w:val="18"/>
              </w:rPr>
              <w:t>3–6%</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52505BA9" w14:textId="77777777" w:rsidR="00772358" w:rsidRDefault="00000000">
            <w:r>
              <w:rPr>
                <w:sz w:val="18"/>
                <w:szCs w:val="18"/>
              </w:rPr>
              <w:t>&gt;8%</w:t>
            </w:r>
          </w:p>
        </w:tc>
      </w:tr>
      <w:tr w:rsidR="00772358" w14:paraId="507053E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7C97F394" w14:textId="77777777" w:rsidR="00772358" w:rsidRDefault="00000000">
            <w:r>
              <w:rPr>
                <w:sz w:val="18"/>
                <w:szCs w:val="18"/>
              </w:rPr>
              <w:t>Point-of-service collection 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6C685F63" w14:textId="77777777" w:rsidR="00772358" w:rsidRDefault="00000000">
            <w:r>
              <w:rPr>
                <w:sz w:val="18"/>
                <w:szCs w:val="18"/>
              </w:rPr>
              <w:t>&gt;65%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7B204515" w14:textId="77777777" w:rsidR="00772358" w:rsidRDefault="00000000">
            <w:r>
              <w:rPr>
                <w:sz w:val="18"/>
                <w:szCs w:val="18"/>
              </w:rPr>
              <w:t>30–45%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20073B08" w14:textId="77777777" w:rsidR="00772358" w:rsidRDefault="00000000">
            <w:r>
              <w:rPr>
                <w:sz w:val="18"/>
                <w:szCs w:val="18"/>
              </w:rPr>
              <w:t>&lt;25%</w:t>
            </w:r>
          </w:p>
        </w:tc>
      </w:tr>
      <w:tr w:rsidR="00772358" w14:paraId="18D5A5C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004EE4DD" w14:textId="77777777" w:rsidR="00772358" w:rsidRDefault="00000000">
            <w:r>
              <w:rPr>
                <w:sz w:val="18"/>
                <w:szCs w:val="18"/>
              </w:rPr>
              <w:t>Scheduling abandonment rate</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6DAEAB01" w14:textId="77777777" w:rsidR="00772358" w:rsidRDefault="00000000">
            <w:r>
              <w:rPr>
                <w:sz w:val="18"/>
                <w:szCs w:val="18"/>
              </w:rPr>
              <w:t>&lt;3%</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60E33275" w14:textId="77777777" w:rsidR="00772358" w:rsidRDefault="00000000">
            <w:r>
              <w:rPr>
                <w:sz w:val="18"/>
                <w:szCs w:val="18"/>
              </w:rPr>
              <w:t>6–10%</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0713ACB7" w14:textId="77777777" w:rsidR="00772358" w:rsidRDefault="00000000">
            <w:r>
              <w:rPr>
                <w:sz w:val="18"/>
                <w:szCs w:val="18"/>
              </w:rPr>
              <w:t>&gt;12%</w:t>
            </w:r>
          </w:p>
        </w:tc>
      </w:tr>
      <w:tr w:rsidR="00772358" w14:paraId="7B7F7F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574566BC" w14:textId="77777777" w:rsidR="00772358" w:rsidRDefault="00000000">
            <w:r>
              <w:rPr>
                <w:sz w:val="18"/>
                <w:szCs w:val="18"/>
              </w:rPr>
              <w:t>Authorization denial 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1C8310EB" w14:textId="77777777" w:rsidR="00772358" w:rsidRDefault="00000000">
            <w:r>
              <w:rPr>
                <w:sz w:val="18"/>
                <w:szCs w:val="18"/>
              </w:rPr>
              <w:t>&lt;4%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6B2CB9F2" w14:textId="77777777" w:rsidR="00772358" w:rsidRDefault="00000000">
            <w:r>
              <w:rPr>
                <w:sz w:val="18"/>
                <w:szCs w:val="18"/>
              </w:rPr>
              <w:t>7–12%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2DE66A0F" w14:textId="77777777" w:rsidR="00772358" w:rsidRDefault="00000000">
            <w:r>
              <w:rPr>
                <w:sz w:val="18"/>
                <w:szCs w:val="18"/>
              </w:rPr>
              <w:t>&gt;15%</w:t>
            </w:r>
          </w:p>
        </w:tc>
      </w:tr>
    </w:tbl>
    <w:p w14:paraId="65536725" w14:textId="77777777" w:rsidR="00772358" w:rsidRDefault="00772358">
      <w:pPr>
        <w:spacing w:after="80"/>
      </w:pPr>
    </w:p>
    <w:p w14:paraId="4BA8E45C" w14:textId="77777777" w:rsidR="00772358" w:rsidRDefault="00000000">
      <w:pPr>
        <w:pStyle w:val="Heading3"/>
      </w:pPr>
      <w:r>
        <w:t>Claims &amp; Billing Metrics</w:t>
      </w:r>
    </w:p>
    <w:p w14:paraId="294D892C"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72358" w14:paraId="27AB08AC"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1E94181B" w14:textId="77777777" w:rsidR="00772358" w:rsidRDefault="00000000">
            <w:r>
              <w:rPr>
                <w:b/>
                <w:bCs/>
                <w:color w:val="FFFFFF"/>
                <w:sz w:val="18"/>
                <w:szCs w:val="18"/>
              </w:rPr>
              <w:t>KPI</w:t>
            </w:r>
          </w:p>
        </w:tc>
        <w:tc>
          <w:tcPr>
            <w:tcW w:w="234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326D8359" w14:textId="77777777" w:rsidR="00772358" w:rsidRDefault="00000000">
            <w:r>
              <w:rPr>
                <w:b/>
                <w:bCs/>
                <w:color w:val="FFFFFF"/>
                <w:sz w:val="18"/>
                <w:szCs w:val="18"/>
              </w:rPr>
              <w:t>Best-in-Class</w:t>
            </w:r>
          </w:p>
        </w:tc>
        <w:tc>
          <w:tcPr>
            <w:tcW w:w="234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2E54C85F" w14:textId="77777777" w:rsidR="00772358" w:rsidRDefault="00000000">
            <w:r>
              <w:rPr>
                <w:b/>
                <w:bCs/>
                <w:color w:val="FFFFFF"/>
                <w:sz w:val="18"/>
                <w:szCs w:val="18"/>
              </w:rPr>
              <w:t>Average</w:t>
            </w:r>
          </w:p>
        </w:tc>
        <w:tc>
          <w:tcPr>
            <w:tcW w:w="234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0597B297" w14:textId="77777777" w:rsidR="00772358" w:rsidRDefault="00000000">
            <w:r>
              <w:rPr>
                <w:b/>
                <w:bCs/>
                <w:color w:val="FFFFFF"/>
                <w:sz w:val="18"/>
                <w:szCs w:val="18"/>
              </w:rPr>
              <w:t>Warning</w:t>
            </w:r>
          </w:p>
        </w:tc>
      </w:tr>
      <w:tr w:rsidR="00772358" w14:paraId="2355E6C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677882B4" w14:textId="77777777" w:rsidR="00772358" w:rsidRDefault="00000000">
            <w:r>
              <w:rPr>
                <w:sz w:val="18"/>
                <w:szCs w:val="18"/>
              </w:rPr>
              <w:t>Clean claim rate (first submission)</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153B1387" w14:textId="77777777" w:rsidR="00772358" w:rsidRDefault="00000000">
            <w:r>
              <w:rPr>
                <w:sz w:val="18"/>
                <w:szCs w:val="18"/>
              </w:rPr>
              <w:t>&gt;97%</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1668D73F" w14:textId="77777777" w:rsidR="00772358" w:rsidRDefault="00000000">
            <w:r>
              <w:rPr>
                <w:sz w:val="18"/>
                <w:szCs w:val="18"/>
              </w:rPr>
              <w:t>88–93%</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4F163E03" w14:textId="77777777" w:rsidR="00772358" w:rsidRDefault="00000000">
            <w:r>
              <w:rPr>
                <w:sz w:val="18"/>
                <w:szCs w:val="18"/>
              </w:rPr>
              <w:t>&lt;85%</w:t>
            </w:r>
          </w:p>
        </w:tc>
      </w:tr>
      <w:tr w:rsidR="00772358" w14:paraId="5856458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318383DD" w14:textId="77777777" w:rsidR="00772358" w:rsidRDefault="00000000">
            <w:r>
              <w:rPr>
                <w:sz w:val="18"/>
                <w:szCs w:val="18"/>
              </w:rPr>
              <w:t>First-pass resolution 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1D667CC5" w14:textId="77777777" w:rsidR="00772358" w:rsidRDefault="00000000">
            <w:r>
              <w:rPr>
                <w:sz w:val="18"/>
                <w:szCs w:val="18"/>
              </w:rPr>
              <w:t>&gt;92%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7FCD4FFA" w14:textId="77777777" w:rsidR="00772358" w:rsidRDefault="00000000">
            <w:r>
              <w:rPr>
                <w:sz w:val="18"/>
                <w:szCs w:val="18"/>
              </w:rPr>
              <w:t>75–85%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028235CA" w14:textId="77777777" w:rsidR="00772358" w:rsidRDefault="00000000">
            <w:r>
              <w:rPr>
                <w:sz w:val="18"/>
                <w:szCs w:val="18"/>
              </w:rPr>
              <w:t>&lt;70%</w:t>
            </w:r>
          </w:p>
        </w:tc>
      </w:tr>
      <w:tr w:rsidR="00772358" w14:paraId="3BC317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00B6EA6D" w14:textId="77777777" w:rsidR="00772358" w:rsidRDefault="00000000">
            <w:r>
              <w:rPr>
                <w:sz w:val="18"/>
                <w:szCs w:val="18"/>
              </w:rPr>
              <w:t>Days in AR (total)</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044C048F" w14:textId="77777777" w:rsidR="00772358" w:rsidRDefault="00000000">
            <w:r>
              <w:rPr>
                <w:sz w:val="18"/>
                <w:szCs w:val="18"/>
              </w:rPr>
              <w:t>&lt;35</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735794D3" w14:textId="77777777" w:rsidR="00772358" w:rsidRDefault="00000000">
            <w:r>
              <w:rPr>
                <w:sz w:val="18"/>
                <w:szCs w:val="18"/>
              </w:rPr>
              <w:t>45–60</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01F554CE" w14:textId="77777777" w:rsidR="00772358" w:rsidRDefault="00000000">
            <w:r>
              <w:rPr>
                <w:sz w:val="18"/>
                <w:szCs w:val="18"/>
              </w:rPr>
              <w:t>&gt;70</w:t>
            </w:r>
          </w:p>
        </w:tc>
      </w:tr>
      <w:tr w:rsidR="00772358" w14:paraId="6AA2B9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4669CAAB" w14:textId="77777777" w:rsidR="00772358" w:rsidRDefault="00000000">
            <w:r>
              <w:rPr>
                <w:sz w:val="18"/>
                <w:szCs w:val="18"/>
              </w:rPr>
              <w:t>AR &gt;90 days (% of total 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6390D6F0" w14:textId="77777777" w:rsidR="00772358" w:rsidRDefault="00000000">
            <w:r>
              <w:rPr>
                <w:sz w:val="18"/>
                <w:szCs w:val="18"/>
              </w:rPr>
              <w:t>&lt;12%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4692A6B4" w14:textId="77777777" w:rsidR="00772358" w:rsidRDefault="00000000">
            <w:r>
              <w:rPr>
                <w:sz w:val="18"/>
                <w:szCs w:val="18"/>
              </w:rPr>
              <w:t>20–28%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0312285A" w14:textId="77777777" w:rsidR="00772358" w:rsidRDefault="00000000">
            <w:r>
              <w:rPr>
                <w:sz w:val="18"/>
                <w:szCs w:val="18"/>
              </w:rPr>
              <w:t>&gt;35%</w:t>
            </w:r>
          </w:p>
        </w:tc>
      </w:tr>
      <w:tr w:rsidR="00772358" w14:paraId="790667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7FBF7ECF" w14:textId="77777777" w:rsidR="00772358" w:rsidRDefault="00000000">
            <w:r>
              <w:rPr>
                <w:sz w:val="18"/>
                <w:szCs w:val="18"/>
              </w:rPr>
              <w:t>Claim submission lag (DOS to submit)</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7070D404" w14:textId="77777777" w:rsidR="00772358" w:rsidRDefault="00000000">
            <w:r>
              <w:rPr>
                <w:sz w:val="18"/>
                <w:szCs w:val="18"/>
              </w:rPr>
              <w:t>&lt;3 days</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3382915E" w14:textId="77777777" w:rsidR="00772358" w:rsidRDefault="00000000">
            <w:r>
              <w:rPr>
                <w:sz w:val="18"/>
                <w:szCs w:val="18"/>
              </w:rPr>
              <w:t>5–8 days</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330F9CFD" w14:textId="77777777" w:rsidR="00772358" w:rsidRDefault="00000000">
            <w:r>
              <w:rPr>
                <w:sz w:val="18"/>
                <w:szCs w:val="18"/>
              </w:rPr>
              <w:t>&gt;10 days</w:t>
            </w:r>
          </w:p>
        </w:tc>
      </w:tr>
    </w:tbl>
    <w:p w14:paraId="05C09886" w14:textId="77777777" w:rsidR="00772358" w:rsidRDefault="00772358">
      <w:pPr>
        <w:spacing w:after="80"/>
      </w:pPr>
    </w:p>
    <w:p w14:paraId="48A7F49E" w14:textId="77777777" w:rsidR="00772358" w:rsidRDefault="00000000">
      <w:pPr>
        <w:pStyle w:val="Heading3"/>
      </w:pPr>
      <w:r>
        <w:t>Denial &amp; Appeals Metrics</w:t>
      </w:r>
    </w:p>
    <w:p w14:paraId="6E60241E"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72358" w14:paraId="203AAE76"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7956811D" w14:textId="77777777" w:rsidR="00772358" w:rsidRDefault="00000000">
            <w:r>
              <w:rPr>
                <w:b/>
                <w:bCs/>
                <w:color w:val="FFFFFF"/>
                <w:sz w:val="18"/>
                <w:szCs w:val="18"/>
              </w:rPr>
              <w:t>KPI</w:t>
            </w:r>
          </w:p>
        </w:tc>
        <w:tc>
          <w:tcPr>
            <w:tcW w:w="234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06A43D3C" w14:textId="77777777" w:rsidR="00772358" w:rsidRDefault="00000000">
            <w:r>
              <w:rPr>
                <w:b/>
                <w:bCs/>
                <w:color w:val="FFFFFF"/>
                <w:sz w:val="18"/>
                <w:szCs w:val="18"/>
              </w:rPr>
              <w:t>Best-in-Class</w:t>
            </w:r>
          </w:p>
        </w:tc>
        <w:tc>
          <w:tcPr>
            <w:tcW w:w="234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65CDD879" w14:textId="77777777" w:rsidR="00772358" w:rsidRDefault="00000000">
            <w:r>
              <w:rPr>
                <w:b/>
                <w:bCs/>
                <w:color w:val="FFFFFF"/>
                <w:sz w:val="18"/>
                <w:szCs w:val="18"/>
              </w:rPr>
              <w:t>Average</w:t>
            </w:r>
          </w:p>
        </w:tc>
        <w:tc>
          <w:tcPr>
            <w:tcW w:w="234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24F68435" w14:textId="77777777" w:rsidR="00772358" w:rsidRDefault="00000000">
            <w:r>
              <w:rPr>
                <w:b/>
                <w:bCs/>
                <w:color w:val="FFFFFF"/>
                <w:sz w:val="18"/>
                <w:szCs w:val="18"/>
              </w:rPr>
              <w:t>Warning</w:t>
            </w:r>
          </w:p>
        </w:tc>
      </w:tr>
      <w:tr w:rsidR="00772358" w14:paraId="09BC38B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0643AA1B" w14:textId="77777777" w:rsidR="00772358" w:rsidRDefault="00000000">
            <w:r>
              <w:rPr>
                <w:sz w:val="18"/>
                <w:szCs w:val="18"/>
              </w:rPr>
              <w:t>Overall denial rate</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6CE17AFD" w14:textId="77777777" w:rsidR="00772358" w:rsidRDefault="00000000">
            <w:r>
              <w:rPr>
                <w:sz w:val="18"/>
                <w:szCs w:val="18"/>
              </w:rPr>
              <w:t>&lt;5%</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21382A0F" w14:textId="77777777" w:rsidR="00772358" w:rsidRDefault="00000000">
            <w:r>
              <w:rPr>
                <w:sz w:val="18"/>
                <w:szCs w:val="18"/>
              </w:rPr>
              <w:t>10–14%</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02B23587" w14:textId="77777777" w:rsidR="00772358" w:rsidRDefault="00000000">
            <w:r>
              <w:rPr>
                <w:sz w:val="18"/>
                <w:szCs w:val="18"/>
              </w:rPr>
              <w:t>&gt;18%</w:t>
            </w:r>
          </w:p>
        </w:tc>
      </w:tr>
      <w:tr w:rsidR="00772358" w14:paraId="1FE985E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14D96316" w14:textId="77777777" w:rsidR="00772358" w:rsidRDefault="00000000">
            <w:r>
              <w:rPr>
                <w:sz w:val="18"/>
                <w:szCs w:val="18"/>
              </w:rPr>
              <w:t>Avoidable denial 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72BB04D8" w14:textId="77777777" w:rsidR="00772358" w:rsidRDefault="00000000">
            <w:r>
              <w:rPr>
                <w:sz w:val="18"/>
                <w:szCs w:val="18"/>
              </w:rPr>
              <w:t>&lt;3%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0BB5B677" w14:textId="77777777" w:rsidR="00772358" w:rsidRDefault="00000000">
            <w:r>
              <w:rPr>
                <w:sz w:val="18"/>
                <w:szCs w:val="18"/>
              </w:rPr>
              <w:t>7–10%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5525A2F5" w14:textId="77777777" w:rsidR="00772358" w:rsidRDefault="00000000">
            <w:r>
              <w:rPr>
                <w:sz w:val="18"/>
                <w:szCs w:val="18"/>
              </w:rPr>
              <w:t>&gt;14%</w:t>
            </w:r>
          </w:p>
        </w:tc>
      </w:tr>
      <w:tr w:rsidR="00772358" w14:paraId="61EED83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5CC26374" w14:textId="77777777" w:rsidR="00772358" w:rsidRDefault="00000000">
            <w:r>
              <w:rPr>
                <w:sz w:val="18"/>
                <w:szCs w:val="18"/>
              </w:rPr>
              <w:t>Appeal overturn rate</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286E3B00" w14:textId="77777777" w:rsidR="00772358" w:rsidRDefault="00000000">
            <w:r>
              <w:rPr>
                <w:sz w:val="18"/>
                <w:szCs w:val="18"/>
              </w:rPr>
              <w:t>&gt;65%</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27DA2B05" w14:textId="77777777" w:rsidR="00772358" w:rsidRDefault="00000000">
            <w:r>
              <w:rPr>
                <w:sz w:val="18"/>
                <w:szCs w:val="18"/>
              </w:rPr>
              <w:t>40–55%</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77B1253F" w14:textId="77777777" w:rsidR="00772358" w:rsidRDefault="00000000">
            <w:r>
              <w:rPr>
                <w:sz w:val="18"/>
                <w:szCs w:val="18"/>
              </w:rPr>
              <w:t>&lt;30%</w:t>
            </w:r>
          </w:p>
        </w:tc>
      </w:tr>
      <w:tr w:rsidR="00772358" w14:paraId="2A1480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22E8EF2D" w14:textId="77777777" w:rsidR="00772358" w:rsidRDefault="00000000">
            <w:r>
              <w:rPr>
                <w:sz w:val="18"/>
                <w:szCs w:val="18"/>
              </w:rPr>
              <w:t>Denials worked within 30 days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5D2C523C" w14:textId="77777777" w:rsidR="00772358" w:rsidRDefault="00000000">
            <w:r>
              <w:rPr>
                <w:sz w:val="18"/>
                <w:szCs w:val="18"/>
              </w:rPr>
              <w:t>&gt;90%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085BAD2E" w14:textId="77777777" w:rsidR="00772358" w:rsidRDefault="00000000">
            <w:r>
              <w:rPr>
                <w:sz w:val="18"/>
                <w:szCs w:val="18"/>
              </w:rPr>
              <w:t>70–82%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400F67F9" w14:textId="77777777" w:rsidR="00772358" w:rsidRDefault="00000000">
            <w:r>
              <w:rPr>
                <w:sz w:val="18"/>
                <w:szCs w:val="18"/>
              </w:rPr>
              <w:t>&lt;60%</w:t>
            </w:r>
          </w:p>
        </w:tc>
      </w:tr>
      <w:tr w:rsidR="00772358" w14:paraId="528A2C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6F7FFB02" w14:textId="77777777" w:rsidR="00772358" w:rsidRDefault="00000000">
            <w:r>
              <w:rPr>
                <w:sz w:val="18"/>
                <w:szCs w:val="18"/>
              </w:rPr>
              <w:t>Write-off rate (preventable)</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1BCD689A" w14:textId="77777777" w:rsidR="00772358" w:rsidRDefault="00000000">
            <w:r>
              <w:rPr>
                <w:sz w:val="18"/>
                <w:szCs w:val="18"/>
              </w:rPr>
              <w:t>&lt;1%</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32328C93" w14:textId="77777777" w:rsidR="00772358" w:rsidRDefault="00000000">
            <w:r>
              <w:rPr>
                <w:sz w:val="18"/>
                <w:szCs w:val="18"/>
              </w:rPr>
              <w:t>2–4%</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5847B8D2" w14:textId="77777777" w:rsidR="00772358" w:rsidRDefault="00000000">
            <w:r>
              <w:rPr>
                <w:sz w:val="18"/>
                <w:szCs w:val="18"/>
              </w:rPr>
              <w:t>&gt;6%</w:t>
            </w:r>
          </w:p>
        </w:tc>
      </w:tr>
    </w:tbl>
    <w:p w14:paraId="19E68102" w14:textId="77777777" w:rsidR="00772358" w:rsidRDefault="00772358">
      <w:pPr>
        <w:spacing w:after="80"/>
      </w:pPr>
    </w:p>
    <w:p w14:paraId="3AEFE1D9" w14:textId="77777777" w:rsidR="00772358" w:rsidRDefault="00000000">
      <w:pPr>
        <w:pStyle w:val="Heading3"/>
      </w:pPr>
      <w:r>
        <w:t>Collections &amp; Financial Metrics</w:t>
      </w:r>
    </w:p>
    <w:p w14:paraId="1FB81D8C"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72358" w14:paraId="58941FA0"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755243EC" w14:textId="77777777" w:rsidR="00772358" w:rsidRDefault="00000000">
            <w:r>
              <w:rPr>
                <w:b/>
                <w:bCs/>
                <w:color w:val="FFFFFF"/>
                <w:sz w:val="18"/>
                <w:szCs w:val="18"/>
              </w:rPr>
              <w:t>KPI</w:t>
            </w:r>
          </w:p>
        </w:tc>
        <w:tc>
          <w:tcPr>
            <w:tcW w:w="234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70049A2F" w14:textId="77777777" w:rsidR="00772358" w:rsidRDefault="00000000">
            <w:r>
              <w:rPr>
                <w:b/>
                <w:bCs/>
                <w:color w:val="FFFFFF"/>
                <w:sz w:val="18"/>
                <w:szCs w:val="18"/>
              </w:rPr>
              <w:t>Best-in-Class</w:t>
            </w:r>
          </w:p>
        </w:tc>
        <w:tc>
          <w:tcPr>
            <w:tcW w:w="234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7B9BFB2D" w14:textId="77777777" w:rsidR="00772358" w:rsidRDefault="00000000">
            <w:r>
              <w:rPr>
                <w:b/>
                <w:bCs/>
                <w:color w:val="FFFFFF"/>
                <w:sz w:val="18"/>
                <w:szCs w:val="18"/>
              </w:rPr>
              <w:t>Average</w:t>
            </w:r>
          </w:p>
        </w:tc>
        <w:tc>
          <w:tcPr>
            <w:tcW w:w="234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29FFE22A" w14:textId="77777777" w:rsidR="00772358" w:rsidRDefault="00000000">
            <w:r>
              <w:rPr>
                <w:b/>
                <w:bCs/>
                <w:color w:val="FFFFFF"/>
                <w:sz w:val="18"/>
                <w:szCs w:val="18"/>
              </w:rPr>
              <w:t>Warning</w:t>
            </w:r>
          </w:p>
        </w:tc>
      </w:tr>
      <w:tr w:rsidR="00772358" w14:paraId="3128F67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458E2A12" w14:textId="77777777" w:rsidR="00772358" w:rsidRDefault="00000000">
            <w:r>
              <w:rPr>
                <w:sz w:val="18"/>
                <w:szCs w:val="18"/>
              </w:rPr>
              <w:t>Net collection rate</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79F0D26C" w14:textId="77777777" w:rsidR="00772358" w:rsidRDefault="00000000">
            <w:r>
              <w:rPr>
                <w:sz w:val="18"/>
                <w:szCs w:val="18"/>
              </w:rPr>
              <w:t>&gt;98%</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26C569EE" w14:textId="77777777" w:rsidR="00772358" w:rsidRDefault="00000000">
            <w:r>
              <w:rPr>
                <w:sz w:val="18"/>
                <w:szCs w:val="18"/>
              </w:rPr>
              <w:t>92–96%</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7E7D8A20" w14:textId="77777777" w:rsidR="00772358" w:rsidRDefault="00000000">
            <w:r>
              <w:rPr>
                <w:sz w:val="18"/>
                <w:szCs w:val="18"/>
              </w:rPr>
              <w:t>&lt;90%</w:t>
            </w:r>
          </w:p>
        </w:tc>
      </w:tr>
      <w:tr w:rsidR="00772358" w14:paraId="7C318F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0B8340F8" w14:textId="77777777" w:rsidR="00772358" w:rsidRDefault="00000000">
            <w:r>
              <w:rPr>
                <w:sz w:val="18"/>
                <w:szCs w:val="18"/>
              </w:rPr>
              <w:t>Cost to collect (% of NR)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45601D7F" w14:textId="77777777" w:rsidR="00772358" w:rsidRDefault="00000000">
            <w:r>
              <w:rPr>
                <w:sz w:val="18"/>
                <w:szCs w:val="18"/>
              </w:rPr>
              <w:t>&lt;3%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13585BD8" w14:textId="77777777" w:rsidR="00772358" w:rsidRDefault="00000000">
            <w:r>
              <w:rPr>
                <w:sz w:val="18"/>
                <w:szCs w:val="18"/>
              </w:rPr>
              <w:t>4–7%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3FC8249E" w14:textId="77777777" w:rsidR="00772358" w:rsidRDefault="00000000">
            <w:r>
              <w:rPr>
                <w:sz w:val="18"/>
                <w:szCs w:val="18"/>
              </w:rPr>
              <w:t>&gt;9%</w:t>
            </w:r>
          </w:p>
        </w:tc>
      </w:tr>
      <w:tr w:rsidR="00772358" w14:paraId="0C6E47D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14515987" w14:textId="77777777" w:rsidR="00772358" w:rsidRDefault="00000000">
            <w:r>
              <w:rPr>
                <w:sz w:val="18"/>
                <w:szCs w:val="18"/>
              </w:rPr>
              <w:t>Patient bad debt rate</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0FE44A6A" w14:textId="77777777" w:rsidR="00772358" w:rsidRDefault="00000000">
            <w:r>
              <w:rPr>
                <w:sz w:val="18"/>
                <w:szCs w:val="18"/>
              </w:rPr>
              <w:t>&lt;2%</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44078B17" w14:textId="77777777" w:rsidR="00772358" w:rsidRDefault="00000000">
            <w:r>
              <w:rPr>
                <w:sz w:val="18"/>
                <w:szCs w:val="18"/>
              </w:rPr>
              <w:t>3–6%</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706FCF3D" w14:textId="77777777" w:rsidR="00772358" w:rsidRDefault="00000000">
            <w:r>
              <w:rPr>
                <w:sz w:val="18"/>
                <w:szCs w:val="18"/>
              </w:rPr>
              <w:t>&gt;8%</w:t>
            </w:r>
          </w:p>
        </w:tc>
      </w:tr>
      <w:tr w:rsidR="00772358" w14:paraId="37BDDC6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7DC75739" w14:textId="77777777" w:rsidR="00772358" w:rsidRDefault="00000000">
            <w:r>
              <w:rPr>
                <w:sz w:val="18"/>
                <w:szCs w:val="18"/>
              </w:rPr>
              <w:t>Days cash on hand (attributable)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636A2E86" w14:textId="77777777" w:rsidR="00772358" w:rsidRDefault="00000000">
            <w:r>
              <w:rPr>
                <w:sz w:val="18"/>
                <w:szCs w:val="18"/>
              </w:rPr>
              <w:t>&gt;200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7B87BE97" w14:textId="77777777" w:rsidR="00772358" w:rsidRDefault="00000000">
            <w:r>
              <w:rPr>
                <w:sz w:val="18"/>
                <w:szCs w:val="18"/>
              </w:rPr>
              <w:t>150–180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21A7A6FC" w14:textId="77777777" w:rsidR="00772358" w:rsidRDefault="00000000">
            <w:r>
              <w:rPr>
                <w:sz w:val="18"/>
                <w:szCs w:val="18"/>
              </w:rPr>
              <w:t>&lt;120</w:t>
            </w:r>
          </w:p>
        </w:tc>
      </w:tr>
    </w:tbl>
    <w:p w14:paraId="09BD2081" w14:textId="77777777" w:rsidR="00772358" w:rsidRDefault="00772358">
      <w:pPr>
        <w:spacing w:after="80"/>
      </w:pPr>
    </w:p>
    <w:p w14:paraId="3794BA79" w14:textId="77777777" w:rsidR="00772358" w:rsidRDefault="00000000">
      <w:pPr>
        <w:pStyle w:val="Heading2"/>
        <w:pBdr>
          <w:bottom w:val="single" w:sz="4" w:space="2" w:color="E8A020"/>
        </w:pBdr>
      </w:pPr>
      <w:r>
        <w:t>23.3 Payer Operations KPI Dashboard</w:t>
      </w:r>
    </w:p>
    <w:p w14:paraId="5FC283FB"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72358" w14:paraId="04EED9AA"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444E0DB9" w14:textId="77777777" w:rsidR="00772358" w:rsidRDefault="00000000">
            <w:r>
              <w:rPr>
                <w:b/>
                <w:bCs/>
                <w:color w:val="FFFFFF"/>
                <w:sz w:val="18"/>
                <w:szCs w:val="18"/>
              </w:rPr>
              <w:t>KPI</w:t>
            </w:r>
          </w:p>
        </w:tc>
        <w:tc>
          <w:tcPr>
            <w:tcW w:w="234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01714E5F" w14:textId="77777777" w:rsidR="00772358" w:rsidRDefault="00000000">
            <w:r>
              <w:rPr>
                <w:b/>
                <w:bCs/>
                <w:color w:val="FFFFFF"/>
                <w:sz w:val="18"/>
                <w:szCs w:val="18"/>
              </w:rPr>
              <w:t>Best-in-Class</w:t>
            </w:r>
          </w:p>
        </w:tc>
        <w:tc>
          <w:tcPr>
            <w:tcW w:w="234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72D85605" w14:textId="77777777" w:rsidR="00772358" w:rsidRDefault="00000000">
            <w:r>
              <w:rPr>
                <w:b/>
                <w:bCs/>
                <w:color w:val="FFFFFF"/>
                <w:sz w:val="18"/>
                <w:szCs w:val="18"/>
              </w:rPr>
              <w:t>Average</w:t>
            </w:r>
          </w:p>
        </w:tc>
        <w:tc>
          <w:tcPr>
            <w:tcW w:w="234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7068F0E8" w14:textId="77777777" w:rsidR="00772358" w:rsidRDefault="00000000">
            <w:r>
              <w:rPr>
                <w:b/>
                <w:bCs/>
                <w:color w:val="FFFFFF"/>
                <w:sz w:val="18"/>
                <w:szCs w:val="18"/>
              </w:rPr>
              <w:t>Warning</w:t>
            </w:r>
          </w:p>
        </w:tc>
      </w:tr>
      <w:tr w:rsidR="00772358" w14:paraId="5A06A2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5A20F917" w14:textId="77777777" w:rsidR="00772358" w:rsidRDefault="00000000">
            <w:r>
              <w:rPr>
                <w:sz w:val="18"/>
                <w:szCs w:val="18"/>
              </w:rPr>
              <w:t>Auto-adjudication rate</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3E00D93F" w14:textId="77777777" w:rsidR="00772358" w:rsidRDefault="00000000">
            <w:r>
              <w:rPr>
                <w:sz w:val="18"/>
                <w:szCs w:val="18"/>
              </w:rPr>
              <w:t>&gt;92%</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419B2353" w14:textId="77777777" w:rsidR="00772358" w:rsidRDefault="00000000">
            <w:r>
              <w:rPr>
                <w:sz w:val="18"/>
                <w:szCs w:val="18"/>
              </w:rPr>
              <w:t>80–88%</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77A6EE08" w14:textId="77777777" w:rsidR="00772358" w:rsidRDefault="00000000">
            <w:r>
              <w:rPr>
                <w:sz w:val="18"/>
                <w:szCs w:val="18"/>
              </w:rPr>
              <w:t>&lt;75%</w:t>
            </w:r>
          </w:p>
        </w:tc>
      </w:tr>
      <w:tr w:rsidR="00772358" w14:paraId="5B0571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4B9B340A" w14:textId="77777777" w:rsidR="00772358" w:rsidRDefault="00000000">
            <w:r>
              <w:rPr>
                <w:sz w:val="18"/>
                <w:szCs w:val="18"/>
              </w:rPr>
              <w:t>Claims processing time (electronic)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1C284D22" w14:textId="77777777" w:rsidR="00772358" w:rsidRDefault="00000000">
            <w:r>
              <w:rPr>
                <w:sz w:val="18"/>
                <w:szCs w:val="18"/>
              </w:rPr>
              <w:t>&lt;5 days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5123E199" w14:textId="77777777" w:rsidR="00772358" w:rsidRDefault="00000000">
            <w:r>
              <w:rPr>
                <w:sz w:val="18"/>
                <w:szCs w:val="18"/>
              </w:rPr>
              <w:t>7–14 days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68929906" w14:textId="77777777" w:rsidR="00772358" w:rsidRDefault="00000000">
            <w:r>
              <w:rPr>
                <w:sz w:val="18"/>
                <w:szCs w:val="18"/>
              </w:rPr>
              <w:t>&gt;21 days</w:t>
            </w:r>
          </w:p>
        </w:tc>
      </w:tr>
      <w:tr w:rsidR="00772358" w14:paraId="6F668B4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7ADA019A" w14:textId="77777777" w:rsidR="00772358" w:rsidRDefault="00000000">
            <w:r>
              <w:rPr>
                <w:sz w:val="18"/>
                <w:szCs w:val="18"/>
              </w:rPr>
              <w:t>Claims accuracy rate</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187C5979" w14:textId="77777777" w:rsidR="00772358" w:rsidRDefault="00000000">
            <w:r>
              <w:rPr>
                <w:sz w:val="18"/>
                <w:szCs w:val="18"/>
              </w:rPr>
              <w:t>&gt;99.5%</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7581396A" w14:textId="77777777" w:rsidR="00772358" w:rsidRDefault="00000000">
            <w:r>
              <w:rPr>
                <w:sz w:val="18"/>
                <w:szCs w:val="18"/>
              </w:rPr>
              <w:t>98.5–99.2%</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79849C21" w14:textId="77777777" w:rsidR="00772358" w:rsidRDefault="00000000">
            <w:r>
              <w:rPr>
                <w:sz w:val="18"/>
                <w:szCs w:val="18"/>
              </w:rPr>
              <w:t>&lt;98%</w:t>
            </w:r>
          </w:p>
        </w:tc>
      </w:tr>
      <w:tr w:rsidR="00772358" w14:paraId="171F6F4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4BFB3023" w14:textId="77777777" w:rsidR="00772358" w:rsidRDefault="00000000">
            <w:r>
              <w:rPr>
                <w:sz w:val="18"/>
                <w:szCs w:val="18"/>
              </w:rPr>
              <w:t>Prior auth turnaround (non-urgent)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7E7291D7" w14:textId="77777777" w:rsidR="00772358" w:rsidRDefault="00000000">
            <w:r>
              <w:rPr>
                <w:sz w:val="18"/>
                <w:szCs w:val="18"/>
              </w:rPr>
              <w:t>&lt;2 business days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0C51F13A" w14:textId="77777777" w:rsidR="00772358" w:rsidRDefault="00000000">
            <w:r>
              <w:rPr>
                <w:sz w:val="18"/>
                <w:szCs w:val="18"/>
              </w:rPr>
              <w:t>3–5 days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3E9FE4F5" w14:textId="77777777" w:rsidR="00772358" w:rsidRDefault="00000000">
            <w:r>
              <w:rPr>
                <w:sz w:val="18"/>
                <w:szCs w:val="18"/>
              </w:rPr>
              <w:t>&gt;7 days</w:t>
            </w:r>
          </w:p>
        </w:tc>
      </w:tr>
      <w:tr w:rsidR="00772358" w14:paraId="05D1535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2BFC122A" w14:textId="77777777" w:rsidR="00772358" w:rsidRDefault="00000000">
            <w:r>
              <w:rPr>
                <w:sz w:val="18"/>
                <w:szCs w:val="18"/>
              </w:rPr>
              <w:t>Prior auth approval rate</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0051B146" w14:textId="77777777" w:rsidR="00772358" w:rsidRDefault="00000000">
            <w:r>
              <w:rPr>
                <w:sz w:val="18"/>
                <w:szCs w:val="18"/>
              </w:rPr>
              <w:t>&gt;75%</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590A8001" w14:textId="77777777" w:rsidR="00772358" w:rsidRDefault="00000000">
            <w:r>
              <w:rPr>
                <w:sz w:val="18"/>
                <w:szCs w:val="18"/>
              </w:rPr>
              <w:t>65–72%</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02DD7B56" w14:textId="77777777" w:rsidR="00772358" w:rsidRDefault="00000000">
            <w:r>
              <w:rPr>
                <w:sz w:val="18"/>
                <w:szCs w:val="18"/>
              </w:rPr>
              <w:t>&lt;60%</w:t>
            </w:r>
          </w:p>
        </w:tc>
      </w:tr>
      <w:tr w:rsidR="00772358" w14:paraId="7DD06D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4A779DFB" w14:textId="77777777" w:rsidR="00772358" w:rsidRDefault="00000000">
            <w:r>
              <w:rPr>
                <w:sz w:val="18"/>
                <w:szCs w:val="18"/>
              </w:rPr>
              <w:t>Member CAHPS Getting Needed Care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69F4816F" w14:textId="77777777" w:rsidR="00772358" w:rsidRDefault="00000000">
            <w:r>
              <w:rPr>
                <w:sz w:val="18"/>
                <w:szCs w:val="18"/>
              </w:rPr>
              <w:t>&gt;4.2/5.0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64167961" w14:textId="77777777" w:rsidR="00772358" w:rsidRDefault="00000000">
            <w:r>
              <w:rPr>
                <w:sz w:val="18"/>
                <w:szCs w:val="18"/>
              </w:rPr>
              <w:t>3.8–4.1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4D3B7A52" w14:textId="77777777" w:rsidR="00772358" w:rsidRDefault="00000000">
            <w:r>
              <w:rPr>
                <w:sz w:val="18"/>
                <w:szCs w:val="18"/>
              </w:rPr>
              <w:t>&lt;3.6</w:t>
            </w:r>
          </w:p>
        </w:tc>
      </w:tr>
      <w:tr w:rsidR="00772358" w14:paraId="5F36893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4012809C" w14:textId="77777777" w:rsidR="00772358" w:rsidRDefault="00000000">
            <w:r>
              <w:rPr>
                <w:sz w:val="18"/>
                <w:szCs w:val="18"/>
              </w:rPr>
              <w:t>Provider satisfaction score</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20DCC0CF" w14:textId="77777777" w:rsidR="00772358" w:rsidRDefault="00000000">
            <w:r>
              <w:rPr>
                <w:sz w:val="18"/>
                <w:szCs w:val="18"/>
              </w:rPr>
              <w:t>&gt;4.0/5.0</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4FDD7A66" w14:textId="77777777" w:rsidR="00772358" w:rsidRDefault="00000000">
            <w:r>
              <w:rPr>
                <w:sz w:val="18"/>
                <w:szCs w:val="18"/>
              </w:rPr>
              <w:t>3.5–3.8</w:t>
            </w:r>
          </w:p>
        </w:tc>
        <w:tc>
          <w:tcPr>
            <w:tcW w:w="234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7EAD738B" w14:textId="77777777" w:rsidR="00772358" w:rsidRDefault="00000000">
            <w:r>
              <w:rPr>
                <w:sz w:val="18"/>
                <w:szCs w:val="18"/>
              </w:rPr>
              <w:t>&lt;3.2</w:t>
            </w:r>
          </w:p>
        </w:tc>
      </w:tr>
      <w:tr w:rsidR="00772358" w14:paraId="0940FF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4A39F3A4" w14:textId="77777777" w:rsidR="00772358" w:rsidRDefault="00000000">
            <w:r>
              <w:rPr>
                <w:sz w:val="18"/>
                <w:szCs w:val="18"/>
              </w:rPr>
              <w:t>Payment accuracy 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2C44C86D" w14:textId="77777777" w:rsidR="00772358" w:rsidRDefault="00000000">
            <w:r>
              <w:rPr>
                <w:sz w:val="18"/>
                <w:szCs w:val="18"/>
              </w:rPr>
              <w:t>&gt;99.8%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65C9BC03" w14:textId="77777777" w:rsidR="00772358" w:rsidRDefault="00000000">
            <w:r>
              <w:rPr>
                <w:sz w:val="18"/>
                <w:szCs w:val="18"/>
              </w:rPr>
              <w:t>99.2–99.6%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073EA4B2" w14:textId="77777777" w:rsidR="00772358" w:rsidRDefault="00000000">
            <w:r>
              <w:rPr>
                <w:sz w:val="18"/>
                <w:szCs w:val="18"/>
              </w:rPr>
              <w:t>&lt;99%</w:t>
            </w:r>
          </w:p>
        </w:tc>
      </w:tr>
    </w:tbl>
    <w:p w14:paraId="1DA34694" w14:textId="77777777" w:rsidR="00772358" w:rsidRDefault="00772358">
      <w:pPr>
        <w:spacing w:after="80"/>
      </w:pPr>
    </w:p>
    <w:p w14:paraId="1BD75816" w14:textId="77777777" w:rsidR="00772358" w:rsidRDefault="00000000">
      <w:pPr>
        <w:pStyle w:val="Heading2"/>
        <w:pBdr>
          <w:bottom w:val="single" w:sz="4" w:space="2" w:color="E8A020"/>
        </w:pBdr>
      </w:pPr>
      <w:r>
        <w:t>23.4 Population Health &amp; Value-Based Care KPIs</w:t>
      </w:r>
    </w:p>
    <w:p w14:paraId="2F5AFFF0"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72358" w14:paraId="3B28B05D"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511959A7" w14:textId="77777777" w:rsidR="00772358" w:rsidRDefault="00000000">
            <w:r>
              <w:rPr>
                <w:b/>
                <w:bCs/>
                <w:color w:val="FFFFFF"/>
                <w:sz w:val="18"/>
                <w:szCs w:val="18"/>
              </w:rPr>
              <w:t>KPI</w:t>
            </w:r>
          </w:p>
        </w:tc>
        <w:tc>
          <w:tcPr>
            <w:tcW w:w="312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54912FBD" w14:textId="77777777" w:rsidR="00772358" w:rsidRDefault="00000000">
            <w:r>
              <w:rPr>
                <w:b/>
                <w:bCs/>
                <w:color w:val="FFFFFF"/>
                <w:sz w:val="18"/>
                <w:szCs w:val="18"/>
              </w:rPr>
              <w:t>Best-in-Class</w:t>
            </w:r>
          </w:p>
        </w:tc>
        <w:tc>
          <w:tcPr>
            <w:tcW w:w="312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60E137DB" w14:textId="77777777" w:rsidR="00772358" w:rsidRDefault="00000000">
            <w:r>
              <w:rPr>
                <w:b/>
                <w:bCs/>
                <w:color w:val="FFFFFF"/>
                <w:sz w:val="18"/>
                <w:szCs w:val="18"/>
              </w:rPr>
              <w:t>Average</w:t>
            </w:r>
          </w:p>
        </w:tc>
      </w:tr>
      <w:tr w:rsidR="00772358" w14:paraId="48C716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2302B787" w14:textId="77777777" w:rsidR="00772358" w:rsidRDefault="00000000">
            <w:r>
              <w:rPr>
                <w:sz w:val="18"/>
                <w:szCs w:val="18"/>
              </w:rPr>
              <w:t>High-risk patient identification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3A47846B" w14:textId="77777777" w:rsidR="00772358" w:rsidRDefault="00000000">
            <w:r>
              <w:rPr>
                <w:sz w:val="18"/>
                <w:szCs w:val="18"/>
              </w:rPr>
              <w:t>&gt;88%</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64AFD68F" w14:textId="77777777" w:rsidR="00772358" w:rsidRDefault="00000000">
            <w:r>
              <w:rPr>
                <w:sz w:val="18"/>
                <w:szCs w:val="18"/>
              </w:rPr>
              <w:t>72–80%</w:t>
            </w:r>
          </w:p>
        </w:tc>
      </w:tr>
      <w:tr w:rsidR="00772358" w14:paraId="4ABADD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18A5ABFE" w14:textId="77777777" w:rsidR="00772358" w:rsidRDefault="00000000">
            <w:r>
              <w:rPr>
                <w:sz w:val="18"/>
                <w:szCs w:val="18"/>
              </w:rPr>
              <w:t>Care gap closure rate (annual)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26C3FCC0" w14:textId="77777777" w:rsidR="00772358" w:rsidRDefault="00000000">
            <w:r>
              <w:rPr>
                <w:sz w:val="18"/>
                <w:szCs w:val="18"/>
              </w:rPr>
              <w:t>&gt;75%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47C4248C" w14:textId="77777777" w:rsidR="00772358" w:rsidRDefault="00000000">
            <w:r>
              <w:rPr>
                <w:sz w:val="18"/>
                <w:szCs w:val="18"/>
              </w:rPr>
              <w:t>50–65%</w:t>
            </w:r>
          </w:p>
        </w:tc>
      </w:tr>
      <w:tr w:rsidR="00772358" w14:paraId="401662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7DD75FB5" w14:textId="77777777" w:rsidR="00772358" w:rsidRDefault="00000000">
            <w:r>
              <w:rPr>
                <w:sz w:val="18"/>
                <w:szCs w:val="18"/>
              </w:rPr>
              <w:t>Preventable readmission rate (30-day)</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4A7F9A7D" w14:textId="77777777" w:rsidR="00772358" w:rsidRDefault="00000000">
            <w:r>
              <w:rPr>
                <w:sz w:val="18"/>
                <w:szCs w:val="18"/>
              </w:rPr>
              <w:t>&lt;10%</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1C569171" w14:textId="77777777" w:rsidR="00772358" w:rsidRDefault="00000000">
            <w:r>
              <w:rPr>
                <w:sz w:val="18"/>
                <w:szCs w:val="18"/>
              </w:rPr>
              <w:t>14–18%</w:t>
            </w:r>
          </w:p>
        </w:tc>
      </w:tr>
      <w:tr w:rsidR="00772358" w14:paraId="489DB6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35C73F41" w14:textId="77777777" w:rsidR="00772358" w:rsidRDefault="00000000">
            <w:r>
              <w:rPr>
                <w:sz w:val="18"/>
                <w:szCs w:val="18"/>
              </w:rPr>
              <w:t>HEDIS composite score (top tier)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37D27B6D" w14:textId="77777777" w:rsidR="00772358" w:rsidRDefault="00000000">
            <w:r>
              <w:rPr>
                <w:sz w:val="18"/>
                <w:szCs w:val="18"/>
              </w:rPr>
              <w:t>&gt;90th percentile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20D5E422" w14:textId="77777777" w:rsidR="00772358" w:rsidRDefault="00000000">
            <w:r>
              <w:rPr>
                <w:sz w:val="18"/>
                <w:szCs w:val="18"/>
              </w:rPr>
              <w:t>50–70th</w:t>
            </w:r>
          </w:p>
        </w:tc>
      </w:tr>
      <w:tr w:rsidR="00772358" w14:paraId="7130FF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65705280" w14:textId="77777777" w:rsidR="00772358" w:rsidRDefault="00000000">
            <w:r>
              <w:rPr>
                <w:sz w:val="18"/>
                <w:szCs w:val="18"/>
              </w:rPr>
              <w:t>Total cost of care per member per month</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2119E333" w14:textId="77777777" w:rsidR="00772358" w:rsidRDefault="00000000">
            <w:r>
              <w:rPr>
                <w:sz w:val="18"/>
                <w:szCs w:val="18"/>
              </w:rPr>
              <w:t>12–15% below benchmark</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792DE82D" w14:textId="77777777" w:rsidR="00772358" w:rsidRDefault="00000000">
            <w:r>
              <w:rPr>
                <w:sz w:val="18"/>
                <w:szCs w:val="18"/>
              </w:rPr>
              <w:t>At benchmark</w:t>
            </w:r>
          </w:p>
        </w:tc>
      </w:tr>
      <w:tr w:rsidR="00772358" w14:paraId="1F910F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7FC9CD11" w14:textId="77777777" w:rsidR="00772358" w:rsidRDefault="00000000">
            <w:r>
              <w:rPr>
                <w:sz w:val="18"/>
                <w:szCs w:val="18"/>
              </w:rPr>
              <w:t>ED utilisation rate (per 1,000 members)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7BCD1290" w14:textId="77777777" w:rsidR="00772358" w:rsidRDefault="00000000">
            <w:r>
              <w:rPr>
                <w:sz w:val="18"/>
                <w:szCs w:val="18"/>
              </w:rPr>
              <w:t>&lt;180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054E153A" w14:textId="77777777" w:rsidR="00772358" w:rsidRDefault="00000000">
            <w:r>
              <w:rPr>
                <w:sz w:val="18"/>
                <w:szCs w:val="18"/>
              </w:rPr>
              <w:t>220–280</w:t>
            </w:r>
          </w:p>
        </w:tc>
      </w:tr>
      <w:tr w:rsidR="00772358" w14:paraId="5BE794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1B158BF2" w14:textId="77777777" w:rsidR="00772358" w:rsidRDefault="00000000">
            <w:r>
              <w:rPr>
                <w:sz w:val="18"/>
                <w:szCs w:val="18"/>
              </w:rPr>
              <w:t>Diabetes HbA1c control (% &lt;8%)</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24A684EE" w14:textId="77777777" w:rsidR="00772358" w:rsidRDefault="00000000">
            <w:r>
              <w:rPr>
                <w:sz w:val="18"/>
                <w:szCs w:val="18"/>
              </w:rPr>
              <w:t>&gt;75%</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234652EA" w14:textId="77777777" w:rsidR="00772358" w:rsidRDefault="00000000">
            <w:r>
              <w:rPr>
                <w:sz w:val="18"/>
                <w:szCs w:val="18"/>
              </w:rPr>
              <w:t>58–68%</w:t>
            </w:r>
          </w:p>
        </w:tc>
      </w:tr>
    </w:tbl>
    <w:p w14:paraId="5E2C72E3" w14:textId="77777777" w:rsidR="00772358" w:rsidRDefault="00772358">
      <w:pPr>
        <w:spacing w:after="80"/>
      </w:pPr>
    </w:p>
    <w:p w14:paraId="6A4067EC" w14:textId="77777777" w:rsidR="00772358" w:rsidRDefault="00000000">
      <w:pPr>
        <w:pStyle w:val="Heading2"/>
        <w:pBdr>
          <w:bottom w:val="single" w:sz="4" w:space="2" w:color="E8A020"/>
        </w:pBdr>
      </w:pPr>
      <w:r>
        <w:t>23.5 GCC Performance Dashboard</w:t>
      </w:r>
    </w:p>
    <w:p w14:paraId="43DFB36F"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72358" w14:paraId="3B94377A"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77F375F9" w14:textId="77777777" w:rsidR="00772358" w:rsidRDefault="00000000">
            <w:r>
              <w:rPr>
                <w:b/>
                <w:bCs/>
                <w:color w:val="FFFFFF"/>
                <w:sz w:val="18"/>
                <w:szCs w:val="18"/>
              </w:rPr>
              <w:t>KPI</w:t>
            </w:r>
          </w:p>
        </w:tc>
        <w:tc>
          <w:tcPr>
            <w:tcW w:w="312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5201CAB1" w14:textId="77777777" w:rsidR="00772358" w:rsidRDefault="00000000">
            <w:r>
              <w:rPr>
                <w:b/>
                <w:bCs/>
                <w:color w:val="FFFFFF"/>
                <w:sz w:val="18"/>
                <w:szCs w:val="18"/>
              </w:rPr>
              <w:t>Target</w:t>
            </w:r>
          </w:p>
        </w:tc>
        <w:tc>
          <w:tcPr>
            <w:tcW w:w="3120" w:type="dxa"/>
            <w:tcBorders>
              <w:top w:val="single" w:sz="1" w:space="0" w:color="CCCCCC"/>
              <w:left w:val="single" w:sz="1" w:space="0" w:color="CCCCCC"/>
              <w:bottom w:val="single" w:sz="1" w:space="0" w:color="CCCCCC"/>
              <w:right w:val="single" w:sz="1" w:space="0" w:color="CCCCCC"/>
            </w:tcBorders>
            <w:shd w:val="clear" w:color="auto" w:fill="0B4F6C"/>
            <w:tcMar>
              <w:top w:w="80" w:type="dxa"/>
              <w:left w:w="110" w:type="dxa"/>
              <w:bottom w:w="80" w:type="dxa"/>
              <w:right w:w="110" w:type="dxa"/>
            </w:tcMar>
            <w:vAlign w:val="center"/>
          </w:tcPr>
          <w:p w14:paraId="29C9BE3F" w14:textId="77777777" w:rsidR="00772358" w:rsidRDefault="00000000">
            <w:r>
              <w:rPr>
                <w:b/>
                <w:bCs/>
                <w:color w:val="FFFFFF"/>
                <w:sz w:val="18"/>
                <w:szCs w:val="18"/>
              </w:rPr>
              <w:t>Notes</w:t>
            </w:r>
          </w:p>
        </w:tc>
      </w:tr>
      <w:tr w:rsidR="00772358" w14:paraId="1B6989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40210CD3" w14:textId="77777777" w:rsidR="00772358" w:rsidRDefault="00000000">
            <w:r>
              <w:rPr>
                <w:sz w:val="18"/>
                <w:szCs w:val="18"/>
              </w:rPr>
              <w:t>Coding accuracy rate</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4EF5DBC2" w14:textId="77777777" w:rsidR="00772358" w:rsidRDefault="00000000">
            <w:r>
              <w:rPr>
                <w:sz w:val="18"/>
                <w:szCs w:val="18"/>
              </w:rPr>
              <w:t>&gt;97%</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48FC8AE7" w14:textId="77777777" w:rsidR="00772358" w:rsidRDefault="00000000">
            <w:r>
              <w:rPr>
                <w:sz w:val="18"/>
                <w:szCs w:val="18"/>
              </w:rPr>
              <w:t>Pre-bill audit sampling</w:t>
            </w:r>
          </w:p>
        </w:tc>
      </w:tr>
      <w:tr w:rsidR="00772358" w14:paraId="0ECDF7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3AC135BB" w14:textId="77777777" w:rsidR="00772358" w:rsidRDefault="00000000">
            <w:r>
              <w:rPr>
                <w:sz w:val="18"/>
                <w:szCs w:val="18"/>
              </w:rPr>
              <w:t>Coding productivity (charts/FTE/day)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2137165C" w14:textId="77777777" w:rsidR="00772358" w:rsidRDefault="00000000">
            <w:r>
              <w:rPr>
                <w:sz w:val="18"/>
                <w:szCs w:val="18"/>
              </w:rPr>
              <w:t>25–35 (inpatient) / 60–80 (outpatient)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59618F94" w14:textId="77777777" w:rsidR="00772358" w:rsidRDefault="00000000">
            <w:r>
              <w:rPr>
                <w:sz w:val="18"/>
                <w:szCs w:val="18"/>
              </w:rPr>
              <w:t>With AI assist</w:t>
            </w:r>
          </w:p>
        </w:tc>
      </w:tr>
      <w:tr w:rsidR="00772358" w14:paraId="2F6FC6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0E9E0349" w14:textId="77777777" w:rsidR="00772358" w:rsidRDefault="00000000">
            <w:r>
              <w:rPr>
                <w:sz w:val="18"/>
                <w:szCs w:val="18"/>
              </w:rPr>
              <w:t>Eligibility verification throughput</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5EF0CA0E" w14:textId="77777777" w:rsidR="00772358" w:rsidRDefault="00000000">
            <w:r>
              <w:rPr>
                <w:sz w:val="18"/>
                <w:szCs w:val="18"/>
              </w:rPr>
              <w:t>&gt;200 checks/FTE/day</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56846050" w14:textId="77777777" w:rsidR="00772358" w:rsidRDefault="00000000">
            <w:r>
              <w:rPr>
                <w:sz w:val="18"/>
                <w:szCs w:val="18"/>
              </w:rPr>
              <w:t>Automated + exception handling</w:t>
            </w:r>
          </w:p>
        </w:tc>
      </w:tr>
      <w:tr w:rsidR="00772358" w14:paraId="070A5A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6E101356" w14:textId="77777777" w:rsidR="00772358" w:rsidRDefault="00000000">
            <w:r>
              <w:rPr>
                <w:sz w:val="18"/>
                <w:szCs w:val="18"/>
              </w:rPr>
              <w:t>Denial analytics turnaround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79C2AB0C" w14:textId="77777777" w:rsidR="00772358" w:rsidRDefault="00000000">
            <w:r>
              <w:rPr>
                <w:sz w:val="18"/>
                <w:szCs w:val="18"/>
              </w:rPr>
              <w:t>&lt;48 hours root cause completion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3C28DF46" w14:textId="77777777" w:rsidR="00772358" w:rsidRDefault="00000000">
            <w:r>
              <w:rPr>
                <w:sz w:val="18"/>
                <w:szCs w:val="18"/>
              </w:rPr>
              <w:t>Per denial batch</w:t>
            </w:r>
          </w:p>
        </w:tc>
      </w:tr>
      <w:tr w:rsidR="00772358" w14:paraId="6D39C4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3335DABD" w14:textId="77777777" w:rsidR="00772358" w:rsidRDefault="00000000">
            <w:r>
              <w:rPr>
                <w:sz w:val="18"/>
                <w:szCs w:val="18"/>
              </w:rPr>
              <w:t>SLA adherence rate</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34155E0D" w14:textId="77777777" w:rsidR="00772358" w:rsidRDefault="00000000">
            <w:r>
              <w:rPr>
                <w:sz w:val="18"/>
                <w:szCs w:val="18"/>
              </w:rPr>
              <w:t>&gt;99%</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32C5E6F3" w14:textId="77777777" w:rsidR="00772358" w:rsidRDefault="00000000">
            <w:r>
              <w:rPr>
                <w:sz w:val="18"/>
                <w:szCs w:val="18"/>
              </w:rPr>
              <w:t>Per contractual commitments</w:t>
            </w:r>
          </w:p>
        </w:tc>
      </w:tr>
      <w:tr w:rsidR="00772358" w14:paraId="314195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5C2232E2" w14:textId="77777777" w:rsidR="00772358" w:rsidRDefault="00000000">
            <w:r>
              <w:rPr>
                <w:sz w:val="18"/>
                <w:szCs w:val="18"/>
              </w:rPr>
              <w:t>QA score (process audits)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2706E923" w14:textId="77777777" w:rsidR="00772358" w:rsidRDefault="00000000">
            <w:r>
              <w:rPr>
                <w:sz w:val="18"/>
                <w:szCs w:val="18"/>
              </w:rPr>
              <w:t>&gt;95%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4F2A9FCF" w14:textId="77777777" w:rsidR="00772358" w:rsidRDefault="00000000">
            <w:r>
              <w:rPr>
                <w:sz w:val="18"/>
                <w:szCs w:val="18"/>
              </w:rPr>
              <w:t>Monthly internal audit</w:t>
            </w:r>
          </w:p>
        </w:tc>
      </w:tr>
      <w:tr w:rsidR="00772358" w14:paraId="290FF7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3C1500C6" w14:textId="77777777" w:rsidR="00772358" w:rsidRDefault="00000000">
            <w:r>
              <w:rPr>
                <w:sz w:val="18"/>
                <w:szCs w:val="18"/>
              </w:rPr>
              <w:t>HIPAA compliance (training + audit)</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0CCB7EE1" w14:textId="77777777" w:rsidR="00772358" w:rsidRDefault="00000000">
            <w:r>
              <w:rPr>
                <w:sz w:val="18"/>
                <w:szCs w:val="18"/>
              </w:rPr>
              <w:t>100%</w:t>
            </w:r>
          </w:p>
        </w:tc>
        <w:tc>
          <w:tcPr>
            <w:tcW w:w="3120" w:type="dxa"/>
            <w:tcBorders>
              <w:top w:val="single" w:sz="1" w:space="0" w:color="CCCCCC"/>
              <w:left w:val="single" w:sz="1" w:space="0" w:color="CCCCCC"/>
              <w:bottom w:val="single" w:sz="1" w:space="0" w:color="CCCCCC"/>
              <w:right w:val="single" w:sz="1" w:space="0" w:color="CCCCCC"/>
            </w:tcBorders>
            <w:shd w:val="clear" w:color="auto" w:fill="EFF7FA"/>
            <w:tcMar>
              <w:top w:w="80" w:type="dxa"/>
              <w:left w:w="110" w:type="dxa"/>
              <w:bottom w:w="80" w:type="dxa"/>
              <w:right w:w="110" w:type="dxa"/>
            </w:tcMar>
            <w:vAlign w:val="center"/>
          </w:tcPr>
          <w:p w14:paraId="75CF3422" w14:textId="77777777" w:rsidR="00772358" w:rsidRDefault="00000000">
            <w:r>
              <w:rPr>
                <w:sz w:val="18"/>
                <w:szCs w:val="18"/>
              </w:rPr>
              <w:t>Zero tolerance</w:t>
            </w:r>
          </w:p>
        </w:tc>
      </w:tr>
      <w:tr w:rsidR="00772358" w14:paraId="0B936A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649AEDDE" w14:textId="77777777" w:rsidR="00772358" w:rsidRDefault="00000000">
            <w:r>
              <w:rPr>
                <w:sz w:val="18"/>
                <w:szCs w:val="18"/>
              </w:rPr>
              <w:t>Staff attrition rate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26A44174" w14:textId="77777777" w:rsidR="00772358" w:rsidRDefault="00000000">
            <w:r>
              <w:rPr>
                <w:sz w:val="18"/>
                <w:szCs w:val="18"/>
              </w:rPr>
              <w:t>&lt;18% annually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vAlign w:val="center"/>
          </w:tcPr>
          <w:p w14:paraId="066FD6E3" w14:textId="77777777" w:rsidR="00772358" w:rsidRDefault="00000000">
            <w:r>
              <w:rPr>
                <w:sz w:val="18"/>
                <w:szCs w:val="18"/>
              </w:rPr>
              <w:t>India healthcare GCC average</w:t>
            </w:r>
          </w:p>
        </w:tc>
      </w:tr>
    </w:tbl>
    <w:p w14:paraId="3168A403" w14:textId="77777777" w:rsidR="00772358" w:rsidRDefault="00772358">
      <w:pPr>
        <w:spacing w:after="80"/>
      </w:pPr>
    </w:p>
    <w:p w14:paraId="1668CAD4" w14:textId="77777777" w:rsidR="00772358" w:rsidRDefault="00000000">
      <w:pPr>
        <w:pStyle w:val="Heading2"/>
        <w:pBdr>
          <w:bottom w:val="single" w:sz="4" w:space="2" w:color="E8A020"/>
        </w:pBdr>
      </w:pPr>
      <w:r>
        <w:t>23.6 Dashboard Design Principles</w:t>
      </w:r>
    </w:p>
    <w:p w14:paraId="4D39E249" w14:textId="77777777" w:rsidR="00772358" w:rsidRDefault="00000000">
      <w:pPr>
        <w:spacing w:before="60" w:after="120" w:line="280" w:lineRule="auto"/>
        <w:jc w:val="both"/>
      </w:pPr>
      <w:r>
        <w:rPr>
          <w:b/>
          <w:bCs/>
          <w:color w:val="0B4F6C"/>
        </w:rPr>
        <w:t>Single source of truth:</w:t>
      </w:r>
      <w:r>
        <w:t xml:space="preserve"> Every metric must have a defined calculation methodology, a defined data source, and a defined owner. Ambiguous metrics are gamed or ignored.</w:t>
      </w:r>
    </w:p>
    <w:p w14:paraId="40AAD7FF" w14:textId="77777777" w:rsidR="00772358" w:rsidRDefault="00000000">
      <w:pPr>
        <w:spacing w:before="60" w:after="120" w:line="280" w:lineRule="auto"/>
        <w:jc w:val="both"/>
      </w:pPr>
      <w:r>
        <w:rPr>
          <w:b/>
          <w:bCs/>
          <w:color w:val="0B4F6C"/>
        </w:rPr>
        <w:t>Daily operational metrics, weekly management metrics, monthly board metrics:</w:t>
      </w:r>
      <w:r>
        <w:t xml:space="preserve"> Frequency must match the decision cycle of the audience.</w:t>
      </w:r>
    </w:p>
    <w:p w14:paraId="752D246E" w14:textId="77777777" w:rsidR="00772358" w:rsidRDefault="00000000">
      <w:pPr>
        <w:spacing w:before="60" w:after="120" w:line="280" w:lineRule="auto"/>
        <w:jc w:val="both"/>
      </w:pPr>
      <w:r>
        <w:rPr>
          <w:b/>
          <w:bCs/>
          <w:color w:val="0B4F6C"/>
        </w:rPr>
        <w:t>Leading plus lagging:</w:t>
      </w:r>
      <w:r>
        <w:t xml:space="preserve"> For every lagging indicator (denial rate last month), include a leading indicator that predicts its future trajectory (eligibility verification rate this week).</w:t>
      </w:r>
    </w:p>
    <w:p w14:paraId="5FDB8526" w14:textId="77777777" w:rsidR="00772358" w:rsidRDefault="00000000">
      <w:pPr>
        <w:spacing w:before="60" w:after="120" w:line="280" w:lineRule="auto"/>
        <w:jc w:val="both"/>
      </w:pPr>
      <w:r>
        <w:rPr>
          <w:b/>
          <w:bCs/>
          <w:color w:val="0B4F6C"/>
        </w:rPr>
        <w:t>Cause and effect visualisation:</w:t>
      </w:r>
      <w:r>
        <w:t xml:space="preserve"> The most effective healthcare dashboards connect root cause metrics to outcome metrics visually — showing that a drop in eligibility verification rate leads, with a 30-day lag, to an increase in eligibility-related denial rate.</w:t>
      </w:r>
    </w:p>
    <w:p w14:paraId="038FDFF2" w14:textId="77777777" w:rsidR="00772358" w:rsidRDefault="00000000">
      <w:pPr>
        <w:spacing w:before="60" w:after="120" w:line="280" w:lineRule="auto"/>
        <w:jc w:val="both"/>
      </w:pPr>
      <w:r>
        <w:rPr>
          <w:b/>
          <w:bCs/>
          <w:color w:val="0B4F6C"/>
        </w:rPr>
        <w:t>Benchmark context:</w:t>
      </w:r>
      <w:r>
        <w:t xml:space="preserve"> Every metric is most meaningful relative to a benchmark — internal historical trend, peer group average, or best-in-class target. A 10% denial rate means nothing without knowing whether the benchmark is 8% or 15%.</w:t>
      </w:r>
    </w:p>
    <w:p w14:paraId="418EF1EC" w14:textId="77777777" w:rsidR="00772358" w:rsidRDefault="007723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358" w14:paraId="6D52D8A3" w14:textId="77777777">
        <w:tblPrEx>
          <w:tblCellMar>
            <w:top w:w="0" w:type="dxa"/>
            <w:bottom w:w="0" w:type="dxa"/>
          </w:tblCellMar>
        </w:tblPrEx>
        <w:tc>
          <w:tcPr>
            <w:tcW w:w="9360" w:type="dxa"/>
            <w:tcBorders>
              <w:top w:val="single" w:sz="6" w:space="0" w:color="1D8A5E"/>
              <w:left w:val="single" w:sz="18" w:space="0" w:color="1D8A5E"/>
              <w:bottom w:val="single" w:sz="6" w:space="0" w:color="1D8A5E"/>
              <w:right w:val="single" w:sz="6" w:space="0" w:color="1D8A5E"/>
            </w:tcBorders>
            <w:shd w:val="clear" w:color="auto" w:fill="EEF8F2"/>
            <w:tcMar>
              <w:top w:w="140" w:type="dxa"/>
              <w:left w:w="200" w:type="dxa"/>
              <w:bottom w:w="140" w:type="dxa"/>
              <w:right w:w="200" w:type="dxa"/>
            </w:tcMar>
          </w:tcPr>
          <w:p w14:paraId="23E3CE9E" w14:textId="77777777" w:rsidR="00772358" w:rsidRDefault="00000000">
            <w:pPr>
              <w:spacing w:after="80"/>
            </w:pPr>
            <w:r>
              <w:rPr>
                <w:b/>
                <w:bCs/>
                <w:color w:val="1D8A5E"/>
                <w:sz w:val="17"/>
                <w:szCs w:val="17"/>
              </w:rPr>
              <w:t>QUESTIONS FOR THE BOARD</w:t>
            </w:r>
          </w:p>
          <w:p w14:paraId="757A3BBE" w14:textId="77777777" w:rsidR="00772358" w:rsidRDefault="00000000">
            <w:pPr>
              <w:jc w:val="both"/>
            </w:pPr>
            <w:r>
              <w:rPr>
                <w:i/>
                <w:iCs/>
                <w:sz w:val="20"/>
                <w:szCs w:val="20"/>
              </w:rPr>
              <w:t>Is there a single, daily-updated operating dashboard that the CFO, VP of Revenue Cycle, and GCC leadership all use — or do different teams maintain different metric definitions? Are denial trends being attributed to specific root causes and specific process stages — or are denials tracked only in aggregate? What is the current net collection rate, and how does it compare to peer organisations of similar size and payer mix?</w:t>
            </w:r>
          </w:p>
        </w:tc>
      </w:tr>
    </w:tbl>
    <w:p w14:paraId="1E4DE5B8" w14:textId="77777777" w:rsidR="00772358" w:rsidRDefault="00772358">
      <w:pPr>
        <w:spacing w:after="80"/>
      </w:pPr>
    </w:p>
    <w:sectPr w:rsidR="00772358">
      <w:headerReference w:type="default" r:id="rId19"/>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51D36" w14:textId="77777777" w:rsidR="00AF405C" w:rsidRDefault="00AF405C">
      <w:r>
        <w:separator/>
      </w:r>
    </w:p>
  </w:endnote>
  <w:endnote w:type="continuationSeparator" w:id="0">
    <w:p w14:paraId="73524CB5" w14:textId="77777777" w:rsidR="00AF405C" w:rsidRDefault="00AF40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D68F0" w14:textId="223CF32A" w:rsidR="00772358" w:rsidRDefault="004E0D23" w:rsidP="004E0D23">
    <w:pPr>
      <w:pBdr>
        <w:top w:val="single" w:sz="3" w:space="2" w:color="E8A020"/>
      </w:pBdr>
      <w:spacing w:before="80"/>
    </w:pPr>
    <w:hyperlink r:id="rId1" w:history="1">
      <w:r w:rsidRPr="00376F6B">
        <w:rPr>
          <w:rStyle w:val="Hyperlink"/>
          <w:sz w:val="16"/>
          <w:szCs w:val="16"/>
        </w:rPr>
        <w:t>https://www.linkedin.com/in/kalilurrahman</w:t>
      </w:r>
    </w:hyperlink>
    <w:r>
      <w:rPr>
        <w:color w:val="5B8FA8"/>
        <w:sz w:val="16"/>
        <w:szCs w:val="16"/>
      </w:rPr>
      <w:tab/>
    </w:r>
    <w:r>
      <w:rPr>
        <w:color w:val="5B8FA8"/>
        <w:sz w:val="16"/>
        <w:szCs w:val="16"/>
      </w:rPr>
      <w:tab/>
    </w:r>
    <w:hyperlink r:id="rId2" w:history="1">
      <w:r w:rsidRPr="00376F6B">
        <w:rPr>
          <w:rStyle w:val="Hyperlink"/>
          <w:sz w:val="16"/>
          <w:szCs w:val="16"/>
        </w:rPr>
        <w:t>https://kalilurrahman.github.io</w:t>
      </w:r>
    </w:hyperlink>
    <w:r>
      <w:rPr>
        <w:color w:val="5B8FA8"/>
        <w:sz w:val="16"/>
        <w:szCs w:val="16"/>
      </w:rPr>
      <w:t xml:space="preserve"> </w:t>
    </w:r>
    <w:r>
      <w:rPr>
        <w:color w:val="5B8FA8"/>
        <w:sz w:val="16"/>
        <w:szCs w:val="16"/>
      </w:rPr>
      <w:tab/>
    </w:r>
    <w:r>
      <w:rPr>
        <w:color w:val="5B8FA8"/>
        <w:sz w:val="16"/>
        <w:szCs w:val="16"/>
      </w:rPr>
      <w:tab/>
    </w:r>
    <w:hyperlink r:id="rId3" w:history="1">
      <w:r w:rsidRPr="00376F6B">
        <w:rPr>
          <w:rStyle w:val="Hyperlink"/>
          <w:sz w:val="16"/>
          <w:szCs w:val="16"/>
        </w:rPr>
        <w:t>https://kalilur-portfolio.lovable.app</w:t>
      </w:r>
    </w:hyperlink>
    <w:r>
      <w:rPr>
        <w:color w:val="5B8FA8"/>
        <w:sz w:val="16"/>
        <w:szCs w:val="16"/>
      </w:rPr>
      <w:t xml:space="preserve"> </w:t>
    </w:r>
    <w:r w:rsidR="00000000">
      <w:rPr>
        <w:color w:val="5B8FA8"/>
        <w:sz w:val="16"/>
        <w:szCs w:val="16"/>
      </w:rPr>
      <w:t xml:space="preserve">·  Page </w:t>
    </w:r>
    <w:r w:rsidR="00000000">
      <w:rPr>
        <w:color w:val="0B4F6C"/>
        <w:sz w:val="16"/>
        <w:szCs w:val="16"/>
      </w:rPr>
      <w:fldChar w:fldCharType="begin"/>
    </w:r>
    <w:r w:rsidR="00000000">
      <w:rPr>
        <w:color w:val="0B4F6C"/>
        <w:sz w:val="16"/>
        <w:szCs w:val="16"/>
      </w:rPr>
      <w:instrText>PAGE</w:instrText>
    </w:r>
    <w:r w:rsidR="00000000">
      <w:rPr>
        <w:color w:val="0B4F6C"/>
        <w:sz w:val="16"/>
        <w:szCs w:val="16"/>
      </w:rPr>
      <w:fldChar w:fldCharType="separate"/>
    </w:r>
    <w:r>
      <w:rPr>
        <w:noProof/>
        <w:color w:val="0B4F6C"/>
        <w:sz w:val="16"/>
        <w:szCs w:val="16"/>
      </w:rPr>
      <w:t>1</w:t>
    </w:r>
    <w:r w:rsidR="00000000">
      <w:rPr>
        <w:color w:val="0B4F6C"/>
        <w:sz w:val="16"/>
        <w:szCs w:val="16"/>
      </w:rPr>
      <w:fldChar w:fldCharType="end"/>
    </w:r>
    <w:r w:rsidR="00000000">
      <w:rPr>
        <w:color w:val="5B8FA8"/>
        <w:sz w:val="16"/>
        <w:szCs w:val="16"/>
      </w:rPr>
      <w:t xml:space="preserve"> of </w:t>
    </w:r>
    <w:r w:rsidR="00000000">
      <w:rPr>
        <w:color w:val="0B4F6C"/>
        <w:sz w:val="16"/>
        <w:szCs w:val="16"/>
      </w:rPr>
      <w:fldChar w:fldCharType="begin"/>
    </w:r>
    <w:r w:rsidR="00000000">
      <w:rPr>
        <w:color w:val="0B4F6C"/>
        <w:sz w:val="16"/>
        <w:szCs w:val="16"/>
      </w:rPr>
      <w:instrText>NUMPAGES</w:instrText>
    </w:r>
    <w:r w:rsidR="00000000">
      <w:rPr>
        <w:color w:val="0B4F6C"/>
        <w:sz w:val="16"/>
        <w:szCs w:val="16"/>
      </w:rPr>
      <w:fldChar w:fldCharType="separate"/>
    </w:r>
    <w:r>
      <w:rPr>
        <w:noProof/>
        <w:color w:val="0B4F6C"/>
        <w:sz w:val="16"/>
        <w:szCs w:val="16"/>
      </w:rPr>
      <w:t>2</w:t>
    </w:r>
    <w:r w:rsidR="00000000">
      <w:rPr>
        <w:color w:val="0B4F6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AD065" w14:textId="77777777" w:rsidR="00AF405C" w:rsidRDefault="00AF405C">
      <w:r>
        <w:separator/>
      </w:r>
    </w:p>
  </w:footnote>
  <w:footnote w:type="continuationSeparator" w:id="0">
    <w:p w14:paraId="6DCF78D5" w14:textId="77777777" w:rsidR="00AF405C" w:rsidRDefault="00AF40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6B920" w14:textId="58FC1567" w:rsidR="00772358" w:rsidRDefault="00000000">
    <w:pPr>
      <w:pBdr>
        <w:bottom w:val="single" w:sz="3" w:space="2" w:color="E8A020"/>
      </w:pBdr>
      <w:spacing w:after="80"/>
    </w:pPr>
    <w:r>
      <w:rPr>
        <w:b/>
        <w:bCs/>
        <w:color w:val="0B4F6C"/>
        <w:sz w:val="15"/>
        <w:szCs w:val="15"/>
      </w:rPr>
      <w:t xml:space="preserve">HEALTHCARE INDUSTRY DIGITAL TRANSFORMATION </w:t>
    </w:r>
    <w:proofErr w:type="gramStart"/>
    <w:r>
      <w:rPr>
        <w:b/>
        <w:bCs/>
        <w:color w:val="0B4F6C"/>
        <w:sz w:val="15"/>
        <w:szCs w:val="15"/>
      </w:rPr>
      <w:t>HANDBOOK  ·</w:t>
    </w:r>
    <w:proofErr w:type="gramEnd"/>
    <w:r>
      <w:rPr>
        <w:b/>
        <w:bCs/>
        <w:color w:val="0B4F6C"/>
        <w:sz w:val="15"/>
        <w:szCs w:val="15"/>
      </w:rPr>
      <w:t xml:space="preserve">  EDITION 202</w:t>
    </w:r>
    <w:r w:rsidR="004E0D23">
      <w:rPr>
        <w:b/>
        <w:bCs/>
        <w:color w:val="0B4F6C"/>
        <w:sz w:val="15"/>
        <w:szCs w:val="15"/>
      </w:rPr>
      <w:t xml:space="preserve">6            Curated by Kalilur Rahman – </w:t>
    </w:r>
    <w:hyperlink r:id="rId1" w:history="1">
      <w:r w:rsidR="004E0D23" w:rsidRPr="00376F6B">
        <w:rPr>
          <w:rStyle w:val="Hyperlink"/>
          <w:b/>
          <w:bCs/>
          <w:sz w:val="15"/>
          <w:szCs w:val="15"/>
        </w:rPr>
        <w:t>https://kalilurrahman.lovable.app/</w:t>
      </w:r>
    </w:hyperlink>
    <w:r w:rsidR="004E0D23">
      <w:rPr>
        <w:b/>
        <w:bCs/>
        <w:color w:val="0B4F6C"/>
        <w:sz w:val="15"/>
        <w:szCs w:val="15"/>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65E66"/>
    <w:multiLevelType w:val="multilevel"/>
    <w:tmpl w:val="6AAC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D79A3"/>
    <w:multiLevelType w:val="multilevel"/>
    <w:tmpl w:val="5EA8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F64533"/>
    <w:multiLevelType w:val="hybridMultilevel"/>
    <w:tmpl w:val="E8E095B4"/>
    <w:lvl w:ilvl="0" w:tplc="AD0894E6">
      <w:start w:val="1"/>
      <w:numFmt w:val="decimal"/>
      <w:lvlText w:val="%1."/>
      <w:lvlJc w:val="left"/>
      <w:pPr>
        <w:ind w:left="720" w:hanging="360"/>
      </w:pPr>
    </w:lvl>
    <w:lvl w:ilvl="1" w:tplc="D7F684DA">
      <w:numFmt w:val="decimal"/>
      <w:lvlText w:val=""/>
      <w:lvlJc w:val="left"/>
    </w:lvl>
    <w:lvl w:ilvl="2" w:tplc="4934D68E">
      <w:numFmt w:val="decimal"/>
      <w:lvlText w:val=""/>
      <w:lvlJc w:val="left"/>
    </w:lvl>
    <w:lvl w:ilvl="3" w:tplc="A9B28518">
      <w:numFmt w:val="decimal"/>
      <w:lvlText w:val=""/>
      <w:lvlJc w:val="left"/>
    </w:lvl>
    <w:lvl w:ilvl="4" w:tplc="58DA274A">
      <w:numFmt w:val="decimal"/>
      <w:lvlText w:val=""/>
      <w:lvlJc w:val="left"/>
    </w:lvl>
    <w:lvl w:ilvl="5" w:tplc="9BDA6598">
      <w:numFmt w:val="decimal"/>
      <w:lvlText w:val=""/>
      <w:lvlJc w:val="left"/>
    </w:lvl>
    <w:lvl w:ilvl="6" w:tplc="D43EE606">
      <w:numFmt w:val="decimal"/>
      <w:lvlText w:val=""/>
      <w:lvlJc w:val="left"/>
    </w:lvl>
    <w:lvl w:ilvl="7" w:tplc="0F348F86">
      <w:numFmt w:val="decimal"/>
      <w:lvlText w:val=""/>
      <w:lvlJc w:val="left"/>
    </w:lvl>
    <w:lvl w:ilvl="8" w:tplc="9ABA36D0">
      <w:numFmt w:val="decimal"/>
      <w:lvlText w:val=""/>
      <w:lvlJc w:val="left"/>
    </w:lvl>
  </w:abstractNum>
  <w:abstractNum w:abstractNumId="3" w15:restartNumberingAfterBreak="0">
    <w:nsid w:val="50202AA3"/>
    <w:multiLevelType w:val="hybridMultilevel"/>
    <w:tmpl w:val="C14C19C2"/>
    <w:lvl w:ilvl="0" w:tplc="7EAE74EC">
      <w:start w:val="1"/>
      <w:numFmt w:val="bullet"/>
      <w:lvlText w:val="•"/>
      <w:lvlJc w:val="left"/>
      <w:pPr>
        <w:ind w:left="720" w:hanging="360"/>
      </w:pPr>
    </w:lvl>
    <w:lvl w:ilvl="1" w:tplc="073AB7BC">
      <w:numFmt w:val="decimal"/>
      <w:lvlText w:val=""/>
      <w:lvlJc w:val="left"/>
    </w:lvl>
    <w:lvl w:ilvl="2" w:tplc="28DAA4FE">
      <w:numFmt w:val="decimal"/>
      <w:lvlText w:val=""/>
      <w:lvlJc w:val="left"/>
    </w:lvl>
    <w:lvl w:ilvl="3" w:tplc="1C22AE7E">
      <w:numFmt w:val="decimal"/>
      <w:lvlText w:val=""/>
      <w:lvlJc w:val="left"/>
    </w:lvl>
    <w:lvl w:ilvl="4" w:tplc="869C99AC">
      <w:numFmt w:val="decimal"/>
      <w:lvlText w:val=""/>
      <w:lvlJc w:val="left"/>
    </w:lvl>
    <w:lvl w:ilvl="5" w:tplc="F364E490">
      <w:numFmt w:val="decimal"/>
      <w:lvlText w:val=""/>
      <w:lvlJc w:val="left"/>
    </w:lvl>
    <w:lvl w:ilvl="6" w:tplc="E8A0EAEC">
      <w:numFmt w:val="decimal"/>
      <w:lvlText w:val=""/>
      <w:lvlJc w:val="left"/>
    </w:lvl>
    <w:lvl w:ilvl="7" w:tplc="20303A72">
      <w:numFmt w:val="decimal"/>
      <w:lvlText w:val=""/>
      <w:lvlJc w:val="left"/>
    </w:lvl>
    <w:lvl w:ilvl="8" w:tplc="9C2E1C8E">
      <w:numFmt w:val="decimal"/>
      <w:lvlText w:val=""/>
      <w:lvlJc w:val="left"/>
    </w:lvl>
  </w:abstractNum>
  <w:abstractNum w:abstractNumId="4" w15:restartNumberingAfterBreak="0">
    <w:nsid w:val="5CF856C2"/>
    <w:multiLevelType w:val="multilevel"/>
    <w:tmpl w:val="3810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666519"/>
    <w:multiLevelType w:val="hybridMultilevel"/>
    <w:tmpl w:val="898C26BC"/>
    <w:lvl w:ilvl="0" w:tplc="41F2603A">
      <w:start w:val="1"/>
      <w:numFmt w:val="bullet"/>
      <w:lvlText w:val="●"/>
      <w:lvlJc w:val="left"/>
      <w:pPr>
        <w:ind w:left="720" w:hanging="360"/>
      </w:pPr>
    </w:lvl>
    <w:lvl w:ilvl="1" w:tplc="F788A6BA">
      <w:start w:val="1"/>
      <w:numFmt w:val="bullet"/>
      <w:lvlText w:val="○"/>
      <w:lvlJc w:val="left"/>
      <w:pPr>
        <w:ind w:left="1440" w:hanging="360"/>
      </w:pPr>
    </w:lvl>
    <w:lvl w:ilvl="2" w:tplc="A198F648">
      <w:start w:val="1"/>
      <w:numFmt w:val="bullet"/>
      <w:lvlText w:val="■"/>
      <w:lvlJc w:val="left"/>
      <w:pPr>
        <w:ind w:left="2160" w:hanging="360"/>
      </w:pPr>
    </w:lvl>
    <w:lvl w:ilvl="3" w:tplc="B184BDE8">
      <w:start w:val="1"/>
      <w:numFmt w:val="bullet"/>
      <w:lvlText w:val="●"/>
      <w:lvlJc w:val="left"/>
      <w:pPr>
        <w:ind w:left="2880" w:hanging="360"/>
      </w:pPr>
    </w:lvl>
    <w:lvl w:ilvl="4" w:tplc="0AC0ABB0">
      <w:start w:val="1"/>
      <w:numFmt w:val="bullet"/>
      <w:lvlText w:val="○"/>
      <w:lvlJc w:val="left"/>
      <w:pPr>
        <w:ind w:left="3600" w:hanging="360"/>
      </w:pPr>
    </w:lvl>
    <w:lvl w:ilvl="5" w:tplc="04406EDC">
      <w:start w:val="1"/>
      <w:numFmt w:val="bullet"/>
      <w:lvlText w:val="■"/>
      <w:lvlJc w:val="left"/>
      <w:pPr>
        <w:ind w:left="4320" w:hanging="360"/>
      </w:pPr>
    </w:lvl>
    <w:lvl w:ilvl="6" w:tplc="650CD814">
      <w:start w:val="1"/>
      <w:numFmt w:val="bullet"/>
      <w:lvlText w:val="●"/>
      <w:lvlJc w:val="left"/>
      <w:pPr>
        <w:ind w:left="5040" w:hanging="360"/>
      </w:pPr>
    </w:lvl>
    <w:lvl w:ilvl="7" w:tplc="10B66064">
      <w:start w:val="1"/>
      <w:numFmt w:val="bullet"/>
      <w:lvlText w:val="●"/>
      <w:lvlJc w:val="left"/>
      <w:pPr>
        <w:ind w:left="5760" w:hanging="360"/>
      </w:pPr>
    </w:lvl>
    <w:lvl w:ilvl="8" w:tplc="6ADE6494">
      <w:start w:val="1"/>
      <w:numFmt w:val="bullet"/>
      <w:lvlText w:val="●"/>
      <w:lvlJc w:val="left"/>
      <w:pPr>
        <w:ind w:left="6480" w:hanging="360"/>
      </w:pPr>
    </w:lvl>
  </w:abstractNum>
  <w:num w:numId="1" w16cid:durableId="760029971">
    <w:abstractNumId w:val="5"/>
    <w:lvlOverride w:ilvl="0">
      <w:startOverride w:val="1"/>
    </w:lvlOverride>
  </w:num>
  <w:num w:numId="2" w16cid:durableId="1058358662">
    <w:abstractNumId w:val="3"/>
    <w:lvlOverride w:ilvl="0">
      <w:startOverride w:val="1"/>
    </w:lvlOverride>
  </w:num>
  <w:num w:numId="3" w16cid:durableId="1575815633">
    <w:abstractNumId w:val="2"/>
    <w:lvlOverride w:ilvl="0">
      <w:startOverride w:val="1"/>
    </w:lvlOverride>
  </w:num>
  <w:num w:numId="4" w16cid:durableId="1225024408">
    <w:abstractNumId w:val="1"/>
  </w:num>
  <w:num w:numId="5" w16cid:durableId="458426093">
    <w:abstractNumId w:val="0"/>
  </w:num>
  <w:num w:numId="6" w16cid:durableId="5148510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358"/>
    <w:rsid w:val="004E0D23"/>
    <w:rsid w:val="00772358"/>
    <w:rsid w:val="00AF405C"/>
    <w:rsid w:val="00FC21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B730C5"/>
  <w15:docId w15:val="{D2F33274-DA7F-4EEB-9EBD-BB6A8DD49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B35"/>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FFFFFF"/>
      <w:sz w:val="32"/>
      <w:szCs w:val="32"/>
    </w:rPr>
  </w:style>
  <w:style w:type="paragraph" w:styleId="Heading2">
    <w:name w:val="heading 2"/>
    <w:uiPriority w:val="9"/>
    <w:unhideWhenUsed/>
    <w:qFormat/>
    <w:pPr>
      <w:spacing w:before="320" w:after="120"/>
      <w:outlineLvl w:val="1"/>
    </w:pPr>
    <w:rPr>
      <w:b/>
      <w:bCs/>
      <w:color w:val="0B4F6C"/>
      <w:sz w:val="26"/>
      <w:szCs w:val="26"/>
    </w:rPr>
  </w:style>
  <w:style w:type="paragraph" w:styleId="Heading3">
    <w:name w:val="heading 3"/>
    <w:uiPriority w:val="9"/>
    <w:unhideWhenUsed/>
    <w:qFormat/>
    <w:pPr>
      <w:spacing w:before="200" w:after="80"/>
      <w:outlineLvl w:val="2"/>
    </w:pPr>
    <w:rPr>
      <w:b/>
      <w:bCs/>
      <w:color w:val="5B8FA8"/>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E0D23"/>
    <w:pPr>
      <w:tabs>
        <w:tab w:val="center" w:pos="4513"/>
        <w:tab w:val="right" w:pos="9026"/>
      </w:tabs>
    </w:pPr>
  </w:style>
  <w:style w:type="character" w:customStyle="1" w:styleId="HeaderChar">
    <w:name w:val="Header Char"/>
    <w:basedOn w:val="DefaultParagraphFont"/>
    <w:link w:val="Header"/>
    <w:uiPriority w:val="99"/>
    <w:rsid w:val="004E0D23"/>
  </w:style>
  <w:style w:type="paragraph" w:styleId="Footer">
    <w:name w:val="footer"/>
    <w:basedOn w:val="Normal"/>
    <w:link w:val="FooterChar"/>
    <w:uiPriority w:val="99"/>
    <w:unhideWhenUsed/>
    <w:rsid w:val="004E0D23"/>
    <w:pPr>
      <w:tabs>
        <w:tab w:val="center" w:pos="4513"/>
        <w:tab w:val="right" w:pos="9026"/>
      </w:tabs>
    </w:pPr>
  </w:style>
  <w:style w:type="character" w:customStyle="1" w:styleId="FooterChar">
    <w:name w:val="Footer Char"/>
    <w:basedOn w:val="DefaultParagraphFont"/>
    <w:link w:val="Footer"/>
    <w:uiPriority w:val="99"/>
    <w:rsid w:val="004E0D23"/>
  </w:style>
  <w:style w:type="character" w:styleId="UnresolvedMention">
    <w:name w:val="Unresolved Mention"/>
    <w:basedOn w:val="DefaultParagraphFont"/>
    <w:uiPriority w:val="99"/>
    <w:semiHidden/>
    <w:unhideWhenUsed/>
    <w:rsid w:val="004E0D23"/>
    <w:rPr>
      <w:color w:val="605E5C"/>
      <w:shd w:val="clear" w:color="auto" w:fill="E1DFDD"/>
    </w:rPr>
  </w:style>
  <w:style w:type="table" w:styleId="TableGrid">
    <w:name w:val="Table Grid"/>
    <w:basedOn w:val="TableNormal"/>
    <w:uiPriority w:val="39"/>
    <w:rsid w:val="004E0D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https://kalilur-portfolio.lovable.app" TargetMode="External"/><Relationship Id="rId2" Type="http://schemas.openxmlformats.org/officeDocument/2006/relationships/hyperlink" Target="https://kalilurrahman.github.io" TargetMode="External"/><Relationship Id="rId1" Type="http://schemas.openxmlformats.org/officeDocument/2006/relationships/hyperlink" Target="https://www.linkedin.com/in/kalilurrahman"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kalilurrahman.lovable.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76</Pages>
  <Words>28795</Words>
  <Characters>164136</Characters>
  <Application>Microsoft Office Word</Application>
  <DocSecurity>0</DocSecurity>
  <Lines>1367</Lines>
  <Paragraphs>385</Paragraphs>
  <ScaleCrop>false</ScaleCrop>
  <Company/>
  <LinksUpToDate>false</LinksUpToDate>
  <CharactersWithSpaces>192546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Kalilur Rahman</dc:creator>
  <cp:keywords>Healthcare;GCC;Digital Transformation;Playbook;Roadmap</cp:keywords>
  <cp:lastModifiedBy>Naseem Banu</cp:lastModifiedBy>
  <cp:revision>2</cp:revision>
  <dcterms:created xsi:type="dcterms:W3CDTF">2026-04-05T05:51:00Z</dcterms:created>
  <dcterms:modified xsi:type="dcterms:W3CDTF">2026-04-05T05:51:00Z</dcterms:modified>
</cp:coreProperties>
</file>