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Calibri" w:cs="Calibri" w:eastAsia="Calibri" w:hAnsi="Calibri"/>
          <w:b/>
          <w:bCs/>
          <w:caps/>
          <w:color w:val="C9A84C"/>
          <w:sz w:val="28"/>
          <w:szCs w:val="28"/>
        </w:rPr>
        <w:t xml:space="preserve">PHARMACEUTICAL INDUSTRY</w:t>
      </w:r>
    </w:p>
    <w:p>
      <w:pPr>
        <w:spacing w:before="0" w:after="200"/>
        <w:jc w:val="center"/>
      </w:pPr>
      <w:r>
        <w:rPr>
          <w:rFonts w:ascii="Calibri" w:cs="Calibri" w:eastAsia="Calibri" w:hAnsi="Calibri"/>
          <w:b/>
          <w:bCs/>
          <w:color w:val="0D2B55"/>
          <w:sz w:val="64"/>
          <w:szCs w:val="64"/>
        </w:rPr>
        <w:t xml:space="preserve">Digital Transformation Handbook</w:t>
      </w:r>
    </w:p>
    <w:p>
      <w:pPr>
        <w:spacing w:before="0" w:after="400"/>
        <w:jc w:val="center"/>
      </w:pPr>
      <w:r>
        <w:rPr>
          <w:rFonts w:ascii="Calibri" w:cs="Calibri" w:eastAsia="Calibri" w:hAnsi="Calibri"/>
          <w:i/>
          <w:iCs/>
          <w:color w:val="6B84A3"/>
          <w:sz w:val="26"/>
          <w:szCs w:val="26"/>
        </w:rPr>
        <w:t xml:space="preserve">A Comprehensive Playbook for the Digitally Transformed Pharmaceutical Enterprise</w:t>
      </w:r>
    </w:p>
    <w:p>
      <w:pPr>
        <w:spacing w:before="0" w:after="400"/>
        <w:jc w:val="center"/>
      </w:pPr>
      <w:r>
        <w:rPr>
          <w:rFonts w:ascii="Calibri" w:cs="Calibri" w:eastAsia="Calibri" w:hAnsi="Calibri"/>
          <w:color w:val="C9A84C"/>
          <w:sz w:val="20"/>
          <w:szCs w:val="20"/>
        </w:rPr>
        <w:t xml:space="preserve">────────────────────────────────────────────────────────────</w:t>
      </w:r>
    </w:p>
    <w:p>
      <w:pPr>
        <w:spacing w:before="0" w:after="120"/>
        <w:jc w:val="center"/>
      </w:pPr>
      <w:r>
        <w:rPr>
          <w:rFonts w:ascii="Calibri" w:cs="Calibri" w:eastAsia="Calibri" w:hAnsi="Calibri"/>
          <w:color w:val="6B84A3"/>
          <w:sz w:val="24"/>
          <w:szCs w:val="24"/>
        </w:rPr>
        <w:t xml:space="preserve">Global Framework  ·  Regional Spotlights: India / EU / US</w:t>
      </w:r>
    </w:p>
    <w:p>
      <w:pPr>
        <w:spacing w:before="0" w:after="120"/>
        <w:jc w:val="center"/>
      </w:pPr>
      <w:r>
        <w:rPr>
          <w:rFonts w:ascii="Calibri" w:cs="Calibri" w:eastAsia="Calibri" w:hAnsi="Calibri"/>
          <w:color w:val="6B84A3"/>
          <w:sz w:val="20"/>
          <w:szCs w:val="20"/>
        </w:rPr>
        <w:t xml:space="preserve">R&amp;D · Clinical Trials · Manufacturing · Quality · Regulatory · Commercial · Patient Engagement</w:t>
      </w:r>
    </w:p>
    <w:p>
      <w:pPr>
        <w:spacing w:before="0" w:after="600"/>
        <w:jc w:val="center"/>
      </w:pPr>
      <w:r>
        <w:rPr>
          <w:rFonts w:ascii="Calibri" w:cs="Calibri" w:eastAsia="Calibri" w:hAnsi="Calibri"/>
          <w:color w:val="6B84A3"/>
          <w:sz w:val="20"/>
          <w:szCs w:val="20"/>
        </w:rPr>
        <w:t xml:space="preserve">Enterprise Systems · Finance · Procurement · Cybersecurity</w:t>
      </w:r>
    </w:p>
    <w:p>
      <w:pPr>
        <w:spacing w:before="0" w:after="80"/>
        <w:jc w:val="center"/>
      </w:pPr>
      <w:r>
        <w:rPr>
          <w:rFonts w:ascii="Calibri" w:cs="Calibri" w:eastAsia="Calibri" w:hAnsi="Calibri"/>
          <w:b/>
          <w:bCs/>
          <w:color w:val="0D2B55"/>
          <w:sz w:val="22"/>
          <w:szCs w:val="22"/>
        </w:rPr>
        <w:t xml:space="preserve">2025 Edition</w:t>
      </w:r>
    </w:p>
    <w:p>
      <w:pPr>
        <w:spacing w:before="0" w:after="0"/>
        <w:jc w:val="center"/>
      </w:pPr>
      <w:r>
        <w:rPr>
          <w:rFonts w:ascii="Calibri" w:cs="Calibri" w:eastAsia="Calibri" w:hAnsi="Calibri"/>
          <w:color w:val="6B84A3"/>
          <w:sz w:val="20"/>
          <w:szCs w:val="20"/>
        </w:rPr>
        <w:t xml:space="preserve">For: CXOs · Digital/IT Leaders · Strategy Consultants · Investors · Technologists</w:t>
      </w:r>
    </w:p>
    <w:p>
      <w:pPr>
        <w:spacing w:before="0" w:after="0"/>
      </w:pPr>
      <w:r>
        <w:br w:type="page"/>
      </w:r>
    </w:p>
    <w:p>
      <w:pPr>
        <w:pBdr>
          <w:bottom w:val="single" w:color="C9A84C" w:sz="6" w:space="4"/>
        </w:pBdr>
        <w:spacing w:before="0" w:after="160"/>
      </w:pPr>
      <w:r>
        <w:rPr>
          <w:rFonts w:ascii="Calibri" w:cs="Calibri" w:eastAsia="Calibri" w:hAnsi="Calibri"/>
          <w:b/>
          <w:bCs/>
          <w:caps/>
          <w:color w:val="0D2B55"/>
          <w:sz w:val="36"/>
          <w:szCs w:val="36"/>
        </w:rPr>
        <w:t xml:space="preserve">TABLE OF CONTENTS</w:t>
      </w:r>
    </w:p>
    <w:p>
      <w:pPr>
        <w:spacing w:before="240" w:after="80"/>
      </w:pPr>
      <w:r>
        <w:rPr>
          <w:rFonts w:ascii="Calibri" w:cs="Calibri" w:eastAsia="Calibri" w:hAnsi="Calibri"/>
          <w:b/>
          <w:bCs/>
          <w:caps/>
          <w:color w:val="C9A84C"/>
          <w:sz w:val="22"/>
          <w:szCs w:val="22"/>
        </w:rPr>
        <w:t xml:space="preserve">PART I — FOUNDATION &amp; CONTEXT</w:t>
      </w:r>
    </w:p>
    <w:p>
      <w:pPr>
        <w:spacing w:before="60" w:after="60"/>
        <w:ind w:left="360"/>
      </w:pPr>
      <w:r>
        <w:rPr>
          <w:rFonts w:ascii="Calibri" w:cs="Calibri" w:eastAsia="Calibri" w:hAnsi="Calibri"/>
          <w:b/>
          <w:bCs/>
          <w:color w:val="0D2B55"/>
          <w:sz w:val="22"/>
          <w:szCs w:val="22"/>
        </w:rPr>
        <w:t xml:space="preserve">Chapter 1  </w:t>
      </w:r>
      <w:r>
        <w:rPr>
          <w:rFonts w:ascii="Calibri" w:cs="Calibri" w:eastAsia="Calibri" w:hAnsi="Calibri"/>
          <w:color w:val="1A1A2E"/>
          <w:sz w:val="22"/>
          <w:szCs w:val="22"/>
        </w:rPr>
        <w:t xml:space="preserve">The Global Pharma Landscape &amp; Digital Imperative</w:t>
      </w:r>
    </w:p>
    <w:p>
      <w:pPr>
        <w:spacing w:before="60" w:after="60"/>
        <w:ind w:left="360"/>
      </w:pPr>
      <w:r>
        <w:rPr>
          <w:rFonts w:ascii="Calibri" w:cs="Calibri" w:eastAsia="Calibri" w:hAnsi="Calibri"/>
          <w:b/>
          <w:bCs/>
          <w:color w:val="0D2B55"/>
          <w:sz w:val="22"/>
          <w:szCs w:val="22"/>
        </w:rPr>
        <w:t xml:space="preserve">Chapter 2  </w:t>
      </w:r>
      <w:r>
        <w:rPr>
          <w:rFonts w:ascii="Calibri" w:cs="Calibri" w:eastAsia="Calibri" w:hAnsi="Calibri"/>
          <w:color w:val="1A1A2E"/>
          <w:sz w:val="22"/>
          <w:szCs w:val="22"/>
        </w:rPr>
        <w:t xml:space="preserve">Digital Maturity Model for Pharma (PDMF)</w:t>
      </w:r>
    </w:p>
    <w:p>
      <w:pPr>
        <w:spacing w:before="60" w:after="60"/>
        <w:ind w:left="360"/>
      </w:pPr>
      <w:r>
        <w:rPr>
          <w:rFonts w:ascii="Calibri" w:cs="Calibri" w:eastAsia="Calibri" w:hAnsi="Calibri"/>
          <w:b/>
          <w:bCs/>
          <w:color w:val="0D2B55"/>
          <w:sz w:val="22"/>
          <w:szCs w:val="22"/>
        </w:rPr>
        <w:t xml:space="preserve">Chapter 3  </w:t>
      </w:r>
      <w:r>
        <w:rPr>
          <w:rFonts w:ascii="Calibri" w:cs="Calibri" w:eastAsia="Calibri" w:hAnsi="Calibri"/>
          <w:color w:val="1A1A2E"/>
          <w:sz w:val="22"/>
          <w:szCs w:val="22"/>
        </w:rPr>
        <w:t xml:space="preserve">Transformation Governance &amp; Operating Model</w:t>
      </w:r>
    </w:p>
    <w:p>
      <w:pPr>
        <w:spacing w:before="240" w:after="80"/>
      </w:pPr>
      <w:r>
        <w:rPr>
          <w:rFonts w:ascii="Calibri" w:cs="Calibri" w:eastAsia="Calibri" w:hAnsi="Calibri"/>
          <w:b/>
          <w:bCs/>
          <w:caps/>
          <w:color w:val="C9A84C"/>
          <w:sz w:val="22"/>
          <w:szCs w:val="22"/>
        </w:rPr>
        <w:t xml:space="preserve">PART II — VALUE CHAIN TRANSFORMATION</w:t>
      </w:r>
    </w:p>
    <w:p>
      <w:pPr>
        <w:spacing w:before="60" w:after="60"/>
        <w:ind w:left="360"/>
      </w:pPr>
      <w:r>
        <w:rPr>
          <w:rFonts w:ascii="Calibri" w:cs="Calibri" w:eastAsia="Calibri" w:hAnsi="Calibri"/>
          <w:b/>
          <w:bCs/>
          <w:color w:val="0D2B55"/>
          <w:sz w:val="22"/>
          <w:szCs w:val="22"/>
        </w:rPr>
        <w:t xml:space="preserve">Chapter 4  </w:t>
      </w:r>
      <w:r>
        <w:rPr>
          <w:rFonts w:ascii="Calibri" w:cs="Calibri" w:eastAsia="Calibri" w:hAnsi="Calibri"/>
          <w:color w:val="1A1A2E"/>
          <w:sz w:val="22"/>
          <w:szCs w:val="22"/>
        </w:rPr>
        <w:t xml:space="preserve">R&amp;D &amp; Drug Discovery</w:t>
      </w:r>
    </w:p>
    <w:p>
      <w:pPr>
        <w:spacing w:before="60" w:after="60"/>
        <w:ind w:left="360"/>
      </w:pPr>
      <w:r>
        <w:rPr>
          <w:rFonts w:ascii="Calibri" w:cs="Calibri" w:eastAsia="Calibri" w:hAnsi="Calibri"/>
          <w:b/>
          <w:bCs/>
          <w:color w:val="0D2B55"/>
          <w:sz w:val="22"/>
          <w:szCs w:val="22"/>
        </w:rPr>
        <w:t xml:space="preserve">Chapter 5  </w:t>
      </w:r>
      <w:r>
        <w:rPr>
          <w:rFonts w:ascii="Calibri" w:cs="Calibri" w:eastAsia="Calibri" w:hAnsi="Calibri"/>
          <w:color w:val="1A1A2E"/>
          <w:sz w:val="22"/>
          <w:szCs w:val="22"/>
        </w:rPr>
        <w:t xml:space="preserve">Clinical Trials</w:t>
      </w:r>
    </w:p>
    <w:p>
      <w:pPr>
        <w:spacing w:before="60" w:after="60"/>
        <w:ind w:left="360"/>
      </w:pPr>
      <w:r>
        <w:rPr>
          <w:rFonts w:ascii="Calibri" w:cs="Calibri" w:eastAsia="Calibri" w:hAnsi="Calibri"/>
          <w:b/>
          <w:bCs/>
          <w:color w:val="0D2B55"/>
          <w:sz w:val="22"/>
          <w:szCs w:val="22"/>
        </w:rPr>
        <w:t xml:space="preserve">Chapter 6  </w:t>
      </w:r>
      <w:r>
        <w:rPr>
          <w:rFonts w:ascii="Calibri" w:cs="Calibri" w:eastAsia="Calibri" w:hAnsi="Calibri"/>
          <w:color w:val="1A1A2E"/>
          <w:sz w:val="22"/>
          <w:szCs w:val="22"/>
        </w:rPr>
        <w:t xml:space="preserve">Manufacturing &amp; Supply Chain</w:t>
      </w:r>
    </w:p>
    <w:p>
      <w:pPr>
        <w:spacing w:before="60" w:after="60"/>
        <w:ind w:left="360"/>
      </w:pPr>
      <w:r>
        <w:rPr>
          <w:rFonts w:ascii="Calibri" w:cs="Calibri" w:eastAsia="Calibri" w:hAnsi="Calibri"/>
          <w:b/>
          <w:bCs/>
          <w:color w:val="0D2B55"/>
          <w:sz w:val="22"/>
          <w:szCs w:val="22"/>
        </w:rPr>
        <w:t xml:space="preserve">Chapter 7  </w:t>
      </w:r>
      <w:r>
        <w:rPr>
          <w:rFonts w:ascii="Calibri" w:cs="Calibri" w:eastAsia="Calibri" w:hAnsi="Calibri"/>
          <w:color w:val="1A1A2E"/>
          <w:sz w:val="22"/>
          <w:szCs w:val="22"/>
        </w:rPr>
        <w:t xml:space="preserve">Quality Management</w:t>
      </w:r>
    </w:p>
    <w:p>
      <w:pPr>
        <w:spacing w:before="60" w:after="60"/>
        <w:ind w:left="360"/>
      </w:pPr>
      <w:r>
        <w:rPr>
          <w:rFonts w:ascii="Calibri" w:cs="Calibri" w:eastAsia="Calibri" w:hAnsi="Calibri"/>
          <w:b/>
          <w:bCs/>
          <w:color w:val="0D2B55"/>
          <w:sz w:val="22"/>
          <w:szCs w:val="22"/>
        </w:rPr>
        <w:t xml:space="preserve">Chapter 8  </w:t>
      </w:r>
      <w:r>
        <w:rPr>
          <w:rFonts w:ascii="Calibri" w:cs="Calibri" w:eastAsia="Calibri" w:hAnsi="Calibri"/>
          <w:color w:val="1A1A2E"/>
          <w:sz w:val="22"/>
          <w:szCs w:val="22"/>
        </w:rPr>
        <w:t xml:space="preserve">Regulatory Affairs &amp; Compliance</w:t>
      </w:r>
    </w:p>
    <w:p>
      <w:pPr>
        <w:spacing w:before="60" w:after="60"/>
        <w:ind w:left="360"/>
      </w:pPr>
      <w:r>
        <w:rPr>
          <w:rFonts w:ascii="Calibri" w:cs="Calibri" w:eastAsia="Calibri" w:hAnsi="Calibri"/>
          <w:b/>
          <w:bCs/>
          <w:color w:val="0D2B55"/>
          <w:sz w:val="22"/>
          <w:szCs w:val="22"/>
        </w:rPr>
        <w:t xml:space="preserve">Chapter 9  </w:t>
      </w:r>
      <w:r>
        <w:rPr>
          <w:rFonts w:ascii="Calibri" w:cs="Calibri" w:eastAsia="Calibri" w:hAnsi="Calibri"/>
          <w:color w:val="1A1A2E"/>
          <w:sz w:val="22"/>
          <w:szCs w:val="22"/>
        </w:rPr>
        <w:t xml:space="preserve">Commercial, Sales &amp; Marketing</w:t>
      </w:r>
    </w:p>
    <w:p>
      <w:pPr>
        <w:spacing w:before="60" w:after="60"/>
        <w:ind w:left="360"/>
      </w:pPr>
      <w:r>
        <w:rPr>
          <w:rFonts w:ascii="Calibri" w:cs="Calibri" w:eastAsia="Calibri" w:hAnsi="Calibri"/>
          <w:b/>
          <w:bCs/>
          <w:color w:val="0D2B55"/>
          <w:sz w:val="22"/>
          <w:szCs w:val="22"/>
        </w:rPr>
        <w:t xml:space="preserve">Chapter 10  </w:t>
      </w:r>
      <w:r>
        <w:rPr>
          <w:rFonts w:ascii="Calibri" w:cs="Calibri" w:eastAsia="Calibri" w:hAnsi="Calibri"/>
          <w:color w:val="1A1A2E"/>
          <w:sz w:val="22"/>
          <w:szCs w:val="22"/>
        </w:rPr>
        <w:t xml:space="preserve">Patient Engagement</w:t>
      </w:r>
    </w:p>
    <w:p>
      <w:pPr>
        <w:spacing w:before="240" w:after="80"/>
      </w:pPr>
      <w:r>
        <w:rPr>
          <w:rFonts w:ascii="Calibri" w:cs="Calibri" w:eastAsia="Calibri" w:hAnsi="Calibri"/>
          <w:b/>
          <w:bCs/>
          <w:caps/>
          <w:color w:val="C9A84C"/>
          <w:sz w:val="22"/>
          <w:szCs w:val="22"/>
        </w:rPr>
        <w:t xml:space="preserve">PART III — ENTERPRISE ENABLERS</w:t>
      </w:r>
    </w:p>
    <w:p>
      <w:pPr>
        <w:spacing w:before="60" w:after="60"/>
        <w:ind w:left="360"/>
      </w:pPr>
      <w:r>
        <w:rPr>
          <w:rFonts w:ascii="Calibri" w:cs="Calibri" w:eastAsia="Calibri" w:hAnsi="Calibri"/>
          <w:b/>
          <w:bCs/>
          <w:color w:val="0D2B55"/>
          <w:sz w:val="22"/>
          <w:szCs w:val="22"/>
        </w:rPr>
        <w:t xml:space="preserve">Chapter 11  </w:t>
      </w:r>
      <w:r>
        <w:rPr>
          <w:rFonts w:ascii="Calibri" w:cs="Calibri" w:eastAsia="Calibri" w:hAnsi="Calibri"/>
          <w:color w:val="1A1A2E"/>
          <w:sz w:val="22"/>
          <w:szCs w:val="22"/>
        </w:rPr>
        <w:t xml:space="preserve">Enterprise Systems, Technology Architecture &amp; Data Platforms</w:t>
      </w:r>
    </w:p>
    <w:p>
      <w:pPr>
        <w:spacing w:before="60" w:after="60"/>
        <w:ind w:left="360"/>
      </w:pPr>
      <w:r>
        <w:rPr>
          <w:rFonts w:ascii="Calibri" w:cs="Calibri" w:eastAsia="Calibri" w:hAnsi="Calibri"/>
          <w:b/>
          <w:bCs/>
          <w:color w:val="0D2B55"/>
          <w:sz w:val="22"/>
          <w:szCs w:val="22"/>
        </w:rPr>
        <w:t xml:space="preserve">Chapter 12  </w:t>
      </w:r>
      <w:r>
        <w:rPr>
          <w:rFonts w:ascii="Calibri" w:cs="Calibri" w:eastAsia="Calibri" w:hAnsi="Calibri"/>
          <w:color w:val="1A1A2E"/>
          <w:sz w:val="22"/>
          <w:szCs w:val="22"/>
        </w:rPr>
        <w:t xml:space="preserve">Finance, Procurement &amp; Cybersecurity</w:t>
      </w:r>
    </w:p>
    <w:p>
      <w:pPr>
        <w:spacing w:before="240" w:after="80"/>
      </w:pPr>
      <w:r>
        <w:rPr>
          <w:rFonts w:ascii="Calibri" w:cs="Calibri" w:eastAsia="Calibri" w:hAnsi="Calibri"/>
          <w:b/>
          <w:bCs/>
          <w:caps/>
          <w:color w:val="C9A84C"/>
          <w:sz w:val="22"/>
          <w:szCs w:val="22"/>
        </w:rPr>
        <w:t xml:space="preserve">PART IV — EXECUTION &amp; FUTURES</w:t>
      </w:r>
    </w:p>
    <w:p>
      <w:pPr>
        <w:spacing w:before="60" w:after="60"/>
        <w:ind w:left="360"/>
      </w:pPr>
      <w:r>
        <w:rPr>
          <w:rFonts w:ascii="Calibri" w:cs="Calibri" w:eastAsia="Calibri" w:hAnsi="Calibri"/>
          <w:b/>
          <w:bCs/>
          <w:color w:val="0D2B55"/>
          <w:sz w:val="22"/>
          <w:szCs w:val="22"/>
        </w:rPr>
        <w:t xml:space="preserve">Chapter 13  </w:t>
      </w:r>
      <w:r>
        <w:rPr>
          <w:rFonts w:ascii="Calibri" w:cs="Calibri" w:eastAsia="Calibri" w:hAnsi="Calibri"/>
          <w:color w:val="1A1A2E"/>
          <w:sz w:val="22"/>
          <w:szCs w:val="22"/>
        </w:rPr>
        <w:t xml:space="preserve">Implementation Roadmap &amp; Change Management</w:t>
      </w:r>
    </w:p>
    <w:p>
      <w:pPr>
        <w:spacing w:before="60" w:after="60"/>
        <w:ind w:left="360"/>
      </w:pPr>
      <w:r>
        <w:rPr>
          <w:rFonts w:ascii="Calibri" w:cs="Calibri" w:eastAsia="Calibri" w:hAnsi="Calibri"/>
          <w:b/>
          <w:bCs/>
          <w:color w:val="0D2B55"/>
          <w:sz w:val="22"/>
          <w:szCs w:val="22"/>
        </w:rPr>
        <w:t xml:space="preserve">Chapter 14  </w:t>
      </w:r>
      <w:r>
        <w:rPr>
          <w:rFonts w:ascii="Calibri" w:cs="Calibri" w:eastAsia="Calibri" w:hAnsi="Calibri"/>
          <w:color w:val="1A1A2E"/>
          <w:sz w:val="22"/>
          <w:szCs w:val="22"/>
        </w:rPr>
        <w:t xml:space="preserve">ROI Frameworks &amp; Emerging Technology Outlook</w:t>
      </w:r>
    </w:p>
    <w:p>
      <w:pPr>
        <w:spacing w:before="240" w:after="0"/>
      </w:pPr>
      <w:r>
        <w:br w:type="page"/>
      </w:r>
    </w:p>
    <w:p>
      <w:pPr>
        <w:spacing w:before="0" w:after="0"/>
      </w:pPr>
      <w:r>
        <w:br w:type="page"/>
      </w:r>
    </w:p>
    <w:p>
      <w:pPr>
        <w:pStyle w:val="Heading1"/>
        <w:pBdr>
          <w:bottom w:val="single" w:color="C9A84C" w:sz="6" w:space="4"/>
        </w:pBdr>
        <w:shd w:fill="0D2B55" w:val="clear"/>
        <w:spacing w:before="480" w:after="240"/>
        <w:ind w:left="200" w:right="200"/>
      </w:pPr>
      <w:r>
        <w:rPr>
          <w:rFonts w:ascii="Calibri" w:cs="Calibri" w:eastAsia="Calibri" w:hAnsi="Calibri"/>
          <w:b/>
          <w:bCs/>
          <w:caps/>
          <w:color w:val="FFFFFF"/>
          <w:sz w:val="36"/>
          <w:szCs w:val="36"/>
        </w:rPr>
        <w:t xml:space="preserve">Chapter 1: The Global Pharma Landscape &amp; Digital Imperative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F0E8" w:val="clear"/>
            <w:tcMar>
              <w:top w:type="dxa" w:w="160"/>
              <w:left w:type="dxa" w:w="200"/>
              <w:bottom w:type="dxa" w:w="160"/>
              <w:right w:type="dxa" w:w="200"/>
            </w:tcMar>
          </w:tcPr>
          <w:p>
            <w:pPr>
              <w:spacing w:before="0" w:after="80"/>
            </w:pPr>
            <w:r>
              <w:rPr>
                <w:rFonts w:ascii="Calibri" w:cs="Calibri" w:eastAsia="Calibri" w:hAnsi="Calibri"/>
                <w:b/>
                <w:bCs/>
                <w:caps/>
                <w:color w:val="C9A84C"/>
                <w:sz w:val="18"/>
                <w:szCs w:val="18"/>
              </w:rPr>
              <w:t xml:space="preserve">EXECUTIVE SUMMARY</w:t>
            </w:r>
          </w:p>
          <w:p>
            <w:pPr>
              <w:spacing w:before="0" w:after="0"/>
              <w:jc w:val="both"/>
            </w:pPr>
            <w:r>
              <w:rPr>
                <w:rFonts w:ascii="Calibri" w:cs="Calibri" w:eastAsia="Calibri" w:hAnsi="Calibri"/>
                <w:i/>
                <w:iCs/>
                <w:color w:val="1A1A2E"/>
                <w:sz w:val="20"/>
                <w:szCs w:val="20"/>
              </w:rPr>
              <w:t xml:space="preserve">The pharmaceutical industry stands at an inflection point unlike any in its history. A confluence of forces — accelerating scientific complexity, relentless cost pressure, post-pandemic urgency, and the maturation of artificial intelligence — is reshaping every dimension of how drugs are discovered, developed, manufactured, and delivered. This chapter establishes the strategic context for the chapters that follow, arguing that digital transformation is no longer a technology investment decision but a fundamental business survival imperative. Organizations that treat digitalization as an IT project will fall behind; those that embed it into their operating model and culture will define the next era of global health.</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1.1 The Pharma Industry at a Crossroads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global pharmaceutical market crossed USD 1.6 trillion in revenues in 2024 and is projected to exceed USD 2.3 trillion by 2030. This growth masks profound structural stress. The cost of bringing a new molecular entity to market now exceeds USD 2.6 billion and takes an average of 12 to 15 years — figures that have roughly doubled in real terms over the past two decades. The probability that a molecule entering Phase I clinical trials will reach approval remains below 10 percent. Meanwhile, patent cliffs continue to erode revenue bases: over USD 200 billion in branded pharmaceutical sales face generic competition through 2028, putting outsized pressure on the innovation pipelines of every major player.</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industry is simultaneously being pulled in two directions. On one side, biological complexity is expanding the frontier of what is scientifically possible — personalized medicines, cell and gene therapies, RNA-based interventions, and AI-designed proteins are creating entirely new therapeutic categories. On the other, the commercial and economic systems that supported the old blockbuster model are fragmenting under the weight of payer pressure, real-world evidence requirements, and accelerating generic competition. Navigating this tension without digitally enabled speed, precision, and agility is simply not viable.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1.2 Forces Driving Digital Transformation</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The Data Explosion.</w:t>
      </w:r>
      <w:r>
        <w:rPr>
          <w:rFonts w:ascii="Calibri" w:cs="Calibri" w:eastAsia="Calibri" w:hAnsi="Calibri"/>
          <w:b w:val="false"/>
          <w:bCs w:val="false"/>
          <w:i w:val="false"/>
          <w:iCs w:val="false"/>
          <w:color w:val="1A1A2E"/>
          <w:sz w:val="22"/>
          <w:szCs w:val="22"/>
        </w:rPr>
        <w:t xml:space="preserve"> Pharmaceutical R&amp;D is generating data at an unprecedented rate. A single genomic sequencing run produces terabytes of raw data. A Phase III clinical trial with 10,000 patients can generate billions of data points across electronic health records, wearable sensors, imaging archives, and patient-reported outcomes. Manufacturing lines equipped with Process Analytical Technology (PAT) sensors stream millions of data points per hour. The industry's competitive battleground is no longer just scientific insight — it is the organizational capacity to capture, integrate, and act on data at scale and speed.</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The AI Maturity Moment.</w:t>
      </w:r>
      <w:r>
        <w:rPr>
          <w:rFonts w:ascii="Calibri" w:cs="Calibri" w:eastAsia="Calibri" w:hAnsi="Calibri"/>
          <w:b w:val="false"/>
          <w:bCs w:val="false"/>
          <w:i w:val="false"/>
          <w:iCs w:val="false"/>
          <w:color w:val="1A1A2E"/>
          <w:sz w:val="22"/>
          <w:szCs w:val="22"/>
        </w:rPr>
        <w:t xml:space="preserve"> For the first time, AI and machine learning tools have demonstrated genuine, reproducible value across the pharmaceutical value chain. AlphaFold's prediction of protein structures — a problem that took structural biologists decades — was solved in hours. Large language models are summarizing decades of scientific literature in minutes. Generative AI is proposing novel molecular scaffolds. The question is no longer whether AI works in pharma; it is how fast organizations can build the infrastructure, talent, and governance to deploy it systematically.</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Regulatory Evolution.</w:t>
      </w:r>
      <w:r>
        <w:rPr>
          <w:rFonts w:ascii="Calibri" w:cs="Calibri" w:eastAsia="Calibri" w:hAnsi="Calibri"/>
          <w:b w:val="false"/>
          <w:bCs w:val="false"/>
          <w:i w:val="false"/>
          <w:iCs w:val="false"/>
          <w:color w:val="1A1A2E"/>
          <w:sz w:val="22"/>
          <w:szCs w:val="22"/>
        </w:rPr>
        <w:t xml:space="preserve"> Regulators globally are modernizing their frameworks in ways that both demand and enable digital investment. The US FDA's Digital Health Center of Excellence, the EMA's data analytics strategy, and India's CDSCO modernization initiative all reflect the same reality: regulators expect digital-native evidence generation, electronic submissions, and real-world data integration. Organizations that lag in digital capability face not just competitive disadvantage but growing regulatory risk.</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The Pandemic Accelerant.</w:t>
      </w:r>
      <w:r>
        <w:rPr>
          <w:rFonts w:ascii="Calibri" w:cs="Calibri" w:eastAsia="Calibri" w:hAnsi="Calibri"/>
          <w:b w:val="false"/>
          <w:bCs w:val="false"/>
          <w:i w:val="false"/>
          <w:iCs w:val="false"/>
          <w:color w:val="1A1A2E"/>
          <w:sz w:val="22"/>
          <w:szCs w:val="22"/>
        </w:rPr>
        <w:t xml:space="preserve"> COVID-19 compressed what might have been a decade of digital adoption into eighteen months. Remote clinical trials, decentralized data collection, AI-assisted drug repurposing, digital supply chain visibility, and virtual medical affairs engagement all moved from pilot to production at speed. The pandemic proved that pharma could move fast when forced to — and now neither patients, payers, nor regulators will accept a return to the old cadence.</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Talent and Workforce Shift.</w:t>
      </w:r>
      <w:r>
        <w:rPr>
          <w:rFonts w:ascii="Calibri" w:cs="Calibri" w:eastAsia="Calibri" w:hAnsi="Calibri"/>
          <w:b w:val="false"/>
          <w:bCs w:val="false"/>
          <w:i w:val="false"/>
          <w:iCs w:val="false"/>
          <w:color w:val="1A1A2E"/>
          <w:sz w:val="22"/>
          <w:szCs w:val="22"/>
        </w:rPr>
        <w:t xml:space="preserve"> The workforce entering pharma today is digital-native. They expect AI-assisted workflows, modern user interfaces, and the ability to make data-driven decisions in real time. Organizations running on legacy ERP platforms, paper-based quality systems, and siloed data warehouses struggle to attract, develop, and retain this talent — creating a compounding competitive disadvantage.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1.3 The Digital Transformation Landscape: Where Pharma Stands Today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Despite the urgency, the industry's digital maturity is highly uneven. A 2024 survey of 120 global pharmaceutical and biotech companies produced a striking bimodal distribution: roughly 20 percent of organizations — predominantly large multinationals and a cohort of digitally native biotechs — have advanced cloud-native data platforms, enterprise AI programs, and digitally integrated supply chains. The remaining 80 percent are at various stages of foundational work: consolidating ERP systems, moving data to the cloud, or piloting AI use cases without the infrastructure to scale them.</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implications of this gap are becoming visible in commercial outcomes. Companies with mature digital manufacturing platforms demonstrate up to 35 percent faster batch release cycles and 25 percent lower deviation rates compared to industry peers. Early AI adopters in R&amp;D are reporting 30 to 50 percent reductions in compound screening time. In commercial, organizations deploying next-generation customer engagement platforms are generating two to three times the sales force effectiveness of laggards measured in prescriber access and message recall.</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Regional Landscape Overview</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In the </w:t>
      </w:r>
      <w:r>
        <w:rPr>
          <w:rFonts w:ascii="Calibri" w:cs="Calibri" w:eastAsia="Calibri" w:hAnsi="Calibri"/>
          <w:b/>
          <w:bCs/>
          <w:i w:val="false"/>
          <w:iCs w:val="false"/>
          <w:color w:val="1A1A2E"/>
          <w:sz w:val="22"/>
          <w:szCs w:val="22"/>
        </w:rPr>
        <w:t xml:space="preserve">United States</w:t>
      </w:r>
      <w:r>
        <w:rPr>
          <w:rFonts w:ascii="Calibri" w:cs="Calibri" w:eastAsia="Calibri" w:hAnsi="Calibri"/>
          <w:b w:val="false"/>
          <w:bCs w:val="false"/>
          <w:i w:val="false"/>
          <w:iCs w:val="false"/>
          <w:color w:val="1A1A2E"/>
          <w:sz w:val="22"/>
          <w:szCs w:val="22"/>
        </w:rPr>
        <w:t xml:space="preserve">, digital transformation in pharma is being driven by a combination of FDA regulatory modernization, the Inflation Reduction Act's pricing pressures (accelerating the need for real-world evidence and outcome-based contracting), and a vibrant digital health ecosystem centered in Boston, San Francisco, and the Research Triangle. US big pharma leads in AI-for-drug-discovery investment, with Pfizer, Merck, and AstraZeneca each committing hundreds of millions of dollars to dedicated AI programs. The US market also leads in decentralized clinical trial (DCT) adoption, with over 60 percent of new trial starts incorporating at least one decentralized element as of 2024.</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In the </w:t>
      </w:r>
      <w:r>
        <w:rPr>
          <w:rFonts w:ascii="Calibri" w:cs="Calibri" w:eastAsia="Calibri" w:hAnsi="Calibri"/>
          <w:b/>
          <w:bCs/>
          <w:i w:val="false"/>
          <w:iCs w:val="false"/>
          <w:color w:val="1A1A2E"/>
          <w:sz w:val="22"/>
          <w:szCs w:val="22"/>
        </w:rPr>
        <w:t xml:space="preserve">European Union</w:t>
      </w:r>
      <w:r>
        <w:rPr>
          <w:rFonts w:ascii="Calibri" w:cs="Calibri" w:eastAsia="Calibri" w:hAnsi="Calibri"/>
          <w:b w:val="false"/>
          <w:bCs w:val="false"/>
          <w:i w:val="false"/>
          <w:iCs w:val="false"/>
          <w:color w:val="1A1A2E"/>
          <w:sz w:val="22"/>
          <w:szCs w:val="22"/>
        </w:rPr>
        <w:t xml:space="preserve">, the picture is shaped by the EMA's Evolving Regulatory Framework, the European Health Data Space (EHDS), and GDPR — a regulatory triplet that simultaneously mandates data sharing, enables real-world evidence, and constrains data movement in ways that require sophisticated data governance architectures. Germany leads in manufacturing digitalization (Industry 4.0 is deeply embedded in the German pharma supply chain mindset), while the UK post-Brexit has positioned itself aggressively as a clinical trial and digital health regulatory sandbox. The EU's investment in federated data networks — particularly the DARWIN EU real-world evidence platform — is creating new infrastructure for post-market surveillance and regulatory decision-making.</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In </w:t>
      </w:r>
      <w:r>
        <w:rPr>
          <w:rFonts w:ascii="Calibri" w:cs="Calibri" w:eastAsia="Calibri" w:hAnsi="Calibri"/>
          <w:b/>
          <w:bCs/>
          <w:i w:val="false"/>
          <w:iCs w:val="false"/>
          <w:color w:val="1A1A2E"/>
          <w:sz w:val="22"/>
          <w:szCs w:val="22"/>
        </w:rPr>
        <w:t xml:space="preserve">India</w:t>
      </w:r>
      <w:r>
        <w:rPr>
          <w:rFonts w:ascii="Calibri" w:cs="Calibri" w:eastAsia="Calibri" w:hAnsi="Calibri"/>
          <w:b w:val="false"/>
          <w:bCs w:val="false"/>
          <w:i w:val="false"/>
          <w:iCs w:val="false"/>
          <w:color w:val="1A1A2E"/>
          <w:sz w:val="22"/>
          <w:szCs w:val="22"/>
        </w:rPr>
        <w:t xml:space="preserve">, the digital transformation story is distinctive and strategically important. India accounts for approximately 20 percent of global generic medicine exports by volume and over 60 percent by count of US FDA-approved manufacturing facilities outside the US. This manufacturing depth is being supplemented by a rapidly maturing digital ecosystem. Government initiatives including the Ayushman Bharat Digital Mission (ABDM), the National Digital Health Blueprint, and SUGAM (the online regulatory submission portal) are creating digital health infrastructure at national scale. Indian pharma majors — Sun Pharma, Cipla, Dr. Reddy's, Lupin, Aurobindo — are investing in digital manufacturing transformation, AI-powered quality systems, and global commercial analytics platforms. India's cost-competitive software talent ecosystem also makes it a natural hub for pharma digital capability centers, with over 30 multinational pharma companies now operating Global Capability Centers (GCCs) in India.</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1.4 The Cost of Inaction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Organizations often frame digital transformation as a risk — the risk of implementation failure, cost overrun, or change management disruption. The more important calculus is the risk of inaction. Consider what the evidence now shows: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 pharmaceutical company without a unified clinical data platform will take 18 to 24 months longer on average to compile a regulatory submission package compared to a digital-native peer. A manufacturer without real-time process analytics has a deviation detection latency 4 to 6 times higher than a PAT-enabled facility, with corresponding batch failure rates. A commercial organization without AI-driven targeting and next-best-action engines generates field force efficiency scores 30 to 40 percent below best-in-class. A company without end-to-end supply chain visibility faces 15 to 20 percent higher inventory carrying costs and is systematically slower to respond to demand shocks.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Taken together, these capability gaps are not merely operational inefficiencies — they translate directly into slower time-to-market, higher cost of goods, weaker payer negotiations, and ultimately, lower shareholder value. In a post-patent-cliff environment where every percentage point of margin matters, the cost of digital inaction is existential for mid-tier pharma and severely damaging for the large multinationals.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1.5 What "Digital Transformation" Actually Means in Pharma</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 critical clarification before proceeding: digital transformation in pharma is not primarily about technology. It is about fundamentally redesigning business processes, decision-making architectures, and operating models — enabled by technology. This distinction matters because organizations that deploy technology onto broken processes do not transform; they automate dysfunction.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True digital transformation in pharma has four interlocking dimensions. The first is </w:t>
      </w:r>
      <w:r>
        <w:rPr>
          <w:rFonts w:ascii="Calibri" w:cs="Calibri" w:eastAsia="Calibri" w:hAnsi="Calibri"/>
          <w:b/>
          <w:bCs/>
          <w:i w:val="false"/>
          <w:iCs w:val="false"/>
          <w:color w:val="1A1A2E"/>
          <w:sz w:val="22"/>
          <w:szCs w:val="22"/>
        </w:rPr>
        <w:t xml:space="preserve">data as a strategic asset</w:t>
      </w:r>
      <w:r>
        <w:rPr>
          <w:rFonts w:ascii="Calibri" w:cs="Calibri" w:eastAsia="Calibri" w:hAnsi="Calibri"/>
          <w:b w:val="false"/>
          <w:bCs w:val="false"/>
          <w:i w:val="false"/>
          <w:iCs w:val="false"/>
          <w:color w:val="1A1A2E"/>
          <w:sz w:val="22"/>
          <w:szCs w:val="22"/>
        </w:rPr>
        <w:t xml:space="preserve"> — building the infrastructure, governance, and culture to treat data as a company-wide resource rather than a departmental byproduct. The second is </w:t>
      </w:r>
      <w:r>
        <w:rPr>
          <w:rFonts w:ascii="Calibri" w:cs="Calibri" w:eastAsia="Calibri" w:hAnsi="Calibri"/>
          <w:b/>
          <w:bCs/>
          <w:i w:val="false"/>
          <w:iCs w:val="false"/>
          <w:color w:val="1A1A2E"/>
          <w:sz w:val="22"/>
          <w:szCs w:val="22"/>
        </w:rPr>
        <w:t xml:space="preserve">AI-powered intelligence</w:t>
      </w:r>
      <w:r>
        <w:rPr>
          <w:rFonts w:ascii="Calibri" w:cs="Calibri" w:eastAsia="Calibri" w:hAnsi="Calibri"/>
          <w:b w:val="false"/>
          <w:bCs w:val="false"/>
          <w:i w:val="false"/>
          <w:iCs w:val="false"/>
          <w:color w:val="1A1A2E"/>
          <w:sz w:val="22"/>
          <w:szCs w:val="22"/>
        </w:rPr>
        <w:t xml:space="preserve"> — embedding machine learning and advanced analytics into decisions at every level, from molecule selection to sales force deployment. The third is </w:t>
      </w:r>
      <w:r>
        <w:rPr>
          <w:rFonts w:ascii="Calibri" w:cs="Calibri" w:eastAsia="Calibri" w:hAnsi="Calibri"/>
          <w:b/>
          <w:bCs/>
          <w:i w:val="false"/>
          <w:iCs w:val="false"/>
          <w:color w:val="1A1A2E"/>
          <w:sz w:val="22"/>
          <w:szCs w:val="22"/>
        </w:rPr>
        <w:t xml:space="preserve">connected operations</w:t>
      </w:r>
      <w:r>
        <w:rPr>
          <w:rFonts w:ascii="Calibri" w:cs="Calibri" w:eastAsia="Calibri" w:hAnsi="Calibri"/>
          <w:b w:val="false"/>
          <w:bCs w:val="false"/>
          <w:i w:val="false"/>
          <w:iCs w:val="false"/>
          <w:color w:val="1A1A2E"/>
          <w:sz w:val="22"/>
          <w:szCs w:val="22"/>
        </w:rPr>
        <w:t xml:space="preserve"> — integrating previously siloed functions (R&amp;D, manufacturing, supply chain, commercial) into real-time decision loops that eliminate latency and unlock systemic efficiency. The fourth is </w:t>
      </w:r>
      <w:r>
        <w:rPr>
          <w:rFonts w:ascii="Calibri" w:cs="Calibri" w:eastAsia="Calibri" w:hAnsi="Calibri"/>
          <w:b/>
          <w:bCs/>
          <w:i w:val="false"/>
          <w:iCs w:val="false"/>
          <w:color w:val="1A1A2E"/>
          <w:sz w:val="22"/>
          <w:szCs w:val="22"/>
        </w:rPr>
        <w:t xml:space="preserve">digital patient and customer centricity</w:t>
      </w:r>
      <w:r>
        <w:rPr>
          <w:rFonts w:ascii="Calibri" w:cs="Calibri" w:eastAsia="Calibri" w:hAnsi="Calibri"/>
          <w:b w:val="false"/>
          <w:bCs w:val="false"/>
          <w:i w:val="false"/>
          <w:iCs w:val="false"/>
          <w:color w:val="1A1A2E"/>
          <w:sz w:val="22"/>
          <w:szCs w:val="22"/>
        </w:rPr>
        <w:t xml:space="preserve"> — redesigning how the company interacts with patients, healthcare providers, payers, and regulators using digital channels, real-world data, and personalized engagement.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Each subsequent chapter of this handbook addresses one or more of these dimensions within a specific functional domain. Together they constitute a complete transformation playbook — not a technology roadmap, but a strategic and operational guide for building a digitally native pharmaceutical enterprise.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1.6 Questions for the Board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Every board member and C-suite executive reading this handbook should be able to answer the following questions with confidence. If the honest answer is "I don't know" or "we're working on it," that gap defines the urgency of the transformation agenda.</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Does your organization have a single, authoritative source of truth for R&amp;D, clinical, manufacturing, and commercial data — and does leadership have real-time visibility into it? What percentage of your key operational decisions — compound prioritization, clinical trial design, manufacturing release, sales force deployment — are made with AI-assisted analytics versus human intuition and spreadsheets? How long does it take your organization to go from a regulatory inquiry to a complete, accurate data response? What is your current digital maturity score versus your top three competitors? Who in your leadership team owns the digital transformation agenda — and do they have the budget, authority, and talent to execute it?</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EEF2F7" w:val="clear"/>
            <w:tcMar>
              <w:top w:type="dxa" w:w="160"/>
              <w:left w:type="dxa" w:w="200"/>
              <w:bottom w:type="dxa" w:w="160"/>
              <w:right w:type="dxa" w:w="200"/>
            </w:tcMar>
          </w:tcPr>
          <w:p>
            <w:pPr>
              <w:spacing w:before="0" w:after="80"/>
            </w:pPr>
            <w:r>
              <w:rPr>
                <w:rFonts w:ascii="Calibri" w:cs="Calibri" w:eastAsia="Calibri" w:hAnsi="Calibri"/>
                <w:b/>
                <w:bCs/>
                <w:caps/>
                <w:color w:val="0D2B55"/>
                <w:sz w:val="18"/>
                <w:szCs w:val="18"/>
              </w:rPr>
              <w:t xml:space="preserve">REGIONAL SPOTLIGHT: REGIONAL SPOTLIGHT: INDIA'S DIGITAL PHARMA MOMENT</w:t>
            </w:r>
          </w:p>
          <w:p>
            <w:pPr>
              <w:spacing w:before="0" w:after="0"/>
              <w:jc w:val="both"/>
            </w:pPr>
            <w:r>
              <w:rPr>
                <w:rFonts w:ascii="Calibri" w:cs="Calibri" w:eastAsia="Calibri" w:hAnsi="Calibri"/>
                <w:color w:val="1A1A2E"/>
                <w:sz w:val="20"/>
                <w:szCs w:val="20"/>
              </w:rPr>
              <w:t xml:space="preserve">India's pharmaceutical industry is undergoing a digital transformation that is structurally different from, and in some ways more complex than, the transformation underway in Western multinationals. India's pharma sector is dominated by generics manufacturers operating on thin margins in a highly competitive global market — which means the ROI calculus for digital investment must be sharper and faster than it is for a branded multinational with patent-protected revenues. The opportunity is significant. India's ABDM is creating the world's largest unified health ID system, with over 600 million health accounts registered by 2024. This infrastructure, combined with India's depth of IT talent, positions Indian pharma companies to lead in real-world evidence generation, AI-powered pharmacovigilance, and digital health partnerships in ways that could reshape their global competitive positioning. Companies like Sun Pharma (through its digital health subsidiary) and Dr. Reddy's (through its AI-powered manufacturing initiative) are demonstrating that Indian generics companies can be fast followers — and in some cases leaders — in pharma digital transformation.</w:t>
            </w:r>
          </w:p>
        </w:tc>
      </w:tr>
    </w:tbl>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0"/>
      </w:pPr>
      <w:r>
        <w:br w:type="page"/>
      </w:r>
    </w:p>
    <w:p>
      <w:pPr>
        <w:pStyle w:val="Heading1"/>
        <w:pBdr>
          <w:bottom w:val="single" w:color="C9A84C" w:sz="6" w:space="4"/>
        </w:pBdr>
        <w:shd w:fill="0D2B55" w:val="clear"/>
        <w:spacing w:before="480" w:after="240"/>
        <w:ind w:left="200" w:right="200"/>
      </w:pPr>
      <w:r>
        <w:rPr>
          <w:rFonts w:ascii="Calibri" w:cs="Calibri" w:eastAsia="Calibri" w:hAnsi="Calibri"/>
          <w:b/>
          <w:bCs/>
          <w:caps/>
          <w:color w:val="FFFFFF"/>
          <w:sz w:val="36"/>
          <w:szCs w:val="36"/>
        </w:rPr>
        <w:t xml:space="preserve">Chapter 2: Digital Maturity Model for Pharma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F0E8" w:val="clear"/>
            <w:tcMar>
              <w:top w:type="dxa" w:w="160"/>
              <w:left w:type="dxa" w:w="200"/>
              <w:bottom w:type="dxa" w:w="160"/>
              <w:right w:type="dxa" w:w="200"/>
            </w:tcMar>
          </w:tcPr>
          <w:p>
            <w:pPr>
              <w:spacing w:before="0" w:after="80"/>
            </w:pPr>
            <w:r>
              <w:rPr>
                <w:rFonts w:ascii="Calibri" w:cs="Calibri" w:eastAsia="Calibri" w:hAnsi="Calibri"/>
                <w:b/>
                <w:bCs/>
                <w:caps/>
                <w:color w:val="C9A84C"/>
                <w:sz w:val="18"/>
                <w:szCs w:val="18"/>
              </w:rPr>
              <w:t xml:space="preserve">EXECUTIVE SUMMARY</w:t>
            </w:r>
          </w:p>
          <w:p>
            <w:pPr>
              <w:spacing w:before="0" w:after="0"/>
              <w:jc w:val="both"/>
            </w:pPr>
            <w:r>
              <w:rPr>
                <w:rFonts w:ascii="Calibri" w:cs="Calibri" w:eastAsia="Calibri" w:hAnsi="Calibri"/>
                <w:i/>
                <w:iCs/>
                <w:color w:val="1A1A2E"/>
                <w:sz w:val="20"/>
                <w:szCs w:val="20"/>
              </w:rPr>
              <w:t xml:space="preserve">A digital transformation strategy without a maturity model is navigation without a map. This chapter introduces the Pharma Digital Maturity Framework (PDMF) — a structured five-level model designed specifically for the pharmaceutical industry. The PDMF provides organizations with a shared vocabulary for describing where they are today, a diagnostic lens for identifying gaps, and a progression logic for planning the journey ahead. Unlike generic enterprise maturity models, the PDMF is built around the unique characteristics of the pharma value chain: its regulatory obligations, its GxP quality requirements, its patient safety responsibilities, and its exceptional data complexity.</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2.1 Why Pharma Needs Its Own Maturity Framework</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Generic digital maturity models — designed for financial services, retail, or manufacturing broadly — consistently fail pharma organizations for three interconnected reasons. First, they underestimate the regulatory dimension. In pharma, digitalization is not just a commercial choice; it is a compliance act. Every digital system that touches GxP processes must be validated, documented, and auditable. This creates a layer of complexity that generic frameworks neither account for nor score. A pharma company may have sophisticated AI capabilities in commercial but be operating on paper-based batch records in manufacturing — a gap that a generic model would flag as an anomaly but that the PDMF treats as a common and addressable pattern.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Second, generic models treat "data maturity" as a single dimension. In pharma, data has radically different governance requirements, life cycles, and quality standards depending on whether it is clinical trial data (governed by ICH E6 Good Clinical Practice), manufacturing data (governed by 21 CFR Part 11 and EU Annex 11), or commercial data (governed by GDPR, HIPAA, and industry codes). The PDMF disaggregates data maturity by domain so organizations can see their actual profile rather than a misleading average.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Third, generic models rarely address the intersection of scientific and digital maturity. A biotech at the frontier of cell therapy development may have extraordinarily sophisticated science but primitive digital infrastructure — a pattern that the PDMF captures as a specific archetype with a specific remediation path.</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2.2 The Pharma Digital Maturity Framework (PDMF)</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PDMF is organized across five levels and seven dimensions. The five levels describe the progression from digital infancy to digital leadership. The seven dimensions describe the domains in which maturity is assessed independently, enabling an organization to generate a maturity profile — a radar chart showing relative strengths and gaps — rather than a single composite score that obscures as much as it reveals.</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The Five Levels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At </w:t>
      </w:r>
      <w:r>
        <w:rPr>
          <w:rFonts w:ascii="Calibri" w:cs="Calibri" w:eastAsia="Calibri" w:hAnsi="Calibri"/>
          <w:b/>
          <w:bCs/>
          <w:i w:val="false"/>
          <w:iCs w:val="false"/>
          <w:color w:val="1A1A2E"/>
          <w:sz w:val="22"/>
          <w:szCs w:val="22"/>
        </w:rPr>
        <w:t xml:space="preserve">Level 1: Fragmented</w:t>
      </w:r>
      <w:r>
        <w:rPr>
          <w:rFonts w:ascii="Calibri" w:cs="Calibri" w:eastAsia="Calibri" w:hAnsi="Calibri"/>
          <w:b w:val="false"/>
          <w:bCs w:val="false"/>
          <w:i w:val="false"/>
          <w:iCs w:val="false"/>
          <w:color w:val="1A1A2E"/>
          <w:sz w:val="22"/>
          <w:szCs w:val="22"/>
        </w:rPr>
        <w:t xml:space="preserve">, the organization operates primarily on paper or on disconnected legacy systems. Data is siloed by function and rarely flows across departmental boundaries. Digital initiatives exist as isolated pilots with no common architecture or governance. Most decisions are experience-driven rather than data-driven. IT is viewed as a support function rather than a strategic enabler. This level is more common than many organizations will admit — particularly in manufacturing quality, clinical operations at smaller biotechs, and commercial operations in emerging markets.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At </w:t>
      </w:r>
      <w:r>
        <w:rPr>
          <w:rFonts w:ascii="Calibri" w:cs="Calibri" w:eastAsia="Calibri" w:hAnsi="Calibri"/>
          <w:b/>
          <w:bCs/>
          <w:i w:val="false"/>
          <w:iCs w:val="false"/>
          <w:color w:val="1A1A2E"/>
          <w:sz w:val="22"/>
          <w:szCs w:val="22"/>
        </w:rPr>
        <w:t xml:space="preserve">Level 2: Foundational</w:t>
      </w:r>
      <w:r>
        <w:rPr>
          <w:rFonts w:ascii="Calibri" w:cs="Calibri" w:eastAsia="Calibri" w:hAnsi="Calibri"/>
          <w:b w:val="false"/>
          <w:bCs w:val="false"/>
          <w:i w:val="false"/>
          <w:iCs w:val="false"/>
          <w:color w:val="1A1A2E"/>
          <w:sz w:val="22"/>
          <w:szCs w:val="22"/>
        </w:rPr>
        <w:t xml:space="preserve">, the organization has implemented core enterprise systems — typically an ERP, a quality management system, and perhaps a clinical trial management system — but these systems are not well integrated. Data still moves largely by export-import or manual reconciliation. Cloud migration may have begun, but on-premises systems remain dominant. Analytics capability is limited to standard reporting from these individual systems. The organization is aware of its digital gaps and has begun investing in remediation, but lacks a coherent enterprise digital strategy. This is the most common level among mid-tier global pharma companies.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At </w:t>
      </w:r>
      <w:r>
        <w:rPr>
          <w:rFonts w:ascii="Calibri" w:cs="Calibri" w:eastAsia="Calibri" w:hAnsi="Calibri"/>
          <w:b/>
          <w:bCs/>
          <w:i w:val="false"/>
          <w:iCs w:val="false"/>
          <w:color w:val="1A1A2E"/>
          <w:sz w:val="22"/>
          <w:szCs w:val="22"/>
        </w:rPr>
        <w:t xml:space="preserve">Level 3: Connected</w:t>
      </w:r>
      <w:r>
        <w:rPr>
          <w:rFonts w:ascii="Calibri" w:cs="Calibri" w:eastAsia="Calibri" w:hAnsi="Calibri"/>
          <w:b w:val="false"/>
          <w:bCs w:val="false"/>
          <w:i w:val="false"/>
          <w:iCs w:val="false"/>
          <w:color w:val="1A1A2E"/>
          <w:sz w:val="22"/>
          <w:szCs w:val="22"/>
        </w:rPr>
        <w:t xml:space="preserve">, enterprise systems are integrated and data flows across the value chain in near-real-time. A unified data platform — whether a cloud-based data lake, data warehouse, or lakehouse architecture — is in place and being actively used. Advanced analytics and business intelligence tools are deployed, enabling descriptive and diagnostic analytics. AI and ML pilots are active in one or more domains, typically R&amp;D or commercial. The organization has established digital governance structures — a Chief Digital Officer or equivalent, a digital leadership forum, and a data governance council. This is the target state for most digital transformation programs at the outset.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At </w:t>
      </w:r>
      <w:r>
        <w:rPr>
          <w:rFonts w:ascii="Calibri" w:cs="Calibri" w:eastAsia="Calibri" w:hAnsi="Calibri"/>
          <w:b/>
          <w:bCs/>
          <w:i w:val="false"/>
          <w:iCs w:val="false"/>
          <w:color w:val="1A1A2E"/>
          <w:sz w:val="22"/>
          <w:szCs w:val="22"/>
        </w:rPr>
        <w:t xml:space="preserve">Level 4: Intelligent</w:t>
      </w:r>
      <w:r>
        <w:rPr>
          <w:rFonts w:ascii="Calibri" w:cs="Calibri" w:eastAsia="Calibri" w:hAnsi="Calibri"/>
          <w:b w:val="false"/>
          <w:bCs w:val="false"/>
          <w:i w:val="false"/>
          <w:iCs w:val="false"/>
          <w:color w:val="1A1A2E"/>
          <w:sz w:val="22"/>
          <w:szCs w:val="22"/>
        </w:rPr>
        <w:t xml:space="preserve">, AI and ML are embedded into core processes across multiple functional domains. Predictive and prescriptive analytics drive operational decisions in manufacturing (predictive maintenance, process optimization), clinical (patient recruitment prediction, protocol deviation risk scoring), and commercial (next-best-action, demand forecasting). The organization has built reusable AI/ML infrastructure — feature stores, model registries, automated retraining pipelines — that allows new use cases to be deployed at pace. Digital is no longer a separate function; it is integrated into how every team works. Data is treated as a strategic asset with formal valuation, governance, and lifecycle management.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At </w:t>
      </w:r>
      <w:r>
        <w:rPr>
          <w:rFonts w:ascii="Calibri" w:cs="Calibri" w:eastAsia="Calibri" w:hAnsi="Calibri"/>
          <w:b/>
          <w:bCs/>
          <w:i w:val="false"/>
          <w:iCs w:val="false"/>
          <w:color w:val="1A1A2E"/>
          <w:sz w:val="22"/>
          <w:szCs w:val="22"/>
        </w:rPr>
        <w:t xml:space="preserve">Level 5: Regenerative</w:t>
      </w:r>
      <w:r>
        <w:rPr>
          <w:rFonts w:ascii="Calibri" w:cs="Calibri" w:eastAsia="Calibri" w:hAnsi="Calibri"/>
          <w:b w:val="false"/>
          <w:bCs w:val="false"/>
          <w:i w:val="false"/>
          <w:iCs w:val="false"/>
          <w:color w:val="1A1A2E"/>
          <w:sz w:val="22"/>
          <w:szCs w:val="22"/>
        </w:rPr>
        <w:t xml:space="preserve">, the organization has achieved continuous, self-reinforcing digital capability. AI models learn and improve autonomously. Digital twins of manufacturing processes and clinical trial designs allow systematic simulation of decisions before execution. The organization is generating and sharing real-world data at scale, creating external data assets that enhance payer negotiations, regulatory relationships, and patient trust. Digital capabilities are a recognized source of competitive advantage — new product development cycles are measurably faster, manufacturing costs are measurably lower, and commercial impact is measurably higher than industry peers. The organization actively shapes external standards, regulatory frameworks, and industry platforms rather than simply responding to them. Fewer than 5 percent of pharma organizations globally have achieved this level.</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2.3 The Seven Dimensions of Pharma Digital Maturity</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Dimension 1: Data Infrastructure and Architecture.</w:t>
      </w:r>
      <w:r>
        <w:rPr>
          <w:rFonts w:ascii="Calibri" w:cs="Calibri" w:eastAsia="Calibri" w:hAnsi="Calibri"/>
          <w:b w:val="false"/>
          <w:bCs w:val="false"/>
          <w:i w:val="false"/>
          <w:iCs w:val="false"/>
          <w:color w:val="1A1A2E"/>
          <w:sz w:val="22"/>
          <w:szCs w:val="22"/>
        </w:rPr>
        <w:t xml:space="preserve"> This dimension assesses the quality, integration, and accessibility of the organization's data foundation. It spans cloud adoption, data lake and warehouse architecture, master data management, data quality frameworks, and the coverage of structured and unstructured data. A Level 1 organization has fragmented, on-premises databases with no enterprise data catalog. A Level 5 organization has a cloud-native, federated data mesh with FAIR (Findable, Accessible, Interoperable, Reusable) data principles embedded across the enterprise.</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Dimension 2: Analytics and AI Capability.</w:t>
      </w:r>
      <w:r>
        <w:rPr>
          <w:rFonts w:ascii="Calibri" w:cs="Calibri" w:eastAsia="Calibri" w:hAnsi="Calibri"/>
          <w:b w:val="false"/>
          <w:bCs w:val="false"/>
          <w:i w:val="false"/>
          <w:iCs w:val="false"/>
          <w:color w:val="1A1A2E"/>
          <w:sz w:val="22"/>
          <w:szCs w:val="22"/>
        </w:rPr>
        <w:t xml:space="preserve"> This dimension assesses the sophistication of analytical tools, the depth of the data science talent base, and the organization's ability to deploy AI models from development into production. It distinguishes between organizations that are doing analytics (reporting on what happened), those doing advanced analytics (explaining why it happened and predicting what will happen), and those doing AI-driven optimization (automatically determining what should happen).</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Dimension 3: Digital Operations and GxP Compliance.</w:t>
      </w:r>
      <w:r>
        <w:rPr>
          <w:rFonts w:ascii="Calibri" w:cs="Calibri" w:eastAsia="Calibri" w:hAnsi="Calibri"/>
          <w:b w:val="false"/>
          <w:bCs w:val="false"/>
          <w:i w:val="false"/>
          <w:iCs w:val="false"/>
          <w:color w:val="1A1A2E"/>
          <w:sz w:val="22"/>
          <w:szCs w:val="22"/>
        </w:rPr>
        <w:t xml:space="preserve"> This dimension is unique to pharma among industry maturity frameworks. It assesses the extent to which manufacturing, quality, clinical, and regulatory operations have been digitized in a way that maintains GxP compliance — including validated systems, electronic records and signatures (21 CFR Part 11 / EU Annex 11), and audit trail completeness. An organization can be highly sophisticated in commercial analytics while remaining at Level 1 in this dimension if its manufacturing quality systems are paper-based.</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Dimension 4: Patient and Customer Centricity.</w:t>
      </w:r>
      <w:r>
        <w:rPr>
          <w:rFonts w:ascii="Calibri" w:cs="Calibri" w:eastAsia="Calibri" w:hAnsi="Calibri"/>
          <w:b w:val="false"/>
          <w:bCs w:val="false"/>
          <w:i w:val="false"/>
          <w:iCs w:val="false"/>
          <w:color w:val="1A1A2E"/>
          <w:sz w:val="22"/>
          <w:szCs w:val="22"/>
        </w:rPr>
        <w:t xml:space="preserve"> This dimension assesses the organization's digital capability in engaging with patients, healthcare providers, and payers. It covers omnichannel engagement platforms, patient support programs, real-world evidence generation from patient interactions, and the use of digital biomarkers and wearables in clinical and commercial settings.</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Dimension 5: Regulatory Digital Readiness.</w:t>
      </w:r>
      <w:r>
        <w:rPr>
          <w:rFonts w:ascii="Calibri" w:cs="Calibri" w:eastAsia="Calibri" w:hAnsi="Calibri"/>
          <w:b w:val="false"/>
          <w:bCs w:val="false"/>
          <w:i w:val="false"/>
          <w:iCs w:val="false"/>
          <w:color w:val="1A1A2E"/>
          <w:sz w:val="22"/>
          <w:szCs w:val="22"/>
        </w:rPr>
        <w:t xml:space="preserve"> This dimension assesses the organization's ability to generate, manage, and submit digital evidence to regulators. It covers eCTD (electronic Common Technical Document) capability, electronic data interchange with regulators, use of real-world evidence in regulatory submissions, and participation in regulatory digital pilot programs.</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Dimension 6: Workforce and Culture.</w:t>
      </w:r>
      <w:r>
        <w:rPr>
          <w:rFonts w:ascii="Calibri" w:cs="Calibri" w:eastAsia="Calibri" w:hAnsi="Calibri"/>
          <w:b w:val="false"/>
          <w:bCs w:val="false"/>
          <w:i w:val="false"/>
          <w:iCs w:val="false"/>
          <w:color w:val="1A1A2E"/>
          <w:sz w:val="22"/>
          <w:szCs w:val="22"/>
        </w:rPr>
        <w:t xml:space="preserve"> Digital tools without digital capability are inert. This dimension assesses the organization's digital literacy across all levels, the depth of data science and digital engineering talent, the incentive structures that reinforce data-driven decision making, and the cultural openness to algorithmic recommendations that may challenge human intuition.</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Dimension 7: Digital Ecosystem and Partnerships.</w:t>
      </w:r>
      <w:r>
        <w:rPr>
          <w:rFonts w:ascii="Calibri" w:cs="Calibri" w:eastAsia="Calibri" w:hAnsi="Calibri"/>
          <w:b w:val="false"/>
          <w:bCs w:val="false"/>
          <w:i w:val="false"/>
          <w:iCs w:val="false"/>
          <w:color w:val="1A1A2E"/>
          <w:sz w:val="22"/>
          <w:szCs w:val="22"/>
        </w:rPr>
        <w:t xml:space="preserve"> No pharma company will build all its digital capabilities internally. This dimension assesses the quality of the organization's relationships with digital health technology vendors, academic AI research centers, data consortia, patient advocacy platforms, and cloud hyperscalers — and the organization's ability to integrate external digital assets into its own operations.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2.4 Maturity Archetypes: Five Common Profiles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In applying the PDMF across the industry, five dominant maturity archetypes consistently emerge. Understanding which archetype your organization most closely resembles is the first step to designing a targeted transformation program.</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w:t>
      </w:r>
      <w:r>
        <w:rPr>
          <w:rFonts w:ascii="Calibri" w:cs="Calibri" w:eastAsia="Calibri" w:hAnsi="Calibri"/>
          <w:b/>
          <w:bCs/>
          <w:i w:val="false"/>
          <w:iCs w:val="false"/>
          <w:color w:val="1A1A2E"/>
          <w:sz w:val="22"/>
          <w:szCs w:val="22"/>
        </w:rPr>
        <w:t xml:space="preserve">Digital Laggard</w:t>
      </w:r>
      <w:r>
        <w:rPr>
          <w:rFonts w:ascii="Calibri" w:cs="Calibri" w:eastAsia="Calibri" w:hAnsi="Calibri"/>
          <w:b w:val="false"/>
          <w:bCs w:val="false"/>
          <w:i w:val="false"/>
          <w:iCs w:val="false"/>
          <w:color w:val="1A1A2E"/>
          <w:sz w:val="22"/>
          <w:szCs w:val="22"/>
        </w:rPr>
        <w:t xml:space="preserve"> (predominantly Level 1–2 across all dimensions) is typically a mid-sized generics company or a regional specialty pharma with limited IT investment history, fragmented enterprise systems, and no central digital governance. The transformation imperative for this archetype is foundational: consolidate ERP systems, move to the cloud, implement a quality management system, and establish a data governance function before attempting AI or advanced analytics.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w:t>
      </w:r>
      <w:r>
        <w:rPr>
          <w:rFonts w:ascii="Calibri" w:cs="Calibri" w:eastAsia="Calibri" w:hAnsi="Calibri"/>
          <w:b/>
          <w:bCs/>
          <w:i w:val="false"/>
          <w:iCs w:val="false"/>
          <w:color w:val="1A1A2E"/>
          <w:sz w:val="22"/>
          <w:szCs w:val="22"/>
        </w:rPr>
        <w:t xml:space="preserve">Selective Sophisticate</w:t>
      </w:r>
      <w:r>
        <w:rPr>
          <w:rFonts w:ascii="Calibri" w:cs="Calibri" w:eastAsia="Calibri" w:hAnsi="Calibri"/>
          <w:b w:val="false"/>
          <w:bCs w:val="false"/>
          <w:i w:val="false"/>
          <w:iCs w:val="false"/>
          <w:color w:val="1A1A2E"/>
          <w:sz w:val="22"/>
          <w:szCs w:val="22"/>
        </w:rPr>
        <w:t xml:space="preserve"> (Level 3–4 in one or two dimensions, Level 1–2 elsewhere) is the most common archetype among large multinationals. These organizations have often made significant digital investments in commercial or R&amp;D while leaving manufacturing or regulatory operations behind. The transformation imperative is integration and elevation: use the advanced dimensions as reference models and systematically bring the lagging dimensions up to the same level.</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w:t>
      </w:r>
      <w:r>
        <w:rPr>
          <w:rFonts w:ascii="Calibri" w:cs="Calibri" w:eastAsia="Calibri" w:hAnsi="Calibri"/>
          <w:b/>
          <w:bCs/>
          <w:i w:val="false"/>
          <w:iCs w:val="false"/>
          <w:color w:val="1A1A2E"/>
          <w:sz w:val="22"/>
          <w:szCs w:val="22"/>
        </w:rPr>
        <w:t xml:space="preserve">Compliance-Constrained Innovator</w:t>
      </w:r>
      <w:r>
        <w:rPr>
          <w:rFonts w:ascii="Calibri" w:cs="Calibri" w:eastAsia="Calibri" w:hAnsi="Calibri"/>
          <w:b w:val="false"/>
          <w:bCs w:val="false"/>
          <w:i w:val="false"/>
          <w:iCs w:val="false"/>
          <w:color w:val="1A1A2E"/>
          <w:sz w:val="22"/>
          <w:szCs w:val="22"/>
        </w:rPr>
        <w:t xml:space="preserve"> (high innovation ambition but Level 1–2 in Digital Operations / GxP compliance) is common among biotech startups and late-stage clinical-stage companies that have built sophisticated R&amp;D analytics platforms but have not yet built the validated systems infrastructure needed for commercial-scale manufacturing and regulatory submission. The transformation imperative is infrastructure scaling: building validation frameworks, 21 CFR Part 11-compliant systems, and quality data lakes before reaching commercialization.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w:t>
      </w:r>
      <w:r>
        <w:rPr>
          <w:rFonts w:ascii="Calibri" w:cs="Calibri" w:eastAsia="Calibri" w:hAnsi="Calibri"/>
          <w:b/>
          <w:bCs/>
          <w:i w:val="false"/>
          <w:iCs w:val="false"/>
          <w:color w:val="1A1A2E"/>
          <w:sz w:val="22"/>
          <w:szCs w:val="22"/>
        </w:rPr>
        <w:t xml:space="preserve">Data-Rich, Insight-Poor</w:t>
      </w:r>
      <w:r>
        <w:rPr>
          <w:rFonts w:ascii="Calibri" w:cs="Calibri" w:eastAsia="Calibri" w:hAnsi="Calibri"/>
          <w:b w:val="false"/>
          <w:bCs w:val="false"/>
          <w:i w:val="false"/>
          <w:iCs w:val="false"/>
          <w:color w:val="1A1A2E"/>
          <w:sz w:val="22"/>
          <w:szCs w:val="22"/>
        </w:rPr>
        <w:t xml:space="preserve"> organization (Level 3+ in Data Infrastructure but Level 1–2 in Analytics) has invested heavily in cloud migration and data consolidation but lacks the analytics talent, governance, and tooling to extract value from its data. This archetype is increasingly common among large multinationals that have completed their SAP S/4HANA or Veeva migrations but have not yet built the analytics and AI layer. The transformation imperative is analytics acceleration: hiring or developing data science talent, deploying analytics platforms, and establishing use-case-driven AI programs with business ownership.</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w:t>
      </w:r>
      <w:r>
        <w:rPr>
          <w:rFonts w:ascii="Calibri" w:cs="Calibri" w:eastAsia="Calibri" w:hAnsi="Calibri"/>
          <w:b/>
          <w:bCs/>
          <w:i w:val="false"/>
          <w:iCs w:val="false"/>
          <w:color w:val="1A1A2E"/>
          <w:sz w:val="22"/>
          <w:szCs w:val="22"/>
        </w:rPr>
        <w:t xml:space="preserve">Digital Leader</w:t>
      </w:r>
      <w:r>
        <w:rPr>
          <w:rFonts w:ascii="Calibri" w:cs="Calibri" w:eastAsia="Calibri" w:hAnsi="Calibri"/>
          <w:b w:val="false"/>
          <w:bCs w:val="false"/>
          <w:i w:val="false"/>
          <w:iCs w:val="false"/>
          <w:color w:val="1A1A2E"/>
          <w:sz w:val="22"/>
          <w:szCs w:val="22"/>
        </w:rPr>
        <w:t xml:space="preserve"> (Level 4–5 across most dimensions) is the archetype to which all others aspire. These organizations — a small cohort that includes Roche/Genentech, Novartis, Johnson &amp; Johnson, and a handful of digitally native biotechs — have built genuine enterprise-wide digital capability and are beginning to treat it as an external competitive moat. The transformation imperative for these organizations is continuous innovation and external platform leadership: contributing to industry data consortia, co-creating regulatory standards, and using digital capability to accelerate the next wave of scientific innovation.</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2.5 Conducting a PDMF Assessment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PDMF assessment is a structured diagnostic process that typically takes four to six weeks to complete at an enterprise level and two to three weeks for a divisional or functional assessment. The process has four phases.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first phase is </w:t>
      </w:r>
      <w:r>
        <w:rPr>
          <w:rFonts w:ascii="Calibri" w:cs="Calibri" w:eastAsia="Calibri" w:hAnsi="Calibri"/>
          <w:b/>
          <w:bCs/>
          <w:i w:val="false"/>
          <w:iCs w:val="false"/>
          <w:color w:val="1A1A2E"/>
          <w:sz w:val="22"/>
          <w:szCs w:val="22"/>
        </w:rPr>
        <w:t xml:space="preserve">stakeholder mapping and data collection</w:t>
      </w:r>
      <w:r>
        <w:rPr>
          <w:rFonts w:ascii="Calibri" w:cs="Calibri" w:eastAsia="Calibri" w:hAnsi="Calibri"/>
          <w:b w:val="false"/>
          <w:bCs w:val="false"/>
          <w:i w:val="false"/>
          <w:iCs w:val="false"/>
          <w:color w:val="1A1A2E"/>
          <w:sz w:val="22"/>
          <w:szCs w:val="22"/>
        </w:rPr>
        <w:t xml:space="preserve">: identifying the key informants in each dimension (e.g., the Chief Manufacturing Officer and Head of Quality for Dimension 3; the Chief Data Officer and data science leadership for Dimension 2) and conducting structured interviews and system reviews.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second phase is </w:t>
      </w:r>
      <w:r>
        <w:rPr>
          <w:rFonts w:ascii="Calibri" w:cs="Calibri" w:eastAsia="Calibri" w:hAnsi="Calibri"/>
          <w:b/>
          <w:bCs/>
          <w:i w:val="false"/>
          <w:iCs w:val="false"/>
          <w:color w:val="1A1A2E"/>
          <w:sz w:val="22"/>
          <w:szCs w:val="22"/>
        </w:rPr>
        <w:t xml:space="preserve">evidence scoring</w:t>
      </w:r>
      <w:r>
        <w:rPr>
          <w:rFonts w:ascii="Calibri" w:cs="Calibri" w:eastAsia="Calibri" w:hAnsi="Calibri"/>
          <w:b w:val="false"/>
          <w:bCs w:val="false"/>
          <w:i w:val="false"/>
          <w:iCs w:val="false"/>
          <w:color w:val="1A1A2E"/>
          <w:sz w:val="22"/>
          <w:szCs w:val="22"/>
        </w:rPr>
        <w:t xml:space="preserve">: rating each of the seven dimensions against the five-level criteria using a documented evidence base. The goal is not to achieve a high score but to generate an honest and defensible assessment that leadership can act 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third phase is </w:t>
      </w:r>
      <w:r>
        <w:rPr>
          <w:rFonts w:ascii="Calibri" w:cs="Calibri" w:eastAsia="Calibri" w:hAnsi="Calibri"/>
          <w:b/>
          <w:bCs/>
          <w:i w:val="false"/>
          <w:iCs w:val="false"/>
          <w:color w:val="1A1A2E"/>
          <w:sz w:val="22"/>
          <w:szCs w:val="22"/>
        </w:rPr>
        <w:t xml:space="preserve">profile synthesis</w:t>
      </w:r>
      <w:r>
        <w:rPr>
          <w:rFonts w:ascii="Calibri" w:cs="Calibri" w:eastAsia="Calibri" w:hAnsi="Calibri"/>
          <w:b w:val="false"/>
          <w:bCs w:val="false"/>
          <w:i w:val="false"/>
          <w:iCs w:val="false"/>
          <w:color w:val="1A1A2E"/>
          <w:sz w:val="22"/>
          <w:szCs w:val="22"/>
        </w:rPr>
        <w:t xml:space="preserve">: producing the maturity radar chart and identifying the three to five highest-priority gaps based on both current score and strategic importance. A company focused on launching a precision medicine in oncology will weight Dimension 1 (data infrastructure), Dimension 4 (patient centricity), and Dimension 5 (regulatory readiness) more heavily than a generics manufacturer, which will weight Dimension 3 (digital operations) and Dimension 2 (analytics for process optimization) most heavily.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fourth phase is </w:t>
      </w:r>
      <w:r>
        <w:rPr>
          <w:rFonts w:ascii="Calibri" w:cs="Calibri" w:eastAsia="Calibri" w:hAnsi="Calibri"/>
          <w:b/>
          <w:bCs/>
          <w:i w:val="false"/>
          <w:iCs w:val="false"/>
          <w:color w:val="1A1A2E"/>
          <w:sz w:val="22"/>
          <w:szCs w:val="22"/>
        </w:rPr>
        <w:t xml:space="preserve">transformation planning</w:t>
      </w:r>
      <w:r>
        <w:rPr>
          <w:rFonts w:ascii="Calibri" w:cs="Calibri" w:eastAsia="Calibri" w:hAnsi="Calibri"/>
          <w:b w:val="false"/>
          <w:bCs w:val="false"/>
          <w:i w:val="false"/>
          <w:iCs w:val="false"/>
          <w:color w:val="1A1A2E"/>
          <w:sz w:val="22"/>
          <w:szCs w:val="22"/>
        </w:rPr>
        <w:t xml:space="preserve">: translating the gap analysis into a prioritized digital transformation roadmap with defined initiatives, timelines, investment requirements, and accountable owners. Chapter 13 provides the detailed framework for this planning process.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2.6 Maturity Assessment Diagnostic: Quick Reference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table below provides a condensed diagnostic that leadership teams can use as a starting point for self-assessment before engaging in a full PDMF exercise.</w:t>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Dimension</w:t>
            </w:r>
          </w:p>
        </w:tc>
        <w:tc>
          <w:tcPr>
            <w:tcW w:type="dxa" w:w="234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Level 1 Indicator</w:t>
            </w:r>
          </w:p>
        </w:tc>
        <w:tc>
          <w:tcPr>
            <w:tcW w:type="dxa" w:w="234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Level 3 Indicator</w:t>
            </w:r>
          </w:p>
        </w:tc>
        <w:tc>
          <w:tcPr>
            <w:tcW w:type="dxa" w:w="234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Level 5 Indicator</w:t>
            </w:r>
          </w:p>
        </w:tc>
      </w:tr>
      <w:tr>
        <w:trPr>
          <w:tblHeader w:val="false"/>
        </w:trPr>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Data Infrastructure</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Siloed on-prem databases; no data catalog</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Unified cloud data lake; active data governance council</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Federated data mesh; FAIR principles; real-time data fabric</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Analytics &amp;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Excel reports; no data science team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BI platform deployed; AI pilots active in 2+ domains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AI embedded in core processes; automated model lifecycle</w:t>
            </w:r>
          </w:p>
        </w:tc>
      </w:tr>
      <w:tr>
        <w:trPr>
          <w:tblHeader w:val="false"/>
        </w:trPr>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Digital Operations / GxP</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Paper batch records; manual deviation management</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Electronic QMS; validated systems for core GxP processes</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Digital twin of manufacturing; real-time release testing</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Patient &amp; Customer Centricity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Rep-only engagement; no digital channels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Omnichannel platform; patient support apps deployed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AI-driven personalized engagement; digital biomarker integration</w:t>
            </w:r>
          </w:p>
        </w:tc>
      </w:tr>
      <w:tr>
        <w:trPr>
          <w:tblHeader w:val="false"/>
        </w:trPr>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Regulatory Digital Readiness</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Paper submissions; no real-world data program</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eCTD submissions; RWE strategy in development</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Real-world data driving label expansions; regulatory sandbox participation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Workforce &amp; Culture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No digital literacy programs; IT as support function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Digital academy launched; data literacy KPIs in place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AI-augmented decision making normalized; digital-native talent majority</w:t>
            </w:r>
          </w:p>
        </w:tc>
      </w:tr>
      <w:tr>
        <w:trPr>
          <w:tblHeader w:val="false"/>
        </w:trPr>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Digital Ecosystem</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Vendor-managed individual tools; no partnerships</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2–3 strategic digital health partnerships; cloud hyperscaler contract</w:t>
            </w:r>
          </w:p>
        </w:tc>
        <w:tc>
          <w:tcPr>
            <w:tcW w:type="dxa" w:w="234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18"/>
                <w:szCs w:val="18"/>
              </w:rPr>
              <w:t xml:space="preserve">Active participant in industry data consortia; regulatory co-creation</w:t>
            </w:r>
          </w:p>
        </w:tc>
      </w:tr>
    </w:tbl>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EEF2F7" w:val="clear"/>
            <w:tcMar>
              <w:top w:type="dxa" w:w="160"/>
              <w:left w:type="dxa" w:w="200"/>
              <w:bottom w:type="dxa" w:w="160"/>
              <w:right w:type="dxa" w:w="200"/>
            </w:tcMar>
          </w:tcPr>
          <w:p>
            <w:pPr>
              <w:spacing w:before="0" w:after="80"/>
            </w:pPr>
            <w:r>
              <w:rPr>
                <w:rFonts w:ascii="Calibri" w:cs="Calibri" w:eastAsia="Calibri" w:hAnsi="Calibri"/>
                <w:b/>
                <w:bCs/>
                <w:caps/>
                <w:color w:val="0D2B55"/>
                <w:sz w:val="18"/>
                <w:szCs w:val="18"/>
              </w:rPr>
              <w:t xml:space="preserve">REGIONAL SPOTLIGHT: REGIONAL SPOTLIGHT: MATURITY VARIATIONS ACROSS GEOGRAPHIES</w:t>
            </w:r>
          </w:p>
          <w:p>
            <w:pPr>
              <w:spacing w:before="0" w:after="0"/>
              <w:jc w:val="both"/>
            </w:pPr>
            <w:r>
              <w:rPr>
                <w:rFonts w:ascii="Calibri" w:cs="Calibri" w:eastAsia="Calibri" w:hAnsi="Calibri"/>
                <w:color w:val="1A1A2E"/>
                <w:sz w:val="20"/>
                <w:szCs w:val="20"/>
              </w:rPr>
              <w:t xml:space="preserve">Applying the PDMF across geographies reveals distinct regional patterns that transformation leaders must account for in their planning. In the United States, maturity is highest in commercial and clinical dimensions, with large multinationals scoring Level 3–4 in analytics and patient centricity but often remaining at Level 2 in manufacturing digital operations — reflecting decades of underinvestment in factory-floor digitalization relative to front-office transformation. In the European Union, regulatory digital readiness is a relative strength, driven by the EMA's progressive adoption of digital evidence standards and the GDPR-driven investment in data governance. However, workforce digital culture and ecosystem partnership maturity are often lower than in the US, reflecting more conservative organizational cultures and more fragmented digital health startup ecosystems outside the UK and Germany. In India, the most striking pattern is the coexistence of exceptional software engineering talent with legacy manufacturing and quality infrastructure. Indian pharma companies frequently score Level 4–5 in data engineering capability (thanks to the deep IT talent pool) while scoring Level 1–2 in validated digital operations (because manufacturing sites have not yet received the investment to implement electronic batch records and PAT). Bridging this gap — leveraging India's IT capability to modernize its manufacturing digital operations — is one of the most significant near-term digital transformation opportunities in global pharma.</w:t>
            </w:r>
          </w:p>
        </w:tc>
      </w:tr>
    </w:tbl>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0"/>
      </w:pPr>
      <w:r>
        <w:br w:type="page"/>
      </w:r>
    </w:p>
    <w:p>
      <w:pPr>
        <w:pStyle w:val="Heading1"/>
        <w:pBdr>
          <w:bottom w:val="single" w:color="C9A84C" w:sz="6" w:space="4"/>
        </w:pBdr>
        <w:shd w:fill="0D2B55" w:val="clear"/>
        <w:spacing w:before="480" w:after="240"/>
        <w:ind w:left="200" w:right="200"/>
      </w:pPr>
      <w:r>
        <w:rPr>
          <w:rFonts w:ascii="Calibri" w:cs="Calibri" w:eastAsia="Calibri" w:hAnsi="Calibri"/>
          <w:b/>
          <w:bCs/>
          <w:caps/>
          <w:color w:val="FFFFFF"/>
          <w:sz w:val="36"/>
          <w:szCs w:val="36"/>
        </w:rPr>
        <w:t xml:space="preserve">Chapter 3: Transformation Governance &amp; Operating Model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F0E8" w:val="clear"/>
            <w:tcMar>
              <w:top w:type="dxa" w:w="160"/>
              <w:left w:type="dxa" w:w="200"/>
              <w:bottom w:type="dxa" w:w="160"/>
              <w:right w:type="dxa" w:w="200"/>
            </w:tcMar>
          </w:tcPr>
          <w:p>
            <w:pPr>
              <w:spacing w:before="0" w:after="80"/>
            </w:pPr>
            <w:r>
              <w:rPr>
                <w:rFonts w:ascii="Calibri" w:cs="Calibri" w:eastAsia="Calibri" w:hAnsi="Calibri"/>
                <w:b/>
                <w:bCs/>
                <w:caps/>
                <w:color w:val="C9A84C"/>
                <w:sz w:val="18"/>
                <w:szCs w:val="18"/>
              </w:rPr>
              <w:t xml:space="preserve">EXECUTIVE SUMMARY</w:t>
            </w:r>
          </w:p>
          <w:p>
            <w:pPr>
              <w:spacing w:before="0" w:after="0"/>
              <w:jc w:val="both"/>
            </w:pPr>
            <w:r>
              <w:rPr>
                <w:rFonts w:ascii="Calibri" w:cs="Calibri" w:eastAsia="Calibri" w:hAnsi="Calibri"/>
                <w:i/>
                <w:iCs/>
                <w:color w:val="1A1A2E"/>
                <w:sz w:val="20"/>
                <w:szCs w:val="20"/>
              </w:rPr>
              <w:t xml:space="preserve">Digital transformations fail more often because of governance deficits than technology failures. This chapter establishes the governance architecture — structures, roles, decision rights, and operating rhythms — that pharma organizations need to drive, sustain, and scale digital transformation. It addresses the unique governance challenges of the pharmaceutical context: the need to balance innovation speed with GxP compliance, to align digital investment with portfolio strategy, and to build enterprise digital capability without replicating the organizational silos that digital transformation is meant to dissolve. A robust governance model is not bureaucracy; it is the connective tissue that turns individual digital initiatives into enterprise transformation.</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3.1 The Governance Gap: Why Digital Transformations Stall</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Industry research consistently shows that the primary cause of digital transformation stall is not technology selection, not implementation complexity, and not cost overrun — it is governance failure. The pattern is recognizable: a pharma company announces an ambitious digital strategy, deploys a significant initial investment, launches a wave of pilots, and then watches as those pilots succeed individually but fail to scale. The pilots live in PowerPoint presentations long after their value has been demonstrated. The data team and the business team argue about data ownership. The IT function and the digital function fight over architecture standards. The Chief Digital Officer has accountability without authority. The transformation loses momentum, leadership attention moves on, and within eighteen months the organization is back to asking why digital is not delivering results.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root cause of this pattern is almost always the same: the organization has launched a digital transformation without designing a governance model that clearly defines who decides what, who owns what, who funds what, and how the entire enterprise aligns around a shared digital agenda. Governance design is not a secondary concern — it is the primary enabler of everything that follows.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3.2 The Pharma Digital Governance Architecture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Effective digital governance in pharma operates across three levels: strategic, operational, and execution. These three levels must be explicitly designed, staffed, and connected to function as an integrated system rather than three separate layers of meetings.</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Strategic Level: The Digital Leadership Council</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Digital Leadership Council (DLC) is the apex governance body for the digital transformation program. It is chaired by the CEO or COO and includes the Chief Digital Officer (or equivalent), the Chief Information Officer, the Chief Scientific Officer, the Chief Medical Officer, the Chief Manufacturing Officer, the Chief Commercial Officer, the Chief Financial Officer, and the Chief People Officer. The composition reflects a critical design principle: digital governance must be owned by business leaders, not delegated to technology functions.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DLC meets monthly and fulfills four functions. It approves and periodically revalidates the enterprise digital strategy. It allocates digital investment across the portfolio based on business value and strategic priority. It monitors transformation progress against a dashboard of leading and lagging indicators. And it resolves cross-functional conflicts and escalated decisions that cannot be resolved at the operational level.</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DLC should not manage the day-to-day transformation program; that is the function of the operational level. What it must do is provide visible, consistent executive sponsorship — without which no transformation program will sustain organizational energy through the inevitable setbacks of a multi-year journey.</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Operational Level: The Digital Transformation Office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Digital Transformation Office (DTO) is the program management and capability-building hub of the transformation. It is led by the Chief Digital Officer (or Chief Data and Digital Officer, or equivalent) and staffed by a team of transformation leads, digital architects, data officers, change management specialists, and business relationship managers. The DTO is typically a relatively small team — 15 to 40 people depending on company size — but it operates as an enterprise function that works across all business units and functions, not as a silo.</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DTO's core responsibilities are strategic portfolio management (maintaining the pipeline of digital initiatives, ensuring they are sequenced and resourced appropriately), architecture governance (ensuring that individual digital investments conform to the enterprise technology architecture and data standards), talent and capability development (running the digital academy, managing digital talent pipelines, and building the internal community of practice), and reporting and transparency (maintaining the transformation dashboard that the DLC uses to track progress).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DTO does not build everything. It establishes standards, selects platforms, and builds reusable components — then enables business-embedded digital teams to use them. This distinction between DTO-led platform capability and business-led solution delivery is the key to avoiding the two failure modes that commonly afflict transformation programs: the centralized model (where IT builds everything slowly and without business context) and the decentralized model (where every business unit builds its own solution and the enterprise ends up with 47 incompatible data platforms).</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Execution Level: Digital Embedded Teams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In each major function — R&amp;D, clinical operations, manufacturing, commercial, regulatory — a Digital Lead (or Digital Business Partner) sits embedded in the business leadership team. This person is not an IT generalist; they are a domain expert in the function's operations who also has digital and data fluency. Their role is to identify, prioritize, and sponsor digital use cases within their function; to ensure that digital investments in their domain align with the DTO's architecture standards; and to serve as the bridge between business needs and digital solutions.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embedded Digital Leads form a cross-functional Digital Council at the operational level, convening biweekly to share progress, resolve integration challenges, and coordinate initiatives that cross functional boundaries. This council is the primary mechanism for preventing the re-siloing of digital capability — ensuring that a manufacturing AI initiative and a clinical data platform initiative are being built on compatible data models and integration standards.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3.3 Decision Rights Architecture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One of the most common sources of governance friction is ambiguity about decision rights — specifically, who has the right to make which decisions in the digital domain. In pharma, this ambiguity is particularly acute because digital decisions intersect with quality obligations (requiring sign-off from Quality and Regulatory Affairs), scientific strategy (requiring engagement from R&amp;D leadership), and commercial priorities (which are often the most urgent but not always the most strategically important).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 clear decision rights architecture maps decisions against the RACI framework (Responsible, Accountable, Consulted, Informed) across four decision categories.</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Strategic decisions</w:t>
      </w:r>
      <w:r>
        <w:rPr>
          <w:rFonts w:ascii="Calibri" w:cs="Calibri" w:eastAsia="Calibri" w:hAnsi="Calibri"/>
          <w:b w:val="false"/>
          <w:bCs w:val="false"/>
          <w:i w:val="false"/>
          <w:iCs w:val="false"/>
          <w:color w:val="1A1A2E"/>
          <w:sz w:val="22"/>
          <w:szCs w:val="22"/>
        </w:rPr>
        <w:t xml:space="preserve"> — enterprise digital architecture selection, major platform investments above a defined threshold, digital operating model changes, and enterprise data governance policies — are Accountable to the DLC, Responsible to the CDO/DTO, and Consulted with relevant business unit leaders.</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Investment decisions</w:t>
      </w:r>
      <w:r>
        <w:rPr>
          <w:rFonts w:ascii="Calibri" w:cs="Calibri" w:eastAsia="Calibri" w:hAnsi="Calibri"/>
          <w:b w:val="false"/>
          <w:bCs w:val="false"/>
          <w:i w:val="false"/>
          <w:iCs w:val="false"/>
          <w:color w:val="1A1A2E"/>
          <w:sz w:val="22"/>
          <w:szCs w:val="22"/>
        </w:rPr>
        <w:t xml:space="preserve"> — prioritization of use cases within a function, allocation of digital resources at the program level, and build-versus-buy-versus-partner choices within the approved architecture — are Accountable to the DLC for investments above threshold, Accountable to functional leadership for investments below threshold, and Responsible to the DTO.</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Architecture and standards decisions</w:t>
      </w:r>
      <w:r>
        <w:rPr>
          <w:rFonts w:ascii="Calibri" w:cs="Calibri" w:eastAsia="Calibri" w:hAnsi="Calibri"/>
          <w:b w:val="false"/>
          <w:bCs w:val="false"/>
          <w:i w:val="false"/>
          <w:iCs w:val="false"/>
          <w:color w:val="1A1A2E"/>
          <w:sz w:val="22"/>
          <w:szCs w:val="22"/>
        </w:rPr>
        <w:t xml:space="preserve"> — selection of specific technologies, data standards, integration patterns, and validation frameworks — are Accountable to the CDO/DTO and Responsible to the digital architecture team, with Quality and Regulatory Affairs Consulted for GxP-impacted decisions.</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Operational decisions</w:t>
      </w:r>
      <w:r>
        <w:rPr>
          <w:rFonts w:ascii="Calibri" w:cs="Calibri" w:eastAsia="Calibri" w:hAnsi="Calibri"/>
          <w:b w:val="false"/>
          <w:bCs w:val="false"/>
          <w:i w:val="false"/>
          <w:iCs w:val="false"/>
          <w:color w:val="1A1A2E"/>
          <w:sz w:val="22"/>
          <w:szCs w:val="22"/>
        </w:rPr>
        <w:t xml:space="preserve"> — day-to-day prioritization within an approved program, sprint planning, user acceptance testing decisions, and model deployment decisions — are Accountable to the embedded Digital Lead in partnership with the business owner, with the DTO Informed.</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3.4 Funding and Investment Architecture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question of how digital transformation is funded is not merely a finance question — it is a governance question. The funding model determines incentives, accountability, and the ability to pursue cross-functional initiatives that do not naturally belong to any single budget owner.</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Pharmaceutical companies have tried three broad funding models for digital transformation, each with distinct strengths and weaknesses.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w:t>
      </w:r>
      <w:r>
        <w:rPr>
          <w:rFonts w:ascii="Calibri" w:cs="Calibri" w:eastAsia="Calibri" w:hAnsi="Calibri"/>
          <w:b/>
          <w:bCs/>
          <w:i w:val="false"/>
          <w:iCs w:val="false"/>
          <w:color w:val="1A1A2E"/>
          <w:sz w:val="22"/>
          <w:szCs w:val="22"/>
        </w:rPr>
        <w:t xml:space="preserve">centralized model</w:t>
      </w:r>
      <w:r>
        <w:rPr>
          <w:rFonts w:ascii="Calibri" w:cs="Calibri" w:eastAsia="Calibri" w:hAnsi="Calibri"/>
          <w:b w:val="false"/>
          <w:bCs w:val="false"/>
          <w:i w:val="false"/>
          <w:iCs w:val="false"/>
          <w:color w:val="1A1A2E"/>
          <w:sz w:val="22"/>
          <w:szCs w:val="22"/>
        </w:rPr>
        <w:t xml:space="preserve"> funds all digital transformation through a central IT or digital budget, with business units receiving digital services as shared infrastructure. This model is excellent for driving architectural coherence and avoiding redundant investment but consistently generates the complaint that digital does not understand business needs and moves too slowly to respond to them.</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w:t>
      </w:r>
      <w:r>
        <w:rPr>
          <w:rFonts w:ascii="Calibri" w:cs="Calibri" w:eastAsia="Calibri" w:hAnsi="Calibri"/>
          <w:b/>
          <w:bCs/>
          <w:i w:val="false"/>
          <w:iCs w:val="false"/>
          <w:color w:val="1A1A2E"/>
          <w:sz w:val="22"/>
          <w:szCs w:val="22"/>
        </w:rPr>
        <w:t xml:space="preserve">decentralized model</w:t>
      </w:r>
      <w:r>
        <w:rPr>
          <w:rFonts w:ascii="Calibri" w:cs="Calibri" w:eastAsia="Calibri" w:hAnsi="Calibri"/>
          <w:b w:val="false"/>
          <w:bCs w:val="false"/>
          <w:i w:val="false"/>
          <w:iCs w:val="false"/>
          <w:color w:val="1A1A2E"/>
          <w:sz w:val="22"/>
          <w:szCs w:val="22"/>
        </w:rPr>
        <w:t xml:space="preserve"> pushes digital investment budgets to individual business units, which fund their own digital teams and programs. This model generates high business engagement and fast local decision-making but almost always results in architectural fragmentation and duplicated investment — every commercial market building its own CRM customization, every manufacturing site acquiring different sensor platforms, and the enterprise ending up with an integration nightmare.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w:t>
      </w:r>
      <w:r>
        <w:rPr>
          <w:rFonts w:ascii="Calibri" w:cs="Calibri" w:eastAsia="Calibri" w:hAnsi="Calibri"/>
          <w:b/>
          <w:bCs/>
          <w:i w:val="false"/>
          <w:iCs w:val="false"/>
          <w:color w:val="1A1A2E"/>
          <w:sz w:val="22"/>
          <w:szCs w:val="22"/>
        </w:rPr>
        <w:t xml:space="preserve">federated model</w:t>
      </w:r>
      <w:r>
        <w:rPr>
          <w:rFonts w:ascii="Calibri" w:cs="Calibri" w:eastAsia="Calibri" w:hAnsi="Calibri"/>
          <w:b w:val="false"/>
          <w:bCs w:val="false"/>
          <w:i w:val="false"/>
          <w:iCs w:val="false"/>
          <w:color w:val="1A1A2E"/>
          <w:sz w:val="22"/>
          <w:szCs w:val="22"/>
        </w:rPr>
        <w:t xml:space="preserve"> combines central platform investment (funded through a central budget controlled by the CDO) with business-unit digital investment (funded through individual business budgets for use-case development on top of the central platform). This model requires discipline and negotiation to maintain but is the most effective architecture for enterprises above a certain scale. The central budget funds the data platform, the integration layer, the AI/ML infrastructure, and the enterprise standards. Business unit budgets fund the use cases, the change management, and the business-domain-specific tools.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Most large pharma companies that have achieved Level 3+ maturity on the PDMF have adopted a federated model, though the precise balance between central and distributed investment varies significantly based on organizational structure and culture. A highly decentralized company like Johnson &amp; Johnson will run a more distributed model than a highly centralized company like Roche.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3.5 The Digital Operating Model</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governance structures described above are the skeleton. The digital operating model is the musculature — the ways of working, decision cycles, and delivery methodologies that bring the skeleton to life.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Effective pharma digital operating models are characterized by four features. The first is </w:t>
      </w:r>
      <w:r>
        <w:rPr>
          <w:rFonts w:ascii="Calibri" w:cs="Calibri" w:eastAsia="Calibri" w:hAnsi="Calibri"/>
          <w:b/>
          <w:bCs/>
          <w:i w:val="false"/>
          <w:iCs w:val="false"/>
          <w:color w:val="1A1A2E"/>
          <w:sz w:val="22"/>
          <w:szCs w:val="22"/>
        </w:rPr>
        <w:t xml:space="preserve">hybrid agile delivery</w:t>
      </w:r>
      <w:r>
        <w:rPr>
          <w:rFonts w:ascii="Calibri" w:cs="Calibri" w:eastAsia="Calibri" w:hAnsi="Calibri"/>
          <w:b w:val="false"/>
          <w:bCs w:val="false"/>
          <w:i w:val="false"/>
          <w:iCs w:val="false"/>
          <w:color w:val="1A1A2E"/>
          <w:sz w:val="22"/>
          <w:szCs w:val="22"/>
        </w:rPr>
        <w:t xml:space="preserve">: digital initiatives are delivered using agile methodologies (sprint-based delivery, product ownership, iterative user testing) adapted for the pharma context, which adds validation requirements, change control processes, and regulatory documentation to the sprint workflow. The adaptation is non-trivial but well-understood — numerous pharma companies have developed validated agile frameworks that satisfy both GxP requirements and modern delivery speed expectations.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second is </w:t>
      </w:r>
      <w:r>
        <w:rPr>
          <w:rFonts w:ascii="Calibri" w:cs="Calibri" w:eastAsia="Calibri" w:hAnsi="Calibri"/>
          <w:b/>
          <w:bCs/>
          <w:i w:val="false"/>
          <w:iCs w:val="false"/>
          <w:color w:val="1A1A2E"/>
          <w:sz w:val="22"/>
          <w:szCs w:val="22"/>
        </w:rPr>
        <w:t xml:space="preserve">platform thinking</w:t>
      </w:r>
      <w:r>
        <w:rPr>
          <w:rFonts w:ascii="Calibri" w:cs="Calibri" w:eastAsia="Calibri" w:hAnsi="Calibri"/>
          <w:b w:val="false"/>
          <w:bCs w:val="false"/>
          <w:i w:val="false"/>
          <w:iCs w:val="false"/>
          <w:color w:val="1A1A2E"/>
          <w:sz w:val="22"/>
          <w:szCs w:val="22"/>
        </w:rPr>
        <w:t xml:space="preserve">: rather than treating each digital initiative as a standalone project, the operating model builds reusable platforms (data platforms, AI/ML infrastructure, integration platforms, digital engagement platforms) on which multiple use cases can be rapidly developed and deployed. This shift from project thinking to product and platform thinking is one of the most culturally significant transformations the operating model must drive.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third is </w:t>
      </w:r>
      <w:r>
        <w:rPr>
          <w:rFonts w:ascii="Calibri" w:cs="Calibri" w:eastAsia="Calibri" w:hAnsi="Calibri"/>
          <w:b/>
          <w:bCs/>
          <w:i w:val="false"/>
          <w:iCs w:val="false"/>
          <w:color w:val="1A1A2E"/>
          <w:sz w:val="22"/>
          <w:szCs w:val="22"/>
        </w:rPr>
        <w:t xml:space="preserve">outcome-based performance management</w:t>
      </w:r>
      <w:r>
        <w:rPr>
          <w:rFonts w:ascii="Calibri" w:cs="Calibri" w:eastAsia="Calibri" w:hAnsi="Calibri"/>
          <w:b w:val="false"/>
          <w:bCs w:val="false"/>
          <w:i w:val="false"/>
          <w:iCs w:val="false"/>
          <w:color w:val="1A1A2E"/>
          <w:sz w:val="22"/>
          <w:szCs w:val="22"/>
        </w:rPr>
        <w:t xml:space="preserve">: digital investments are tracked against business outcomes (reduction in batch cycle time, increase in clinical trial recruitment rate, improvement in field force call quality) rather than technology delivery milestones (system go-live, number of users onboarded). This shift prevents the pathology of digital programs that "deliver" systems but never demonstrate business value.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fourth is </w:t>
      </w:r>
      <w:r>
        <w:rPr>
          <w:rFonts w:ascii="Calibri" w:cs="Calibri" w:eastAsia="Calibri" w:hAnsi="Calibri"/>
          <w:b/>
          <w:bCs/>
          <w:i w:val="false"/>
          <w:iCs w:val="false"/>
          <w:color w:val="1A1A2E"/>
          <w:sz w:val="22"/>
          <w:szCs w:val="22"/>
        </w:rPr>
        <w:t xml:space="preserve">continuous learning and adaptation</w:t>
      </w:r>
      <w:r>
        <w:rPr>
          <w:rFonts w:ascii="Calibri" w:cs="Calibri" w:eastAsia="Calibri" w:hAnsi="Calibri"/>
          <w:b w:val="false"/>
          <w:bCs w:val="false"/>
          <w:i w:val="false"/>
          <w:iCs w:val="false"/>
          <w:color w:val="1A1A2E"/>
          <w:sz w:val="22"/>
          <w:szCs w:val="22"/>
        </w:rPr>
        <w:t xml:space="preserve">: the operating model includes explicit mechanisms for capturing what is working and what is not across the transformation portfolio, sharing insights across functions and geographies, and adjusting the strategy and portfolio in response to evidence. This is not natural to most pharma organizations, which have planning cycles measured in years and a cultural discomfort with the admission that a prior plan needs revision.</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3.6 Change Management and the Human Dimension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No governance structure works without the people operating within it being willing and able to change how they work. The human dimension of digital transformation deserves its own chapter (Chapter 13 addresses it fully in the context of the transformation roadmap), but several governance-level principles are worth establishing here.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Leadership alignment is the irreducible prerequisite. If the C-suite does not visibly and consistently model digital decision-making — if the CEO makes key portfolio decisions based on gut instinct while the analytics team's recommendations sit unread in a dashboard — the transformation will not move beyond the pilot stage regardless of how sophisticated the governance structures on paper may be.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Change management must be built into the governance architecture rather than treated as a parallel stream that runs alongside the technology program. Each digital initiative in the portfolio should have an explicitly designated change champion — a business leader who is personally invested in the adoption of the new capability and is accountable for measuring and reporting user adoption alongside the technical delivery team.</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3.7 GxP Governance in the Digital Context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Pharma digital governance has a dimension that has no equivalent in any other industry: the requirement to maintain GxP compliance as systems evolve. This creates a governance challenge that is sometimes used as an excuse to slow or block digital transformation — "we can't move to cloud AI because we don't know how to validate it" — but that properly understood should accelerate digital transformation by providing a framework for sustainable change.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key principle is that GxP governance and digital transformation governance must be integrated, not sequential. It is a common mistake to run digital transformation as a technology program and then hand the outputs to Quality for validation after the fact — an approach that routinely produces systems that need to be substantially redesigned to pass validation, with all the cost and delay that implies. The correct model is to embed quality risk management and computer system validation (CSV) planning into the digital program from the outset, with a dedicated GxP Digital Validation function within the DTO that provides validation expertise as a service to business-embedded digital teams.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emergence of risk-based Computer System Validation (CSV), now articulated in GAMP5 Second Edition (2022), and the FDA's guidance on computer software assurance (CSA) have reduced the validation burden for lower-risk digital systems while maintaining appropriate rigor for critical GxP applications. A mature pharma digital governance model leverages these frameworks to enable faster digital deployment without compromising quality and regulatory integrity.</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3.8 Questions for the Board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board's governance oversight role requires clarity on who owns digital transformation, how it is resourced, and how performance is being measured. Leadership should be able to articulate clearly the organizational model and reporting structure for the CDO and DTO; the total annual investment in digital transformation and its expected business returns; how the organization is managing the intersection of digital innovation speed and GxP validation requirements; and what the top three governance risks to the transformation program currently are and how they are being mitigated.</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EEF2F7" w:val="clear"/>
            <w:tcMar>
              <w:top w:type="dxa" w:w="160"/>
              <w:left w:type="dxa" w:w="200"/>
              <w:bottom w:type="dxa" w:w="160"/>
              <w:right w:type="dxa" w:w="200"/>
            </w:tcMar>
          </w:tcPr>
          <w:p>
            <w:pPr>
              <w:spacing w:before="0" w:after="80"/>
            </w:pPr>
            <w:r>
              <w:rPr>
                <w:rFonts w:ascii="Calibri" w:cs="Calibri" w:eastAsia="Calibri" w:hAnsi="Calibri"/>
                <w:b/>
                <w:bCs/>
                <w:caps/>
                <w:color w:val="0D2B55"/>
                <w:sz w:val="18"/>
                <w:szCs w:val="18"/>
              </w:rPr>
              <w:t xml:space="preserve">REGIONAL SPOTLIGHT: REGIONAL SPOTLIGHT: GOVERNANCE ADAPTATIONS ACROSS MARKETS</w:t>
            </w:r>
          </w:p>
          <w:p>
            <w:pPr>
              <w:spacing w:before="0" w:after="0"/>
              <w:jc w:val="both"/>
            </w:pPr>
            <w:r>
              <w:rPr>
                <w:rFonts w:ascii="Calibri" w:cs="Calibri" w:eastAsia="Calibri" w:hAnsi="Calibri"/>
                <w:color w:val="1A1A2E"/>
                <w:sz w:val="20"/>
                <w:szCs w:val="20"/>
              </w:rPr>
              <w:t xml:space="preserve">In the **United States**, pharma digital governance tends to be most advanced in large multinationals, driven by the pressure of quarterly earnings reporting and the FDA's increasingly explicit expectations around digital quality systems. The challenge in the US context is the gap between the governance sophistication of large multinationals and the governance immaturity of the mid-tier specialty pharma companies that represent the bulk of the sector by count. US mid-tier pharma companies often have no CDO, no enterprise data governance, and digital programs managed entirely within individual functions with no cross-functional coordination. In the **European Union**, governance models are shaped by the dual requirements of GDPR (which mandates explicit data governance for personal data) and EMA's evolving expectations around digital evidence. European pharma companies tend to have stronger formal governance structures — data protection officers are legally mandated — but these structures are often compliance-focused rather than value-creation-focused. The transformation challenge is to evolve from compliance-driven governance to innovation-enabling governance without creating regulatory risk. In **India**, governance for digital transformation in pharma is an emerging practice. Most Indian pharma companies have CIOs but not CDOs. Digital governance structures where they exist are often nested within IT rather than positioned as enterprise business functions. As Indian pharma companies increase their digital ambition — driven by competition for global manufacturing contracts that increasingly require digital quality standards — the governance maturity gap is becoming a strategic liability that the most forward-thinking companies are beginning to address.</w:t>
            </w:r>
          </w:p>
        </w:tc>
      </w:tr>
    </w:tbl>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0"/>
      </w:pPr>
      <w:r>
        <w:br w:type="page"/>
      </w:r>
    </w:p>
    <w:p>
      <w:pPr>
        <w:pStyle w:val="Heading1"/>
        <w:pBdr>
          <w:bottom w:val="single" w:color="C9A84C" w:sz="6" w:space="4"/>
        </w:pBdr>
        <w:shd w:fill="0D2B55" w:val="clear"/>
        <w:spacing w:before="480" w:after="240"/>
        <w:ind w:left="200" w:right="200"/>
      </w:pPr>
      <w:r>
        <w:rPr>
          <w:rFonts w:ascii="Calibri" w:cs="Calibri" w:eastAsia="Calibri" w:hAnsi="Calibri"/>
          <w:b/>
          <w:bCs/>
          <w:caps/>
          <w:color w:val="FFFFFF"/>
          <w:sz w:val="36"/>
          <w:szCs w:val="36"/>
        </w:rPr>
        <w:t xml:space="preserve">Chapter 4: R&amp;D &amp; Drug Discovery — Digital Transformation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F0E8" w:val="clear"/>
            <w:tcMar>
              <w:top w:type="dxa" w:w="160"/>
              <w:left w:type="dxa" w:w="200"/>
              <w:bottom w:type="dxa" w:w="160"/>
              <w:right w:type="dxa" w:w="200"/>
            </w:tcMar>
          </w:tcPr>
          <w:p>
            <w:pPr>
              <w:spacing w:before="0" w:after="80"/>
            </w:pPr>
            <w:r>
              <w:rPr>
                <w:rFonts w:ascii="Calibri" w:cs="Calibri" w:eastAsia="Calibri" w:hAnsi="Calibri"/>
                <w:b/>
                <w:bCs/>
                <w:caps/>
                <w:color w:val="C9A84C"/>
                <w:sz w:val="18"/>
                <w:szCs w:val="18"/>
              </w:rPr>
              <w:t xml:space="preserve">EXECUTIVE SUMMARY</w:t>
            </w:r>
          </w:p>
          <w:p>
            <w:pPr>
              <w:spacing w:before="0" w:after="0"/>
              <w:jc w:val="both"/>
            </w:pPr>
            <w:r>
              <w:rPr>
                <w:rFonts w:ascii="Calibri" w:cs="Calibri" w:eastAsia="Calibri" w:hAnsi="Calibri"/>
                <w:i/>
                <w:iCs/>
                <w:color w:val="1A1A2E"/>
                <w:sz w:val="20"/>
                <w:szCs w:val="20"/>
              </w:rPr>
              <w:t xml:space="preserve">Drug discovery is being fundamentally reimagined. What was once a largely artisanal process — scientists following intuition through years of iterative hypothesis testing — is evolving into a data-intensive, AI-augmented discipline where computational models, biological datasets, and automated laboratories collaborate at a pace and scale no human team could match alone. This chapter explores the digital transformation of pharmaceutical R&amp;D across the full discovery continuum: target identification, hit-to-lead, lead optimization, preclinical development, and the early translational science that bridges discovery to clinical programs. It examines the technologies, the organizational models, the case studies, and the governance considerations that define a digitally transformed R&amp;D engine — and offers a clear-eyed assessment of where AI hype ends and genuine, deployable value begins.</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4.1 The Discovery Productivity Crisis — and Digital's Response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productivity of pharmaceutical R&amp;D has declined measurably over decades. Eroom's Law — the empirical observation that the number of new drugs approved per billion dollars of R&amp;D spending has halved roughly every nine years — captures a trend that has held remarkably steady despite technological waves from combinatorial chemistry to high-throughput screening to genomics. The cost of discovering and developing a new molecular entity now exceeds USD 2.6 billion on a capitalized basis, with most of that cost driven by late-stage clinical failures that could in principle have been predicted earlier in the development process.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digital response to this productivity crisis is attacking it at multiple points simultaneously. AI-driven target identification aims to find better biological targets — ones more causally linked to disease — before expensive clinical investment begins. Generative AI for molecular design explores chemical space orders of magnitude more efficiently than traditional medicinal chemistry. Digital laboratory automation reduces the cycle time and cost of experimental validation. Integrated data platforms eliminate the information silos that cause organizations to rediscover what they already know. And computational toxicology and ADME (absorption, distribution, metabolism, excretion) prediction reduces the attrition from safety and pharmacokinetic failures that has historically consumed a large fraction of preclinical and early clinical budgets.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None of these technologies is a silver bullet. But deployed systematically, as parts of an integrated digital R&amp;D capability rather than as isolated pilots, they are demonstrating the ability to meaningfully compress the discovery timeline, improve the quality of molecules entering clinical development, and reduce the cost of early R&amp;D.</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4.2 Target Identification and Validation: AI at the Frontier</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identification of a druggable biological target is the single highest-leverage decision in the drug discovery process. If the target is wrong — if the protein, pathway, or gene being modulated is not causally linked to the disease in humans — then no amount of excellent chemistry or clinical execution will save the program. It is estimated that 50 to 60 percent of late-stage clinical failures are attributable to insufficient target validation: the biology was not as well understood as it appeared to be from preclinical models.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AI is changing target identification in several important ways. Large-scale integration of multi-omics data — genomics, transcriptomics, proteomics, metabolomics — with clinical outcome data from biobanks and electronic health records is enabling computational identification of target-disease associations that would not emerge from any single data type in isolation. Causal AI approaches that go beyond correlation to identify the directionality and strength of biological relationships are improving the confidence with which targets can be prioritized. And network biology models that map the connectivity of biological pathways are enabling the identification of targets whose modulation will have the desired therapeutic effect without the off-target toxicity that derails clinical programs.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Companies at the frontier of AI-driven target identification — including BenevolentAI, Recursion Pharmaceuticals, and Exscientia — have built proprietary biological knowledge graphs that integrate tens of millions of data points from scientific literature, clinical databases, and experimental data. These knowledge graphs are traversed by machine learning models that score target-disease associations, predict druggability, and prioritize targets for experimental validation. The output is not a target list — it is a ranked, evidence-backed prioritization that helps scientific leadership make faster, better-informed decisions about where to focus early R&amp;D investment.</w:t>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84A3" w:sz="4"/>
              <w:left w:val="single" w:color="6B84A3" w:sz="4"/>
              <w:bottom w:val="single" w:color="6B84A3" w:sz="4"/>
              <w:right w:val="single" w:color="6B84A3" w:sz="4"/>
            </w:tcBorders>
            <w:shd w:fill="F0F4F8" w:val="clear"/>
            <w:tcMar>
              <w:top w:type="dxa" w:w="160"/>
              <w:left w:type="dxa" w:w="200"/>
              <w:bottom w:type="dxa" w:w="160"/>
              <w:right w:type="dxa" w:w="200"/>
            </w:tcMar>
          </w:tcPr>
          <w:p>
            <w:pPr>
              <w:spacing w:before="0" w:after="80"/>
            </w:pPr>
            <w:r>
              <w:rPr>
                <w:rFonts w:ascii="Calibri" w:cs="Calibri" w:eastAsia="Calibri" w:hAnsi="Calibri"/>
                <w:b/>
                <w:bCs/>
                <w:caps/>
                <w:color w:val="6B84A3"/>
                <w:sz w:val="18"/>
                <w:szCs w:val="18"/>
              </w:rPr>
              <w:t xml:space="preserve">CASE STUDY: ILLUSTRATIVE CASE STUDY: AI-ACCELERATED TARGET IDENTIFICATION IN CNS DISEASE</w:t>
            </w:r>
          </w:p>
          <w:p>
            <w:pPr>
              <w:spacing w:before="0" w:after="0"/>
              <w:jc w:val="both"/>
            </w:pPr>
            <w:r>
              <w:rPr>
                <w:rFonts w:ascii="Calibri" w:cs="Calibri" w:eastAsia="Calibri" w:hAnsi="Calibri"/>
                <w:color w:val="1A1A2E"/>
                <w:sz w:val="20"/>
                <w:szCs w:val="20"/>
              </w:rPr>
              <w:t xml:space="preserve">A mid-sized pharma company with a neuroscience focus had historically relied on a manual literature review and expert panel process for target identification, a process that typically took 12 to 18 months and produced target shortlists of 10 to 15 candidates for further evaluation. Working with an AI-driven biology platform, the company integrated 15 years of internal experimental data with public genomics databases, EHR-derived genetic association studies, and protein interaction networks. The AI platform identified 47 high-confidence target-disease associations in CNS conditions within 8 weeks, including 12 that the internal expert panel had not previously considered. Four of these 12 were advanced to experimental validation, and two have since progressed to hit identification campaigns. The end-to-end cycle time for target identification was reduced from 14 months to 11 weeks.</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4.3 Structure-Based Drug Design and AlphaFold's Impact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ability to predict the three-dimensional structure of proteins with high accuracy — a capability that DeepMind's AlphaFold transformed almost overnight in 2021 — has fundamentally changed structural biology's role in drug discovery. Previously, determining the structure of a target protein required X-ray crystallography or cryo-electron microscopy, processes that could take months or years and sometimes never yielded a usable structure. Today, high-confidence structural predictions for virtually any protein can be generated within hours using AlphaFold2 or its successors.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implications for structure-based drug design are profound. Medicinal chemists can now design compounds against protein structures they previously could not access experimentally. Protein-protein interaction inhibitors — a class of targets long considered undruggable because of the shallow, featureless nature of their binding interfaces — are being approached with new confidence. And the combination of AlphaFold structures with molecular dynamics simulations is enabling prediction of how proteins move and how that movement creates transient binding pockets that can be targeted.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Pharma companies with strong computational chemistry capabilities are integrating AlphaFold into their structure-based design workflows as a standard tool. The practical impact — shorter design cycles, better compound quality entering lead optimization, reduced dependence on expensive experimental structural biology for routine programs — is becoming visible in the speed and quality of early discovery programs.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4.4 Generative AI for Molecular Design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Beyond analyzing existing chemical space, generative AI models are now designing novel molecules de novo — proposing chemical structures that satisfy multiple simultaneous constraints on potency, selectivity, solubility, metabolic stability, and synthetic accessibility. This represents a qualitative shift in the role of AI in medicinal chemistry: from a tool that helps chemists navigate known chemical space to a collaborator that proposes structures the human chemist might not have conceived.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most mature approaches combine deep generative models — variational autoencoders, diffusion models, and transformer-based architectures trained on large chemical datasets — with reinforcement learning that rewards the model for generating molecules that score well against multi-parameter optimization objectives. The result is a model that can be prompted with a target protein structure and a set of property constraints and will propose hundreds of candidate molecules in hours, ranked by predicted potency, selectivity, and drug-likeness.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Critically, these models are trained not just on chemical structure but on synthesis routes — ensuring that the molecules they propose can actually be made. This integration of generative design with retrosynthesis prediction (AI that designs the synthetic route to a novel compound) is beginning to close the loop between molecule design and molecule synthesis in ways that will dramatically accelerate the design-make-test cycle.</w:t>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84A3" w:sz="4"/>
              <w:left w:val="single" w:color="6B84A3" w:sz="4"/>
              <w:bottom w:val="single" w:color="6B84A3" w:sz="4"/>
              <w:right w:val="single" w:color="6B84A3" w:sz="4"/>
            </w:tcBorders>
            <w:shd w:fill="F0F4F8" w:val="clear"/>
            <w:tcMar>
              <w:top w:type="dxa" w:w="160"/>
              <w:left w:type="dxa" w:w="200"/>
              <w:bottom w:type="dxa" w:w="160"/>
              <w:right w:type="dxa" w:w="200"/>
            </w:tcMar>
          </w:tcPr>
          <w:p>
            <w:pPr>
              <w:spacing w:before="0" w:after="80"/>
            </w:pPr>
            <w:r>
              <w:rPr>
                <w:rFonts w:ascii="Calibri" w:cs="Calibri" w:eastAsia="Calibri" w:hAnsi="Calibri"/>
                <w:b/>
                <w:bCs/>
                <w:caps/>
                <w:color w:val="6B84A3"/>
                <w:sz w:val="18"/>
                <w:szCs w:val="18"/>
              </w:rPr>
              <w:t xml:space="preserve">CASE STUDY: REAL-WORLD CASE STUDY: INSILICO MEDICINE AND THE FIRST AI-DISCOVERED CLINICAL CANDIDATE</w:t>
            </w:r>
          </w:p>
          <w:p>
            <w:pPr>
              <w:spacing w:before="0" w:after="0"/>
              <w:jc w:val="both"/>
            </w:pPr>
            <w:r>
              <w:rPr>
                <w:rFonts w:ascii="Calibri" w:cs="Calibri" w:eastAsia="Calibri" w:hAnsi="Calibri"/>
                <w:color w:val="1A1A2E"/>
                <w:sz w:val="20"/>
                <w:szCs w:val="20"/>
              </w:rPr>
              <w:t xml:space="preserve">Insilico Medicine achieved a landmark in 2023 when it progressed INS018_055, a novel TNIK inhibitor for idiopathic pulmonary fibrosis, into Phase II clinical trials. The drug candidate was identified entirely through AI-driven processes — from target identification through generative molecular design — in approximately 18 months, compared to an industry average of 4 to 5 years for the same discovery phase. While Phase II results will ultimately determine clinical value, the milestone demonstrates that AI-driven discovery pipelines are capable of producing viable clinical candidates, not just interesting computational outputs.</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4.5 High-Throughput Screening and Laboratory Automation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experimental validation of computationally generated hypotheses requires physical laboratory work — synthesizing compounds, testing them in biological assays, and measuring the results. This experimental cycle is a major bottleneck in discovery programs: even with AI generating novel compound designs rapidly, if the wet lab cycle takes six to eight weeks per iteration, the overall discovery cycle remains slow.</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digital transformation of the discovery laboratory is addressing this bottleneck through three converging trends. Laboratory automation — robotic synthesis platforms, automated assay execution, and AI-guided liquid handling systems — is reducing the time and cost of experimental cycles. Miniaturization and high-throughput technology — particularly DNA-encoded chemical libraries (DELs) that can screen billions of compounds simultaneously — is dramatically expanding the scope of experimental screening. And the integration of laboratory execution systems (LIMS, Electronic Lab Notebooks) with analytical platforms and compound management systems is ensuring that every experimental result is captured, structured, and immediately available for model training.</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concept of the self-driving laboratory — a fully automated experimental platform that designs its own experiments, executes them robotically, analyzes the results through AI, and designs the next experiment without human intervention — is moving from academic demonstration to pharmaceutical deployment. Pfizer, Merck, and AstraZeneca have all invested in automated chemistry platforms that dramatically reduce the human effort required per design-make-test-analyze cycle. The result is a discovery engine that can run more experiments, learn faster, and converge on optimized lead compounds in a fraction of the time that manual discovery required.</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4.6 Computational ADMET and Predictive Toxicology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One of the largest contributors to drug development failure is poor pharmacokinetics and unanticipated toxicity — failures that are typically discovered late in development, when the cost of failure is highest. A compound that fails in a Phase II clinical trial because of liver toxicity represents not just the cost of that trial but the full cost of the years of preclinical and Phase I work that preceded it.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Computational ADMET prediction — AI models that predict how a compound will be absorbed, distributed, metabolized, and excreted, and whether it will exhibit organ toxicity, genotoxicity, or other safety liabilities — has advanced to the point where it can meaningfully de-risk lead compounds earlier in the discovery process. These models are trained on datasets of tens of thousands of compounds with experimentally measured ADMET properties, and they can predict key parameters — human oral bioavailability, plasma protein binding, CYP enzyme inhibition, hERG cardiac toxicity liability — with sufficient accuracy to use as filters in the early selection and optimization of lead series.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practical implication is a shift in how lead optimization is designed: rather than optimizing for potency first and discovering ADMET liabilities in dedicated follow-on studies, integrated optimization strategies simultaneously target potency, selectivity, and ADMET properties from the outset. This approach — multi-parameter lead optimization (MPLO) supported by AI — is now standard practice at the most digitally advanced discovery organizations and is delivering measurably better candidate quality into development.</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4.7 Integrated R&amp;D Data Platform: The Foundation for AI-Driven Discovery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technologies described in this chapter — AI target identification, generative molecular design, automated laboratories, computational ADMET — all depend on a common foundation: an integrated R&amp;D data platform that makes the organization's full body of experimental knowledge accessible, searchable, and machine-readable in real time.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architecture of a modern R&amp;D data platform has several essential components. An Electronic Lab Notebook (ELN) system captures experimental protocols, raw data, and analytical results in a structured, searchable format. A compound management and registration system maintains the canonical record of every molecule the organization has synthesized or acquired, with its associated biological and physicochemical data. A biological data warehouse integrates data from high-throughput screening systems, in vitro ADMET assays, and in vivo studies into a unified repository. A literature and knowledge management platform captures and structures scientific insights from published literature, patents, and internal documents. And an integrated analytics layer — increasingly built on cloud-based AI/ML platforms — enables the application of machine learning models to the full body of integrated R&amp;D data.</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Maintaining this platform in a GxP-compliant manner for data that will be used in regulatory submissions requires particular attention to data integrity: the ALCOA+ principles (Attributable, Legible, Contemporaneous, Original, Accurate, plus Complete, Consistent, Enduring, and Available) that govern GxP data apply to electronic data as fully as to paper records. Validation of ELN and laboratory information management systems (LIMS) to 21 CFR Part 11 standards is a prerequisite for using them in GxP contexts.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4.8 Organizational Model for Digital R&amp;D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organizational model for a digitally transformed R&amp;D function is fundamentally different from the traditional structure of separate computational and experimental groups working in loosely coupled teams. The digitally mature R&amp;D organization is characterized by deeply integrated teams in which computational scientists, data scientists, medicinal chemists, biologists, and automation engineers work in the same sprint cycles, on the same data platforms, and toward the same program milestones.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role of the Chief Scientific Officer must evolve to include explicit accountability for the data and digital strategy of the R&amp;D function — not just the scientific strategy. The best CSOs in the next decade will be scientists who understand AI well enough to make investment decisions about computational platforms and to hold scientific teams accountable for AI adoption. They will also be business leaders who understand that scientific productivity in the modern context is inseparable from digital capability.</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4.9 Questions for the Board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Has the organization conducted an honest assessment of how its discovery cycle time and candidate quality metrics compare to AI-enabled peers and competitor biotechs? What fraction of the R&amp;D budget is allocated to digital and computational capabilities, and how does this compare to the investment level at organizations like Roche, AstraZeneca, and the leading AI-first biotechs? Does the R&amp;D data platform allow a scientist to retrieve all historical data on a biological target — across every program, every assay, every experiment — in a single search? How is the organization managing the intellectual property and data governance implications of AI-generated molecular designs and computationally derived scientific insights?</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EEF2F7" w:val="clear"/>
            <w:tcMar>
              <w:top w:type="dxa" w:w="160"/>
              <w:left w:type="dxa" w:w="200"/>
              <w:bottom w:type="dxa" w:w="160"/>
              <w:right w:type="dxa" w:w="200"/>
            </w:tcMar>
          </w:tcPr>
          <w:p>
            <w:pPr>
              <w:spacing w:before="0" w:after="80"/>
            </w:pPr>
            <w:r>
              <w:rPr>
                <w:rFonts w:ascii="Calibri" w:cs="Calibri" w:eastAsia="Calibri" w:hAnsi="Calibri"/>
                <w:b/>
                <w:bCs/>
                <w:caps/>
                <w:color w:val="0D2B55"/>
                <w:sz w:val="18"/>
                <w:szCs w:val="18"/>
              </w:rPr>
              <w:t xml:space="preserve">REGIONAL SPOTLIGHT: REGIONAL SPOTLIGHT: R&amp;D DIGITAL TRANSFORMATION BY GEOGRAPHY</w:t>
            </w:r>
          </w:p>
          <w:p>
            <w:pPr>
              <w:spacing w:before="0" w:after="0"/>
              <w:jc w:val="both"/>
            </w:pPr>
            <w:r>
              <w:rPr>
                <w:rFonts w:ascii="Calibri" w:cs="Calibri" w:eastAsia="Calibri" w:hAnsi="Calibri"/>
                <w:color w:val="1A1A2E"/>
                <w:sz w:val="20"/>
                <w:szCs w:val="20"/>
              </w:rPr>
              <w:t xml:space="preserve">In the **United States**, R&amp;D digital transformation is being driven by two distinct organizational populations: the large multinationals (Pfizer, Merck, AstraZeneca US, J&amp;J) investing hundreds of millions of dollars in enterprise AI programs, and a vibrant cohort of AI-first biotechs (Recursion, Insilico, Exscientia, Schrödinger, Relay Therapeutics) that were born digital and are competing on discovery speed and pipeline density. The interaction between these populations — through partnerships, acquisitions, and talent flows — is accelerating digital transformation across the sector. In the **European Union**, the digital R&amp;D landscape is anchored by Roche/Genentech (which has arguably the most mature pharmaceutical AI capability in the world), Novartis (which transformed its AI and data science organization significantly after its 2019 hire of global CDO Bertram Schulze), and Bayer (which has made significant investments in agricultural and pharmaceutical AI through its data science organization). The EU's investment in shared biological data infrastructure — including ELIXIR (the European life science data infrastructure) and the 1 Million Genomes initiative — creates unique opportunities for European companies to leverage public data assets in AI-driven target identification. In **India**, R&amp;D digital transformation is at an earlier stage in domestic pharma companies, but there is a significant and growing base of CRO and CDMO (contract research and development and manufacturing) digital capability. Organizations like Syngene (a subsidiary of Biocon), Lambda Therapeutics, and the R&amp;D divisions of Sun Pharma and Dr. Reddy's are investing in computational chemistry platforms, ELN systems, and integrated data platforms. India's deep software engineering talent, combined with its growing capability in bioinformatics and cheminformatics, positions it to build world-class R&amp;D digital capabilities faster than most observers expect.</w:t>
            </w:r>
          </w:p>
        </w:tc>
      </w:tr>
    </w:tbl>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0"/>
      </w:pPr>
      <w:r>
        <w:br w:type="page"/>
      </w:r>
    </w:p>
    <w:p>
      <w:pPr>
        <w:pStyle w:val="Heading1"/>
        <w:pBdr>
          <w:bottom w:val="single" w:color="C9A84C" w:sz="6" w:space="4"/>
        </w:pBdr>
        <w:shd w:fill="0D2B55" w:val="clear"/>
        <w:spacing w:before="480" w:after="240"/>
        <w:ind w:left="200" w:right="200"/>
      </w:pPr>
      <w:r>
        <w:rPr>
          <w:rFonts w:ascii="Calibri" w:cs="Calibri" w:eastAsia="Calibri" w:hAnsi="Calibri"/>
          <w:b/>
          <w:bCs/>
          <w:caps/>
          <w:color w:val="FFFFFF"/>
          <w:sz w:val="36"/>
          <w:szCs w:val="36"/>
        </w:rPr>
        <w:t xml:space="preserve">Chapter 5: Clinical Trials — Digital Transformation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F0E8" w:val="clear"/>
            <w:tcMar>
              <w:top w:type="dxa" w:w="160"/>
              <w:left w:type="dxa" w:w="200"/>
              <w:bottom w:type="dxa" w:w="160"/>
              <w:right w:type="dxa" w:w="200"/>
            </w:tcMar>
          </w:tcPr>
          <w:p>
            <w:pPr>
              <w:spacing w:before="0" w:after="80"/>
            </w:pPr>
            <w:r>
              <w:rPr>
                <w:rFonts w:ascii="Calibri" w:cs="Calibri" w:eastAsia="Calibri" w:hAnsi="Calibri"/>
                <w:b/>
                <w:bCs/>
                <w:caps/>
                <w:color w:val="C9A84C"/>
                <w:sz w:val="18"/>
                <w:szCs w:val="18"/>
              </w:rPr>
              <w:t xml:space="preserve">EXECUTIVE SUMMARY</w:t>
            </w:r>
          </w:p>
          <w:p>
            <w:pPr>
              <w:spacing w:before="0" w:after="0"/>
              <w:jc w:val="both"/>
            </w:pPr>
            <w:r>
              <w:rPr>
                <w:rFonts w:ascii="Calibri" w:cs="Calibri" w:eastAsia="Calibri" w:hAnsi="Calibri"/>
                <w:i/>
                <w:iCs/>
                <w:color w:val="1A1A2E"/>
                <w:sz w:val="20"/>
                <w:szCs w:val="20"/>
              </w:rPr>
              <w:t xml:space="preserve">Clinical development is the most resource-intensive phase of the pharmaceutical value chain — consuming over 60 percent of total R&amp;D expenditure and driving the vast majority of the industry's risk-adjusted losses. A single Phase III failure can destroy USD 500 million to USD 2 billion of invested capital and set a therapeutic program back by a decade. Digital transformation of clinical operations does not eliminate this risk, but it materially changes the probability distribution: better patient selection, smarter trial designs, faster recruitment, real-time risk detection, and richer data packages delivered to regulators more efficiently. This chapter explores the full architecture of the digitally enabled clinical trial — from protocol design through data submission — and examines how the pandemic-accelerated shift to decentralized trials is permanently reshaping how evidence is generated in medicine.</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5.1 The Clinical Trial Crisis: Recruitment, Cost, and Complexity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statistics describing the clinical trial crisis are well known but worth stating plainly because they are the foundation for every digital investment decision in this domain. Over 80 percent of clinical trials fail to meet their enrollment timelines, with the average delay exceeding six months. Each day of delay in a Phase III trial costs a branded pharma company between USD 500,000 and USD 1 million in foregone revenue. Patient dropout rates of 30 percent or higher are common in chronic disease trials, compromising statistical power and inflating sample size requirements. And the complexity of protocol requirements has grown steadily over the past two decades — the number of procedures per trial patient has more than tripled since the 1990s — placing increasing burden on investigators, site staff, and patients alike.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These inefficiencies are not primarily caused by poor execution. They are structural: trials are designed, enrolled, and conducted using systems and processes built for a paper-based world, inefficiently mapped onto electronic systems that do not genuinely communicate with each other or with the healthcare ecosystem from which patients are recruited. The electronic data capture (EDC) system does not talk to the clinical trial management system (CTMS). The CTMS does not feed the risk-based monitoring platform in real time. The patient-reported outcomes platform sends daily reminders but has no connection to the wearable sensor generating passive continuous data. The investigator receives source documents by fax.</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Digital transformation of clinical trials is fundamentally about redesigning these information flows — making data liquid, connected, and actionable — so that the enormous amount of clinical intelligence being generated in every trial is available in real time to every stakeholder who needs it.</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5.2 Protocol Design: Digital Feasibility and AI-Optimized Trial Design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digital transformation of clinical operations begins before the first patient is enrolled — it begins at protocol design. Protocols that are designed with insufficient regard for real-world patient availability, site operational capacity, and the complexity burden on patients and investigators are the upstream cause of the recruitment, dropout, and quality failures that manifest downstream.</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Digital protocol optimization tools leverage multiple data sources — electronic health records, claims data, patient registry data, and historical trial performance data — to predict, before a protocol is finalized, how many patients meeting the eligibility criteria actually exist in accessible healthcare settings, what the expected recruitment rate will be at candidate sites, and which eligibility criteria are creating unnecessary patient burden without adding scientific or regulatory value.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concept of protocol digitization — converting the protocol document from a PDF into a structured, machine-readable data object — is an important enabling step. When protocol elements (eligibility criteria, assessment schedules, endpoints) are structured data rather than free text, they can be automatically compared against patient-level data to assess feasibility, automatically translated into the clinical systems used at study sites, and automatically tracked for deviation during trial execution. Protocol digitization is a foundational investment that pays dividends across the entire trial lifecycle.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5.3 Patient Identification and Recruitment: Precision Enrollment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Patient recruitment is consistently cited as the clinical development function with the greatest unmet need for digital transformation. It is also one where the evidence of digital impact is clearest and most quantifiable.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Traditional recruitment relies on investigator networks, patient registries, and disease advocacy group outreach — effective but slow and often geographically concentrated. Digital recruitment platforms add several new dimensions. Electronic health record analytics — searching aggregated, de-identified patient data from health system EHR networks to identify patients who match trial eligibility criteria and who are being seen at sites capable of conducting the trial — has demonstrated recruitment acceleration of 30 to 60 percent in multiple published studies. Social media and digital patient community platforms allow sponsors to reach patients directly, with regulatory-approved messaging, in the channels where patients with specific diseases congregate online. And AI-driven site selection tools — analyzing historical site performance data, patient density maps, investigator experience scores, and site operational metrics — are improving the predictive accuracy of site selection decisions and reducing the proportion of enrolled sites that underperform.</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most advanced organizations are building patient recruitment as a continuous, analytics-driven capability rather than a reactive scramble. This means maintaining a digital patient registry infrastructure that is continuously updated with data from partner health systems and patient advocacy platforms, running predictive models that identify recruitment risks several weeks before they materialize, and deploying operational response protocols — adding sites, adjusting eligibility criteria, activating backup communication channels — based on early warning signals rather than after enrollment targets have been missed.</w:t>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84A3" w:sz="4"/>
              <w:left w:val="single" w:color="6B84A3" w:sz="4"/>
              <w:bottom w:val="single" w:color="6B84A3" w:sz="4"/>
              <w:right w:val="single" w:color="6B84A3" w:sz="4"/>
            </w:tcBorders>
            <w:shd w:fill="F0F4F8" w:val="clear"/>
            <w:tcMar>
              <w:top w:type="dxa" w:w="160"/>
              <w:left w:type="dxa" w:w="200"/>
              <w:bottom w:type="dxa" w:w="160"/>
              <w:right w:type="dxa" w:w="200"/>
            </w:tcMar>
          </w:tcPr>
          <w:p>
            <w:pPr>
              <w:spacing w:before="0" w:after="80"/>
            </w:pPr>
            <w:r>
              <w:rPr>
                <w:rFonts w:ascii="Calibri" w:cs="Calibri" w:eastAsia="Calibri" w:hAnsi="Calibri"/>
                <w:b/>
                <w:bCs/>
                <w:caps/>
                <w:color w:val="6B84A3"/>
                <w:sz w:val="18"/>
                <w:szCs w:val="18"/>
              </w:rPr>
              <w:t xml:space="preserve">CASE STUDY: REAL-WORLD CASE STUDY: PFIZER'S COVID-19 VACCINE TRIAL RECRUITMENT</w:t>
            </w:r>
          </w:p>
          <w:p>
            <w:pPr>
              <w:spacing w:before="0" w:after="0"/>
              <w:jc w:val="both"/>
            </w:pPr>
            <w:r>
              <w:rPr>
                <w:rFonts w:ascii="Calibri" w:cs="Calibri" w:eastAsia="Calibri" w:hAnsi="Calibri"/>
                <w:color w:val="1A1A2E"/>
                <w:sz w:val="20"/>
                <w:szCs w:val="20"/>
              </w:rPr>
              <w:t xml:space="preserve">The COMIRNATY BNT162b2 (COVID-19 vaccine) Phase III trial, conducted in partnership with BioNTech, enrolled approximately 43,000 participants across multiple countries in under four months — a recruitment pace that would have been inconceivable in a conventional trial. The recruitment was enabled by a combination of digital outreach, centralized screening through a digital participant portal, and protocol simplification. The trial demonstrated that with the right digital infrastructure and organizational will, recruitment at scale can be compressed dramatically. Many of the digital tools piloted in COVID vaccine trials are now being systematically deployed in oncology and rare disease programs.</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5.4 Decentralized and Hybrid Clinical Trials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shift from fully site-based to decentralized or hybrid clinical trials represents the single most transformative change in clinical development methodology in at least two decades. Driven initially by patient convenience advocacy and practical site access challenges, the transition was dramatically accelerated by COVID-19, which forced the industry to implement remote assessments, electronic consent, direct-to-patient drug delivery, and home nursing visits at scale and pace — and to discover that regulators would accept the resulting data.</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 decentralized clinical trial (DCT) replaces some or all of the traditional investigator site visits with remote interactions: video-based clinical assessments, wearable sensor-based outcome measurement, electronic patient-reported outcomes (ePRO) collected continuously on smartphones, at-home sample collection (blood, saliva, urine) with local laboratory processing, and telemedicine consultations. In a fully decentralized trial, the patient may complete the entire trial from home. In a hybrid trial — the dominant model for complex interventional studies — site visits are reserved for procedures that genuinely require them (imaging, infusions, complex examinations), while all other assessments are conducted remotely.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digital technology stack enabling decentralized trials spans electronic consent platforms (eConsent), remote patient monitoring (RPM) platforms, wearables and biosensors, electronic patient diaries, direct-to-patient drug delivery and temperature monitoring logistics, and teleconsultation platforms compliant with telehealth regulations in each jurisdiction. Integrating these components into a coherent patient experience — and ensuring the resulting data meets regulatory standards for clinical trial data quality — requires sophisticated system integration and data governance.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regulatory framework for DCTs has matured significantly. The FDA's 2023 guidance on decentralized trials, the EMA's DCT pilot results, and the ICH E6 (R3) GCP revision (finalizing in 2025) all provide clearer frameworks for acceptable DCT evidence — removing a major source of regulatory uncertainty that previously constrained adoption.</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5.5 Real-Time Data Quality and Risk-Based Monitoring</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Traditional clinical trial monitoring — the 100 percent source data verification model where monitors visit sites to compare every data entry against the source document — is simultaneously the largest single operational cost in clinical trials and the least effective safeguard against data quality problems. Numerous analyses have demonstrated that on-site monitoring finds fewer critical errors than a comparable investment in centralized statistical surveillance of trial data streams, while costing five to ten times as much per detected issue.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Risk-based monitoring (RBM), as defined in FDA and ICH guidance, replaces the reflexive 100 percent SDV model with a targeted approach that concentrates monitoring effort on the data elements, sites, and time periods where the risk of quality failure is highest — informed by real-time central statistical review of incoming trial data. Implementing RBM effectively requires a clinical data management platform that delivers trial data in near-real-time (rather than the batch uploads typical of legacy EDC systems), statistical models that can detect anomalous data patterns indicative of entry error, fabrication, or protocol non-compliance, and a monitoring operations platform that translates risk signals into specific monitoring actions.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most advanced clinical operations organizations are moving beyond RBM to continuous quality management — an operating model in which the trial data is under permanent analytical surveillance, every risk signal generates an automated workflow, and the monitoring and data management teams operate in an integrated data operations center that has real-time visibility into every active trial. This operating model is ambitious but achievable, and several large CROs and pharma companies have implemented versions of it.</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5.6 Digital Biomarkers and Wearable Technologies in Clinical Endpoints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One of the most scientifically significant dimensions of clinical trial digitalization is the use of continuous, wearable sensor data to generate novel clinical endpoints. Traditional clinical outcomes — physician-rated scales, periodic laboratory measurements, survival and hospitalization — capture the patient's status at isolated moments in time and are subject to regression to the mean, rater variability, and recall bias. Wearable sensors generate continuous, objective measurements of physiological and behavioral parameters that provide a richer, more granular picture of patient status and treatment response.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In neurology, accelerometer-based wrist and ankle sensors are generating digital biomarkers of Parkinson's disease progression that are more sensitive and more reproducible than standard clinical rating scales. In cardiology, FDA-approved consumer wearables are detecting atrial fibrillation episodes in clinical trials with accuracy comparable to Holter monitors. In oncology, sleep quality, activity levels, and resting heart rate variability — all captured by consumer wearables — are emerging as meaningful indicators of patient-reported outcomes like fatigue and quality of life. In rare diseases, where trial populations are small and traditional statistical power is limited, the higher information density of continuous sensor data is enabling the demonstration of treatment effects that would be statistically invisible in point-in-time assessments.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path from wearable data to regulatory-accepted endpoint is a governance and validation challenge. Digital endpoint qualification — the process of establishing that a sensor-derived measure is a valid representation of a meaningful clinical concept — requires a structured evidentiary program that most organizations are still building. The DDT Biomarker Qualification programs at the FDA, EMA, and the Digital Medicine Society (DiMe)'s V3 framework for digital endpoints are providing the regulatory and methodological scaffolding for this qualification process.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5.7 Clinical Data Management and eCTD Submission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endpoint of clinical data management is a regulatory submission package — the evidence dossier that regulators review to determine whether a drug is safe and effective enough to approve. The digital transformation of this process — from data collection through integrated clinical study reports and electronic Common Technical Document (eCTD) compilation — has been underway for two decades but remains incomplete.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Modern clinical data management platforms (CDMPs) integrate EDC, CTMS, medical coding, safety data management, and statistical programming environments into a unified, audit-trailed workflow. The goal is a single authoritative source of clinical data — the clinical data repository — from which all downstream analyses, reports, and regulatory documents are derived. This single-source architecture eliminates the version control and data provenance nightmares that have historically made regulatory submission preparation an error-prone, multi-month exercise in reconciliation.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eCTD standard, now required for all major regulatory markets, structures the submission package as a defined hierarchy of documents in a machine-readable format. Organizations with well-integrated clinical data platforms can automate a significant fraction of eCTD compilation — extracting data from validated sources, populating standard templates, and generating linked cross-references within the submission document. The reduction in cycle time and error rate from this automation is substantial: leading organizations report a 40 to 50 percent reduction in submission preparation time compared to legacy processes.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5.8 Questions for the Board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What is the organization's current clinical trial cycle time — from first patient enrolled to database lock — relative to the industry benchmark for comparable trial types? What fraction of active trials are using risk-based monitoring with real-time central statistical surveillance, and what has been the measured impact on data quality and monitoring costs? Has the organization committed to a decentralized or hybrid trial strategy for appropriate programs, and if not, what is the planned path to DCT capability? How long does it currently take to prepare and submit an eCTD, and what is the plan to reduce this cycle time through automation?</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EEF2F7" w:val="clear"/>
            <w:tcMar>
              <w:top w:type="dxa" w:w="160"/>
              <w:left w:type="dxa" w:w="200"/>
              <w:bottom w:type="dxa" w:w="160"/>
              <w:right w:type="dxa" w:w="200"/>
            </w:tcMar>
          </w:tcPr>
          <w:p>
            <w:pPr>
              <w:spacing w:before="0" w:after="80"/>
            </w:pPr>
            <w:r>
              <w:rPr>
                <w:rFonts w:ascii="Calibri" w:cs="Calibri" w:eastAsia="Calibri" w:hAnsi="Calibri"/>
                <w:b/>
                <w:bCs/>
                <w:caps/>
                <w:color w:val="0D2B55"/>
                <w:sz w:val="18"/>
                <w:szCs w:val="18"/>
              </w:rPr>
              <w:t xml:space="preserve">REGIONAL SPOTLIGHT: REGIONAL SPOTLIGHT: CLINICAL TRIAL DIGITALIZATION BY GEOGRAPHY</w:t>
            </w:r>
          </w:p>
          <w:p>
            <w:pPr>
              <w:spacing w:before="0" w:after="0"/>
              <w:jc w:val="both"/>
            </w:pPr>
            <w:r>
              <w:rPr>
                <w:rFonts w:ascii="Calibri" w:cs="Calibri" w:eastAsia="Calibri" w:hAnsi="Calibri"/>
                <w:color w:val="1A1A2E"/>
                <w:sz w:val="20"/>
                <w:szCs w:val="20"/>
              </w:rPr>
              <w:t xml:space="preserve">The **United States** is the global leader in DCT adoption, driven by the FDA's progressive regulatory stance on remote assessments and digital endpoints, the maturity of the US telehealth regulatory framework post-COVID, and the density of the US clinical site network. US CROs — including IQVIA, PPD, Covance, and Parexel — have all built DCT service offerings and are driving their pharma clients toward hybrid and fully decentralized designs for appropriate indication areas. The **European Union** presents a more complex DCT landscape due to the fragmentation of national health system structures and telehealth regulations across member states. A decentralized trial element that is straightforward in Germany may require separate regulatory analysis in France, Poland, and Italy. The EMA's DCT guidance and the In Silico Trials initiative are creating common frameworks, but EU DCT adoption lags the US by 12 to 18 months in most therapeutic areas. **India** is an emerging clinical trial market with growing digital capabilities. The CDSCO has been modernizing its clinical trial framework following the 2019 clinical trial regulations revision, and the Ayushman Bharat Digital Mission's electronic health record infrastructure creates a foundation for site identification and patient screening analytics that did not previously exist. India's large, treatment-naive patient populations in therapeutic areas like infectious disease, diabetes, and oncology make it a high-value recruitment geography — and the ability to identify and recruit these patients through digital platforms is a growing capability among Indian CROs such as Syngene, Lambda, and the clinical operations divisions of Indian CROs serving global pharma clients.</w:t>
            </w:r>
          </w:p>
        </w:tc>
      </w:tr>
    </w:tbl>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0"/>
      </w:pPr>
      <w:r>
        <w:br w:type="page"/>
      </w:r>
    </w:p>
    <w:p>
      <w:pPr>
        <w:pStyle w:val="Heading1"/>
        <w:pBdr>
          <w:bottom w:val="single" w:color="C9A84C" w:sz="6" w:space="4"/>
        </w:pBdr>
        <w:shd w:fill="0D2B55" w:val="clear"/>
        <w:spacing w:before="480" w:after="240"/>
        <w:ind w:left="200" w:right="200"/>
      </w:pPr>
      <w:r>
        <w:rPr>
          <w:rFonts w:ascii="Calibri" w:cs="Calibri" w:eastAsia="Calibri" w:hAnsi="Calibri"/>
          <w:b/>
          <w:bCs/>
          <w:caps/>
          <w:color w:val="FFFFFF"/>
          <w:sz w:val="36"/>
          <w:szCs w:val="36"/>
        </w:rPr>
        <w:t xml:space="preserve">Chapter 6: Manufacturing &amp; Supply Chain — Digital Transformation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F0E8" w:val="clear"/>
            <w:tcMar>
              <w:top w:type="dxa" w:w="160"/>
              <w:left w:type="dxa" w:w="200"/>
              <w:bottom w:type="dxa" w:w="160"/>
              <w:right w:type="dxa" w:w="200"/>
            </w:tcMar>
          </w:tcPr>
          <w:p>
            <w:pPr>
              <w:spacing w:before="0" w:after="80"/>
            </w:pPr>
            <w:r>
              <w:rPr>
                <w:rFonts w:ascii="Calibri" w:cs="Calibri" w:eastAsia="Calibri" w:hAnsi="Calibri"/>
                <w:b/>
                <w:bCs/>
                <w:caps/>
                <w:color w:val="C9A84C"/>
                <w:sz w:val="18"/>
                <w:szCs w:val="18"/>
              </w:rPr>
              <w:t xml:space="preserve">EXECUTIVE SUMMARY</w:t>
            </w:r>
          </w:p>
          <w:p>
            <w:pPr>
              <w:spacing w:before="0" w:after="0"/>
              <w:jc w:val="both"/>
            </w:pPr>
            <w:r>
              <w:rPr>
                <w:rFonts w:ascii="Calibri" w:cs="Calibri" w:eastAsia="Calibri" w:hAnsi="Calibri"/>
                <w:i/>
                <w:iCs/>
                <w:color w:val="1A1A2E"/>
                <w:sz w:val="20"/>
                <w:szCs w:val="20"/>
              </w:rPr>
              <w:t xml:space="preserve">Pharmaceutical manufacturing occupies a unique position in the digital transformation landscape: it is simultaneously one of the most heavily regulated industrial sectors on earth and one of the least digitally mature relative to its peers. A consumer electronics manufacturer or automotive plant with comparable revenue would have implemented real-time process analytics, predictive maintenance, and digital quality management years ago. Yet the average pharmaceutical manufacturing facility still relies on paper batch records, manual in-process sampling, reactive deviation management, and siloed process data stored in disparate systems that rarely talk to each other. The gap between what is technically possible and what has actually been implemented in pharma manufacturing represents one of the largest untapped value creation opportunities in the entire industry. This chapter provides a comprehensive blueprint for closing that gap — and for building a supply chain that is as digitally intelligent as the science it supports.</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6.1 The Case for Manufacturing Digitalization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financial and quality imperatives for pharmaceutical manufacturing digitalization are compelling and well-documented. Studies consistently show that manufacturers operating with advanced digital systems demonstrate 25 to 35 percent faster batch cycle times, 20 to 30 percent reduction in deviation rates, and 15 to 25 percent lower manufacturing cost per unit compared to conventionally managed facilities. These are not theoretical projections; they are outcomes measured at facilities where the transformation has been completed.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quality imperative is, if anything, more urgent than the financial one. A pharmaceutical product failure — a contaminated batch, an out-of-specification release, a manufacturing deviation that requires a product recall — has consequences that go far beyond financial loss. Patients may be harmed. Regulators may issue warning letters, consent decrees, or import alerts that disrupt the organization's entire commercial supply. The reputational damage from a high-profile manufacturing failure can take years to repair. In this context, the investment in digital manufacturing systems — which demonstrably improve quality consistency, deviation detection speed, and regulatory defensibility — should be viewed not as a discretionary capital expense but as a quality and patient safety obligation.</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6.2 Industry 4.0 and Pharma 4.0: Redefining the Intelligent Factory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concept of Industry 4.0 — the fourth industrial revolution, characterized by the integration of cyber-physical systems, the Internet of Things (IoT), cloud computing, and AI into manufacturing operations — has been extensively discussed in the broader manufacturing sector for over a decade. The pharmaceutical adaptation, sometimes called Pharma 4.0, adds the specific quality, regulatory, and data integrity requirements of the GxP environment to the Industry 4.0 framework.</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International Society for Pharmaceutical Engineering (ISPE) has developed the most widely adopted Pharma 4.0 framework, which organizes the digital transformation of pharmaceutical manufacturing around four pillars. The first pillar is a digitalized quality culture — embedding a mindset in which quality is everyone's continuous responsibility, enabled by digital tools that make quality data visible and actionable at every level of the organization. The second is an intelligent plant — a manufacturing facility equipped with sensors, automation, and analytics that can monitor and control processes in real time. The third is an integrated supply chain — end-to-end digital visibility from raw material supplier through patient delivery. The fourth is a digital business — complete integration of manufacturing digital systems with the enterprise ERP, commercial systems, and regulatory platforms.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6.3 Process Analytical Technology and Continuous Manufacturing</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Process Analytical Technology (PAT) is the technological foundation of the intelligent pharmaceutical plant. PAT refers to the use of inline, atline, or online sensors and analytical instruments to measure critical quality attributes (CQAs) and critical process parameters (CPPs) in real time during manufacturing — rather than taking samples offline and waiting hours or days for laboratory results. When PAT data is integrated with process control systems, it enables real-time process monitoring and control (RTPM/RTC), where the manufacturing process can respond dynamically to deviations before they result in out-of-specification products.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range of PAT tools deployed in pharmaceutical manufacturing spans near-infrared (NIR) and Raman spectroscopy for in-process blend uniformity and endpoint determination, focused beam reflectance measurement (FBRM) for particle size monitoring in crystallization and granulation, process chromatography for real-time bioprocess monitoring in biologics manufacturing, and multivariate statistical process control (MSPC) models that integrate data from multiple sensors to detect process deviations that would not be visible in any single parameter.</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logical extension of PAT-enabled process control is real-time release testing (RTRT) — the replacement of traditional end-of-process laboratory testing with statistical certainty based on continuous in-process monitoring. RTRT, when implemented in a regulatory-approved quality system, eliminates the weeks of quarantine and laboratory analysis that separate manufacturing completion from product release, directly accelerating supply availability. Both the FDA and EMA have issued supportive guidance for RTRT, and an increasing number of pharmaceutical manufacturers have achieved regulatory approval for RTRT programs.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Continuous manufacturing (CM) takes the PAT and process control logic to its natural conclusion: rather than producing drug product in discrete batches, a continuous manufacturing line produces product in an uninterrupted flow, with incoming materials continuously processed into finished product. The advantages of continuous manufacturing — smaller physical footprint, lower cycle time, greater process control, reduced exposure to human variability, better integration of PAT controls — are well established for small molecule drug products, and the FDA has actively encouraged pharma companies to adopt CM through guidance and expedited regulatory review pathways. Eli Lilly, Vertex, Janssen, and several other manufacturers have received FDA approvals for continuously manufactured drug products, establishing the regulatory pathway clearly.</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6.4 Digital Batch Records and Electronic Quality Management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paper batch record — the foundational quality document that records every step of a pharmaceutical manufacturing process — is both a symbol and a cause of manufacturing digital immaturity. In a facility running paper batch records, every process step, every measurement, every operator observation is recorded by hand. Data must be reconciled manually at batch completion, deviations identified through manual review, and exceptions investigated through paper-based workflows. The cycle time from batch completion to batch release, under this model, is typically measured in weeks.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Electronic batch records (EBRs) replace paper with structured digital workflows that guide operators through manufacturing steps, enforce process parameter limits in real time, capture all data electronically with full audit trails, and trigger automated workflows for deviations, out-of-specification results, and process excursions. The investment in EBR implementation is significant — typically requiring integration with manufacturing execution systems (MES), laboratory information management systems (LIMS), and ERP — but the payoff is equally significant: batch cycle times compress dramatically, deviation detection becomes real-time rather than retrospective, and the data quality and completeness of the batch record improves substantially.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An electronic quality management system (eQMS) extends this digital quality logic beyond the batch record to all quality processes: change control, CAPA (corrective and preventive action), risk management, supplier qualification, training records, and audit management. An integrated eQMS — one that connects these quality processes to each other and to the operational data streams from EBR, MES, and LIMS — enables proactive quality risk management. The system can flag when a change is approaching a quality risk threshold, when a CAPA root cause has not been addressed within the committed timeline, or when a supplier qualification has lapsed — enabling quality teams to act preventively rather than reactively.</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6.5 Digital Twin for Manufacturing</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digital twin — a high-fidelity virtual model of a physical manufacturing system that is continuously updated with real-time operational data — is one of the most transformative technologies available to pharmaceutical manufacturing, and one of the most underdeployed. A manufacturing digital twin can simulate the behavior of a production line or a bioreactor under different process conditions, predict the impact of input variability on product quality, and test process changes in silico before implementing them on the physical line.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For pharmaceutical manufacturers, the digital twin has several high-value applications. In process development, twin models of manufacturing processes can be built during development and used to design the commercial-scale process before first manufacture — replacing some of the physical scale-up experiments that are among the most time-consuming and expensive steps in manufacturing development. In routine operations, digital twins enable model predictive control — using the twin to predict future process states and pre-emptively adjust control parameters to maintain the process within the design space. In deviation investigation, the twin can be used to replay the process conditions that led to a quality event and identify root causes more rapidly and rigorously than traditional manual investigation.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Biopharmaceutical manufacturing — inherently more variable and complex than small molecule manufacturing because of the biological systems involved — has seen particularly rapid growth in digital twin adoption. Cell culture bioreactor twins that model the metabolic behavior of CHO or E. coli expression systems in response to feed, pH, dissolved oxygen, and temperature are enabling process development and optimization at a pace and depth not possible through physical experimentation alone.</w:t>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84A3" w:sz="4"/>
              <w:left w:val="single" w:color="6B84A3" w:sz="4"/>
              <w:bottom w:val="single" w:color="6B84A3" w:sz="4"/>
              <w:right w:val="single" w:color="6B84A3" w:sz="4"/>
            </w:tcBorders>
            <w:shd w:fill="F0F4F8" w:val="clear"/>
            <w:tcMar>
              <w:top w:type="dxa" w:w="160"/>
              <w:left w:type="dxa" w:w="200"/>
              <w:bottom w:type="dxa" w:w="160"/>
              <w:right w:type="dxa" w:w="200"/>
            </w:tcMar>
          </w:tcPr>
          <w:p>
            <w:pPr>
              <w:spacing w:before="0" w:after="80"/>
            </w:pPr>
            <w:r>
              <w:rPr>
                <w:rFonts w:ascii="Calibri" w:cs="Calibri" w:eastAsia="Calibri" w:hAnsi="Calibri"/>
                <w:b/>
                <w:bCs/>
                <w:caps/>
                <w:color w:val="6B84A3"/>
                <w:sz w:val="18"/>
                <w:szCs w:val="18"/>
              </w:rPr>
              <w:t xml:space="preserve">CASE STUDY: REAL-WORLD CASE STUDY: MERCK KGAA'S DIGITAL TWIN FOR BIOPROCESS DEVELOPMENT</w:t>
            </w:r>
          </w:p>
          <w:p>
            <w:pPr>
              <w:spacing w:before="0" w:after="0"/>
              <w:jc w:val="both"/>
            </w:pPr>
            <w:r>
              <w:rPr>
                <w:rFonts w:ascii="Calibri" w:cs="Calibri" w:eastAsia="Calibri" w:hAnsi="Calibri"/>
                <w:color w:val="1A1A2E"/>
                <w:sz w:val="20"/>
                <w:szCs w:val="20"/>
              </w:rPr>
              <w:t xml:space="preserve">Merck KGaA's Life Science business has developed digital twin tools for bioreactor scale-up that have reduced the number of physical scale-up experiments required for a new biologics manufacturing process from an average of 8–12 runs to 3–4 runs. The digital twin models, built on mechanistic process models calibrated with small-scale experimental data, allow the team to simulate scale-up scenarios in silico and identify the optimal operating parameters for commercial-scale manufacture before committing to physical experiments. The result is a 30 to 40 percent reduction in process development cycle time.</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6.6 Supply Chain Digitalization: End-to-End Visibility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pharmaceutical supply chain is a complex, globally distributed system that spans API manufacturers in India and China, formulation facilities in Europe and North America, third-party logistics providers, wholesale distributors, and ultimately dispensing pharmacies and hospital systems. Managing this system with the transparency and agility required to prevent stockouts, manage cold chain integrity, respond to demand volatility, and track product serialization is not possible without a comprehensive digital supply chain platform.</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architecture of a digital pharmaceutical supply chain platform integrates several layers of capability. The foundation is supply chain visibility — real-time tracking of inventory positions, material movements, and capacity availability across every node of the network. Above this sits demand sensing and planning — AI-driven forecasting models that integrate commercial demand signals (prescription data, patient support program enrollment, distributor orders) with supply constraints to generate dynamic production and distribution plans. At the execution layer, warehouse management systems, transportation management systems, and cold chain monitoring platforms ensure that products move through the supply network according to plan and within the quality conditions required.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Serialization and track-and-trace — the assignment of unique identifiers to individual pharmaceutical units and the recording of their movement through the supply chain — is both a regulatory requirement and a digital supply chain foundation. The Drug Supply Chain Security Act (DSCSA) in the US, the EU Falsified Medicines Directive (FMD), and India's track-and-trace framework (mandatory under CDSCO regulations since 2018 for export-oriented manufacturers) all require pharmaceutical manufacturers to implement serialization systems. The data generated by serialization systems — billions of track-and-trace events per year for large manufacturers — is increasingly being used for supply chain analytics beyond its primary anti-counterfeiting purpose: understanding actual product movement through distribution channels, detecting unusual diversion patterns, and generating real-world product availability data that informs commercial planning.</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6.7 Predictive Maintenance and IoT in Manufacturing</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Manufacturing equipment downtime is one of the most significant and most avoidable sources of production delay in pharmaceutical manufacturing. Unplanned equipment failure typically costs two to five times more per hour of downtime than planned maintenance, and in a tightly scheduled pharmaceutical production environment, unplanned downtime can cascade into batch failures, out-of-stock situations, and significant financial loss.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Predictive maintenance — the use of sensor data and machine learning models to predict equipment failures before they occur, enabling maintenance to be scheduled during planned production windows rather than responding reactively to unplanned failures — is one of the highest-ROI digital applications in pharmaceutical manufacturing. Vibration analysis sensors, temperature monitors, electrical current signatures, and acoustic emission detectors, combined with ML models trained on historical failure patterns, can identify equipment degradation patterns weeks before they manifest as failures, enabling maintenance teams to replace components on schedule.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broader IoT infrastructure that enables predictive maintenance also generates the manufacturing operational data that feeds PAT systems, EBR systems, and digital twins. The design of the manufacturing IoT architecture — sensor selection, network topology, data historian configuration, and integration with higher-level enterprise systems — is a critical infrastructure investment that should be made deliberately and with an eye toward the full range of analytics use cases it will enable.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6.8 Questions for the Board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What is the current state of the organization's manufacturing digital maturity across its major facilities — are batch records electronic, are critical process parameters monitored in real time, and are deviations managed through an electronic QMS? What is the baseline batch cycle time (from manufacturing completion to product release), and what is the target enabled by digital quality management and PAT? Does the organization have end-to-end supply chain visibility — from raw material purchase orders through patient dispensing — and if not, what is the plan and timeline to achieve it? How does manufacturing digital maturity compare across owned sites and contract manufacturing organization (CMO) partners?</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EEF2F7" w:val="clear"/>
            <w:tcMar>
              <w:top w:type="dxa" w:w="160"/>
              <w:left w:type="dxa" w:w="200"/>
              <w:bottom w:type="dxa" w:w="160"/>
              <w:right w:type="dxa" w:w="200"/>
            </w:tcMar>
          </w:tcPr>
          <w:p>
            <w:pPr>
              <w:spacing w:before="0" w:after="80"/>
            </w:pPr>
            <w:r>
              <w:rPr>
                <w:rFonts w:ascii="Calibri" w:cs="Calibri" w:eastAsia="Calibri" w:hAnsi="Calibri"/>
                <w:b/>
                <w:bCs/>
                <w:caps/>
                <w:color w:val="0D2B55"/>
                <w:sz w:val="18"/>
                <w:szCs w:val="18"/>
              </w:rPr>
              <w:t xml:space="preserve">REGIONAL SPOTLIGHT: REGIONAL SPOTLIGHT: MANUFACTURING DIGITALIZATION BY GEOGRAPHY</w:t>
            </w:r>
          </w:p>
          <w:p>
            <w:pPr>
              <w:spacing w:before="0" w:after="0"/>
              <w:jc w:val="both"/>
            </w:pPr>
            <w:r>
              <w:rPr>
                <w:rFonts w:ascii="Calibri" w:cs="Calibri" w:eastAsia="Calibri" w:hAnsi="Calibri"/>
                <w:color w:val="1A1A2E"/>
                <w:sz w:val="20"/>
                <w:szCs w:val="20"/>
              </w:rPr>
              <w:t xml:space="preserve">In the **United States**, manufacturing digitalization is being driven by FDA expectations — the FDA's Data Integrity guidance and the Agency's published vision for pharmaceutical manufacturing modernization make clear that digitally enabled quality systems are the expected standard for future manufacturing approvals. Large US-based manufacturers (Pfizer, Merck, J&amp;J, Eli Lilly) have made substantial investments in manufacturing digital transformation, with continuous manufacturing and PAT-enabled processes increasingly standard for new product launches. In the **European Union**, Industrie 4.0 thinking is deeply embedded in the manufacturing culture of German pharmaceutical and medical device manufacturers. Companies like Bayer, Boehringer Ingelheim, and Roche Diagnostics have implemented advanced MES, digital twin, and PAT programs. The EMA's evolving GMP expectations — articulated in the revised Annex 11 (computerized systems) and the PAT guideline — are creating regulatory pull for digital manufacturing investment across EU-based manufacturers. **India** is the world's largest manufacturer of generic pharmaceuticals by volume, with over 10,500 registered manufacturing plants. The digital transformation of Indian pharmaceutical manufacturing is a strategic priority for both the industry and the government, given the frequency of US FDA warning letters and import alerts issued against Indian facilities — many of which cite data integrity failures that are fundamentally a symptom of inadequate electronic quality management systems. The government's Production Linked Incentive (PLI) scheme for pharmaceuticals has invested in manufacturing capability building, and industry associations including IDMA and FICCI are actively promoting manufacturing digitalization. The challenge is significant — the median Indian pharmaceutical plant is operating paper-based batch records and manual deviation management — but the solutions are well-understood and the ROI is clearly positive. Indian pharma companies that complete this transformation will not only resolve their regulatory compliance challenges but will gain the productivity and quality advantages that will make them more competitive in global generic markets.</w:t>
            </w:r>
          </w:p>
        </w:tc>
      </w:tr>
    </w:tbl>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0"/>
      </w:pPr>
      <w:r>
        <w:br w:type="page"/>
      </w:r>
    </w:p>
    <w:p>
      <w:pPr>
        <w:pStyle w:val="Heading1"/>
        <w:pBdr>
          <w:bottom w:val="single" w:color="C9A84C" w:sz="6" w:space="4"/>
        </w:pBdr>
        <w:shd w:fill="0D2B55" w:val="clear"/>
        <w:spacing w:before="480" w:after="240"/>
        <w:ind w:left="200" w:right="200"/>
      </w:pPr>
      <w:r>
        <w:rPr>
          <w:rFonts w:ascii="Calibri" w:cs="Calibri" w:eastAsia="Calibri" w:hAnsi="Calibri"/>
          <w:b/>
          <w:bCs/>
          <w:caps/>
          <w:color w:val="FFFFFF"/>
          <w:sz w:val="36"/>
          <w:szCs w:val="36"/>
        </w:rPr>
        <w:t xml:space="preserve">Chapter 7: Quality Management — Digital Transformation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F0E8" w:val="clear"/>
            <w:tcMar>
              <w:top w:type="dxa" w:w="160"/>
              <w:left w:type="dxa" w:w="200"/>
              <w:bottom w:type="dxa" w:w="160"/>
              <w:right w:type="dxa" w:w="200"/>
            </w:tcMar>
          </w:tcPr>
          <w:p>
            <w:pPr>
              <w:spacing w:before="0" w:after="80"/>
            </w:pPr>
            <w:r>
              <w:rPr>
                <w:rFonts w:ascii="Calibri" w:cs="Calibri" w:eastAsia="Calibri" w:hAnsi="Calibri"/>
                <w:b/>
                <w:bCs/>
                <w:caps/>
                <w:color w:val="C9A84C"/>
                <w:sz w:val="18"/>
                <w:szCs w:val="18"/>
              </w:rPr>
              <w:t xml:space="preserve">EXECUTIVE SUMMARY</w:t>
            </w:r>
          </w:p>
          <w:p>
            <w:pPr>
              <w:spacing w:before="0" w:after="0"/>
              <w:jc w:val="both"/>
            </w:pPr>
            <w:r>
              <w:rPr>
                <w:rFonts w:ascii="Calibri" w:cs="Calibri" w:eastAsia="Calibri" w:hAnsi="Calibri"/>
                <w:i/>
                <w:iCs/>
                <w:color w:val="1A1A2E"/>
                <w:sz w:val="20"/>
                <w:szCs w:val="20"/>
              </w:rPr>
              <w:t xml:space="preserve">Quality management is the central nervous system of pharmaceutical operations. It touches every process, every function, and every product decision. Yet it is often one of the most paper-intensive, reactive, and siloed domains in the pharmaceutical enterprise — a paradox that the industry has tolerated because quality compliance has historically been viewed as an obligation to manage, not a capability to optimize. Digital transformation changes this framing entirely. A digitally enabled quality system is not just more compliant — it is more intelligent, more predictive, and more capable of driving continuous improvement. This chapter explores the architecture of a digital quality management system fit for the demands of modern pharmaceutical operations.</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7.1 The Quality Management Transformation Imperative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Quality failures in pharma carry consequences that no other industry faces in quite the same form. A manufacturing quality failure can result in patient harm, product recall, regulatory action, and in extreme cases, criminal prosecution of company officers. The FDA issued 72 Warning Letters to pharmaceutical manufacturers in 2023 alone, with data integrity — the failure to maintain complete, accurate, and contemporaneous electronic records — cited as a root cause in over 40 percent of cases. This is not primarily a technology problem; it is a culture and process problem. But the solution is digital: replacing paper-based quality processes, which are inherently error-prone and difficult to audit, with electronic systems that enforce data integrity by design.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Beyond compliance, there is a powerful business case for quality management digitalization. The cost of poor quality in pharma — including batch failures, deviations, rework, recalls, regulatory actions, and delayed releases — is estimated at 10 to 15 percent of total manufacturing revenue. Digital quality systems that reduce deviation rates, accelerate root cause investigation, and prevent recurrence through systematic CAPA management directly reduce this cost. Organizations that have fully implemented integrated electronic quality management systems report a 20 to 30 percent reduction in the cost of quality within three years of implementation.</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7.2 The Electronic Quality Management System Architecture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core of pharmaceutical quality digitalization is the electronic Quality Management System (eQMS) — an integrated platform that manages all quality processes in a single system with a common data model, an audit trail for every record, and electronic workflows that replace the manual paper-based routing that slows traditional quality operations.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 fully capable pharmaceutical eQMS manages the document management system (controlled procedures, specifications, and SOPs with version control, review cycles, and training linkage), the deviation and non-conformance management system (capturing quality events, driving root cause analysis, and linking to corrective actions), the CAPA management module (corrective and preventive action planning, execution tracking, and effectiveness verification), the change control system (managing changes to processes, systems, specifications, and facilities through defined impact assessment and approval workflows), the supplier quality management module (supplier qualification, audit schedules, material non-conformance tracking, and performance scorecards), the audit management module (planning internal, supplier, and regulatory inspection readiness programs), and the training management system (linking quality procedures to personnel training records and competency verification).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critical design principle for a pharmaceutical eQMS is integration — both internal (between these quality modules, so that a deviation can automatically generate a CAPA, which automatically updates the risk register and triggers a training update when a new procedure is approved) and external (with the manufacturing execution system, LIMS, and ERP, so that quality events are automatically linked to the batch records and material records they pertain to).</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7.3 Quality Risk Management in the Digital Age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ICH Q9 — the pharmaceutical quality risk management guideline — provides a framework for proactive, science-based management of manufacturing and product quality risks. In practice, most organizations apply ICH Q9 principles reactively, in response to specific change proposals or post-deviation root cause analyses. Digital transformation enables a genuinely proactive quality risk management discipline.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AI-powered quality risk analytics can continuously monitor the totality of operational data — process parameter trends, deviation history, environmental monitoring results, raw material variability, equipment performance metrics — and identify emerging risk signals before they manifest as quality events. This predictive quality model is analogous to predictive maintenance in manufacturing: instead of waiting for a deviation to occur and then investigating what went wrong, the system detects the early warning signs of a deviation several process cycles before it occurs and alerts the quality team to investigate and intervene.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pharmaceutical concept of design space — the multidimensional combination of process parameters and operating conditions within which the process consistently produces product meeting quality specifications — is naturally represented and managed in digital systems. Manufacturing analytics platforms that visualize the process operating history within the design space boundary, and that flag when the process approaches the boundary edge, provide real-time risk visibility that paper-based monitoring cannot achieve.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7.4 Laboratory Informatics and Digital Quality Control</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pharmaceutical quality control laboratory is a rich domain for digitalization, and one where the return on investment is particularly clear. The traditional QC laboratory operates with a combination of paper worksheets, standalone instrument software, manual data transcription into LIMS, and paper-based result review — a workflow that is slow, error-prone, and poorly auditable.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 modern laboratory informatics architecture integrates LIMS (laboratory information management system) with electronic laboratory notebooks (ELN), instrument data management systems (IDMS), laboratory execution systems (LES), and chromatography data systems (CDS) into a fully electronic workflow that captures every analytical result directly from the instrument, links it automatically to the relevant batch record, applies automated limit checks and statistical controls, and routes results through electronic review and approval workflows. This architecture eliminates manual data transcription — the single largest source of transcription errors in the QC lab — and creates a complete, audit-trailed record of every analytical event.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Advanced laboratory analytics capabilities built on top of this integrated infrastructure enable trend analysis of QC results over time, statistical process control charts that identify developing analytical method or instrument issues, and automated generation of Annual Product Review (APR) data packages that previously required weeks of manual data extraction and compilation.</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7.5 Inspection Readiness and Regulatory Agency Interface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digital transformation of quality management is particularly valuable in the context of regulatory inspections — the most stressful and consequential quality events that a pharmaceutical manufacturer faces. A warning letter or consent decree resulting from an inspection failure can cost a company hundreds of millions of dollars and years of remediation effort.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Digital quality management systems improve inspection outcomes in several ways. The availability of complete, accurate, and instantly retrievable electronic records — compared to the days or weeks of paper record retrieval that characterizes conventional quality systems — is itself an indicator of quality culture that regulators evaluate. The ability to demonstrate real-time process monitoring, systematic deviation trending, and evidence-based CAPA effectiveness signals a mature quality culture. And the elimination of data integrity gaps — which arise when electronic data and paper records diverge, or when audit trails are incomplete — removes the most common category of critical observation.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Inspection preparedness programs in digitally mature organizations continuously monitor quality system KPIs — overdue CAPAs, deviation backlog, procedure overdue for review, training compliance rates — and use these metrics to identify and remediate gaps before they are identified by regulators. This continuous inspection readiness posture is enabled by real-time dashboards and exception alerts that the eQMS generates automatically, giving quality leadership visibility into the organization's inspection readiness at any point in time.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7.6 Questions for the Board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Is the organization's quality management system fully electronic, integrated, and audit-trail-compliant across all manufacturing sites and quality functions, or are paper-based processes still in operation? What is the organization's current average time to CAPA completion following a critical deviation, and how does this compare to the regulatory expectations and industry benchmarks? How quickly can the quality team retrieve a complete manufacturing and quality record for any batch in the last five years — in minutes (digital) or in days (paper)? What are the organization's top three recurring categories of deviation, and is there a digital quality analytics program driving systematic root cause analysis and elimination?</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EEF2F7" w:val="clear"/>
            <w:tcMar>
              <w:top w:type="dxa" w:w="160"/>
              <w:left w:type="dxa" w:w="200"/>
              <w:bottom w:type="dxa" w:w="160"/>
              <w:right w:type="dxa" w:w="200"/>
            </w:tcMar>
          </w:tcPr>
          <w:p>
            <w:pPr>
              <w:spacing w:before="0" w:after="80"/>
            </w:pPr>
            <w:r>
              <w:rPr>
                <w:rFonts w:ascii="Calibri" w:cs="Calibri" w:eastAsia="Calibri" w:hAnsi="Calibri"/>
                <w:b/>
                <w:bCs/>
                <w:caps/>
                <w:color w:val="0D2B55"/>
                <w:sz w:val="18"/>
                <w:szCs w:val="18"/>
              </w:rPr>
              <w:t xml:space="preserve">REGIONAL SPOTLIGHT: REGIONAL SPOTLIGHT: QUALITY DIGITAL TRANSFORMATION ACROSS MARKETS</w:t>
            </w:r>
          </w:p>
          <w:p>
            <w:pPr>
              <w:spacing w:before="0" w:after="0"/>
              <w:jc w:val="both"/>
            </w:pPr>
            <w:r>
              <w:rPr>
                <w:rFonts w:ascii="Calibri" w:cs="Calibri" w:eastAsia="Calibri" w:hAnsi="Calibri"/>
                <w:color w:val="1A1A2E"/>
                <w:sz w:val="20"/>
                <w:szCs w:val="20"/>
              </w:rPr>
              <w:t xml:space="preserve">In the US, the FDA's data integrity expectations — articulated in detail in the 2018 data integrity guidance and reinforced in virtually every manufacturing inspection since — have created powerful regulatory motivation for quality digitalization. FDA-inspected facilities that can demonstrate comprehensive electronic records management, validated systems, and real-time process monitoring enjoy faster inspection cycles and better inspection outcomes than paper-based facilities. In the EU, the EMA's GMP Annex 11 (computerized systems) and GMP Chapter 4 (documentation) set the European regulatory expectation for digital quality systems. The EU GMP framework is in several respects more prescriptive than US expectations regarding computerized system validation, and EU-inspected facilities must demonstrate explicit validation documentation for all GxP-impacted software systems. In India, quality management digitalization is the single most impactful lever available to Indian pharmaceutical manufacturers seeking to improve their standing with US FDA, EMA, and other stringent regulatory authorities. The pattern of data integrity failures identified in Indian manufacturing inspections — manual data manipulation, inadequate audit trail management, paper records that do not match electronic system records — are precisely the failure modes that a well-implemented eQMS eliminates. The Indian government's regulatory modernization agenda under CDSCO is increasingly aligned with international expectations, and the most forward-looking Indian manufacturers are using eQMS and digital quality tools as both a compliance investment and a quality culture transformation program.</w:t>
            </w:r>
          </w:p>
        </w:tc>
      </w:tr>
    </w:tbl>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0"/>
      </w:pPr>
      <w:r>
        <w:br w:type="page"/>
      </w:r>
    </w:p>
    <w:p>
      <w:pPr>
        <w:pStyle w:val="Heading1"/>
        <w:pBdr>
          <w:bottom w:val="single" w:color="C9A84C" w:sz="6" w:space="4"/>
        </w:pBdr>
        <w:shd w:fill="0D2B55" w:val="clear"/>
        <w:spacing w:before="480" w:after="240"/>
        <w:ind w:left="200" w:right="200"/>
      </w:pPr>
      <w:r>
        <w:rPr>
          <w:rFonts w:ascii="Calibri" w:cs="Calibri" w:eastAsia="Calibri" w:hAnsi="Calibri"/>
          <w:b/>
          <w:bCs/>
          <w:caps/>
          <w:color w:val="FFFFFF"/>
          <w:sz w:val="36"/>
          <w:szCs w:val="36"/>
        </w:rPr>
        <w:t xml:space="preserve">Chapter 8: Regulatory Affairs &amp; Compliance — Digital Transformation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F0E8" w:val="clear"/>
            <w:tcMar>
              <w:top w:type="dxa" w:w="160"/>
              <w:left w:type="dxa" w:w="200"/>
              <w:bottom w:type="dxa" w:w="160"/>
              <w:right w:type="dxa" w:w="200"/>
            </w:tcMar>
          </w:tcPr>
          <w:p>
            <w:pPr>
              <w:spacing w:before="0" w:after="80"/>
            </w:pPr>
            <w:r>
              <w:rPr>
                <w:rFonts w:ascii="Calibri" w:cs="Calibri" w:eastAsia="Calibri" w:hAnsi="Calibri"/>
                <w:b/>
                <w:bCs/>
                <w:caps/>
                <w:color w:val="C9A84C"/>
                <w:sz w:val="18"/>
                <w:szCs w:val="18"/>
              </w:rPr>
              <w:t xml:space="preserve">EXECUTIVE SUMMARY</w:t>
            </w:r>
          </w:p>
          <w:p>
            <w:pPr>
              <w:spacing w:before="0" w:after="0"/>
              <w:jc w:val="both"/>
            </w:pPr>
            <w:r>
              <w:rPr>
                <w:rFonts w:ascii="Calibri" w:cs="Calibri" w:eastAsia="Calibri" w:hAnsi="Calibri"/>
                <w:i/>
                <w:iCs/>
                <w:color w:val="1A1A2E"/>
                <w:sz w:val="20"/>
                <w:szCs w:val="20"/>
              </w:rPr>
              <w:t xml:space="preserve">Regulatory affairs sits at the intersection of science, law, and operations — and it is being profoundly reshaped by digitalization. The submission of regulatory dossiers, the management of global product registrations, the generation and integration of real-world evidence, the conduct of pharmacovigilance, and the navigation of an ever-evolving global regulatory landscape are all becoming faster, more accurate, and more strategically powerful as digital tools mature. This chapter explores how digital transformation is redefining the regulatory function from a compliance administration role into a strategic scientific and commercial capability.</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8.1 The Regulatory Affairs Transformation Context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regulatory affairs function in a large pharmaceutical company is responsible for managing relationships with regulatory authorities in every market where the company's products are approved, generating and compiling the evidence packages that regulators use to make approval decisions, maintaining the post-approval compliance obligations for every approved product, and monitoring the evolving global regulatory environment for changes that affect the company's portfolio. In a company with a 50-product global portfolio across 100 markets, this means managing approximately 5,000 individual product registrations, each with its own lifecycle of annual updates, renewal submissions, post-approval change notifications, and pharmacovigilance obligations.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Managing this complexity without digital tools is essentially impossible at scale. Legacy regulatory affairs operations — teams managing product registrations in spreadsheets, submitting dossiers through sequential email workflows, and tracking pharmacovigilance obligations in shared network drives — are characterized by missed deadlines, version control errors, regulatory intelligence gaps, and the constant operational pressure of managing a registration portfolio that grows larger and more complex every year.</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8.2 Regulatory Information Management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Regulatory Information Management (RIM) — the systematic digital management of product registration information across all markets — is the foundational digital investment for a modern regulatory affairs function. A RIM platform provides a unified, structured repository of all regulatory information for every product in every market: submission history, approval dates, approved labeling, post-approval commitments, regulatory agency contacts, and the full dossier content in linked, version-controlled form.</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business case for RIM is straightforward. Without a RIM system, regulatory affairs teams in large companies spend an estimated 30 to 40 percent of their time searching for information — finding the current approved label for a specific market, determining what post-approval commitments are outstanding, or reconstructing the submission history for a product facing a regulatory query. A well-implemented RIM platform makes all of this information instantly accessible, reduces the risk of missed regulatory deadlines, and provides management visibility into the health of the global registration portfolio.</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Veeva Vault RIM, IQVIA Regulatory Submission Management, and Lorenz docuBridge are among the leading RIM platforms in the industry, with Veeva achieving the dominant market position following the industry's broad adoption of Vault as an enterprise platform for life sciences content management. A key capability of modern RIM platforms is their integration with structured content management — enabling the creation of regulatory dossiers not as static documents but as assembled outputs from a structured database of scientific content, where changes to a study report or a specification can automatically propagate to all submissions in which that content is referenced.</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8.3 Structured Content Management and Submission Automation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electronic Common Technical Document (eCTD) is the globally mandated format for regulatory submissions in the US, EU, Japan, Canada, and an increasing number of other markets. The eCTD structure — a hierarchical organization of documents across five modules covering administrative, quality, nonclinical, and clinical domains — defines the information architecture of every major regulatory submission.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Modern regulatory submission automation platforms go beyond simply assembling documents into the eCTD format. They treat the submission as a structured data object — where individual scientific claims, study references, and data tables are linked to their source data systems and can be automatically updated when underlying data changes. This approach — called structured authoring or intelligent authoring — enables the automatic population of submission templates from validated data sources, reducing the manual authoring burden and the error rate in submissions.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impact on submission cycle time is significant. Organizations that have implemented structured content management and submission automation report a 30 to 50 percent reduction in the time from regulatory strategy decision to submission package delivery. For a New Drug Application or Marketing Authorization Application representing years of R&amp;D investment, compressing the submission cycle by 3 to 6 months translates directly into earlier revenue realization and competitive advantage.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8.4 Pharmacovigilance: Digital Safety Surveillance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Pharmacovigilance (PV) — the ongoing monitoring of drug safety after regulatory approval — is both a legal obligation and a scientific discipline. Pharmaceutical companies are required to collect, assess, and report adverse events from patients, healthcare providers, and the published literature to regulatory authorities globally. For a large company managing dozens of marketed products, this means processing hundreds of thousands of individual case safety reports (ICSRs) per year.</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digital transformation of pharmacovigilance has two dimensions. The operational dimension — case intake, case processing, medical coding, case narrative writing, and regulatory reporting — has been substantially automated through AI-assisted processing tools that can intake cases from structured and unstructured sources (email, call center transcripts, social media, published literature), perform automated triage and completeness assessment, pre-populate case narratives using natural language generation, and generate submission-ready Individual Case Safety Reports (ICSRs) for regulatory transmission. These automation tools are reducing PV case processing costs by 40 to 60 percent in organizations that have fully deployed them, while simultaneously reducing the error rate in regulatory submissions.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scientific dimension of PV digitalization — signal detection and benefit-risk assessment — is being transformed by AI-driven signal analytics platforms that can identify safety signals from aggregated post-marketing data earlier and more reliably than traditional statistical methods. Multi-source signal detection — combining spontaneous reporting data with claims data, electronic health records, social media, and published literature — is creating a richer signal environment that identifies emerging safety issues faster than any single data source could alone.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8.5 Real-World Evidence in Regulatory Decision-Making</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Real-world evidence (RWE) — evidence generated from real-world data sources including electronic health records, claims databases, patient registries, and wearable device data, as distinct from evidence generated in randomized controlled trials — is playing an increasingly significant role in regulatory decision-making globally. The FDA's RWE Program, the EMA's DARWIN EU real-world evidence platform, and the UK MHRA's Real World Evidence Framework are all expanding the regulatory contexts in which RWE is accepted as evidence for regulatory decisions.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strategic implications for pharmaceutical companies are profound. RWE can support label expansions without additional randomized trials — as demonstrated by the FDA's approval of new indications for several oncology drugs based on real-world registry data. It can satisfy post-approval commitments more rapidly and cost-effectively than traditional Phase IV trials. It can provide the comparative effectiveness data that payers increasingly require as a condition of reimbursement. And in rare diseases, where randomized controlled trials are often impractical due to small patient populations, RWE provides an alternative evidentiary pathway that regulators are actively developing frameworks to accept.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Building a RWE capability requires investment in several layers: access to high-quality real-world data sources (health system EHR networks, claims databases, disease registries), analytical infrastructure for processing and analyzing these data, regulatory-grade documentation and governance for RWE studies, and relationships with regulatory agencies to pre-discuss and validate RWE approaches before committing to a study design. Companies that have built this capability are generating competitive advantages that pure trial-based evidence strategies cannot match.</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8.6 Regulatory Intelligence and Digital Regulatory Strategy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global regulatory environment is in continuous evolution — new guidelines, revised standards, updated digital health frameworks, and changing agency expectations are published constantly. Staying current with this environment across all relevant markets is a full-time intelligence function, and doing it through manual literature review and regulatory newsletter subscriptions does not scale.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AI-powered regulatory intelligence platforms continuously monitor regulatory agency websites, Federal Register publications, EudraLex updates, ICH working group outputs, and regulatory conference proceedings to extract, classify, and alert regulatory teams to relevant changes. These platforms can assess the impact of regulatory changes on the company's product portfolio and strategic plans — flagging, for example, that a new EU guideline on continuous manufacturing requires a post-approval variation for all products manufactured using continuous processes in EU-approved facilities.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8.7 Questions for the Board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What is the current average time from data lock on a Phase III trial to eCTD submission of the marketing application — and what would a world-class timeline look like? Does the organization have a unified RIM platform that provides real-time visibility into every product registration, renewal deadline, and post-approval commitment globally? What is the organization's strategy for real-world evidence, and is the RWE capability in place to execute it? How is the organization monitoring the evolving regulatory digital health framework — AI software as a medical device, digital endpoint guidance, real-world evidence standards — and who is accountable for translating regulatory intelligence into strategy?</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EEF2F7" w:val="clear"/>
            <w:tcMar>
              <w:top w:type="dxa" w:w="160"/>
              <w:left w:type="dxa" w:w="200"/>
              <w:bottom w:type="dxa" w:w="160"/>
              <w:right w:type="dxa" w:w="200"/>
            </w:tcMar>
          </w:tcPr>
          <w:p>
            <w:pPr>
              <w:spacing w:before="0" w:after="80"/>
            </w:pPr>
            <w:r>
              <w:rPr>
                <w:rFonts w:ascii="Calibri" w:cs="Calibri" w:eastAsia="Calibri" w:hAnsi="Calibri"/>
                <w:b/>
                <w:bCs/>
                <w:caps/>
                <w:color w:val="0D2B55"/>
                <w:sz w:val="18"/>
                <w:szCs w:val="18"/>
              </w:rPr>
              <w:t xml:space="preserve">REGIONAL SPOTLIGHT: REGIONAL SPOTLIGHT: REGULATORY DIGITALIZATION ACROSS MARKETS</w:t>
            </w:r>
          </w:p>
          <w:p>
            <w:pPr>
              <w:spacing w:before="0" w:after="0"/>
              <w:jc w:val="both"/>
            </w:pPr>
            <w:r>
              <w:rPr>
                <w:rFonts w:ascii="Calibri" w:cs="Calibri" w:eastAsia="Calibri" w:hAnsi="Calibri"/>
                <w:color w:val="1A1A2E"/>
                <w:sz w:val="20"/>
                <w:szCs w:val="20"/>
              </w:rPr>
              <w:t xml:space="preserve">In the US, FDA's digital modernization agenda is among the most advanced in the world. The FDA's DSCSA implementation, the Digital Health Center of Excellence, the AI/ML-based SaMD (Software as a Medical Device) action plan, the RWE Framework, and the Computer Software Assurance guidance collectively define a regulatory environment that actively rewards organizations with digital capabilities. Companies that engage early with FDA's digital pilot programs — including the Real-Time Oncology Review (RTOR) pilot that enables submission of final clinical data before the full eCTD is assembled — gain significant approval timeline advantages. In the EU, the EMA's digital transformation is embodied in its Data Analytics and Methods (DAM) strategy, the DARWIN EU real-world evidence infrastructure, and the progressive adoption of IDMP (Identification of Medicinal Products) structured data standards. The IDMP standard — which requires pharmaceutical companies to describe their products in a structured, machine-readable data format — is one of the most significant regulatory data standards investments the industry has made in a decade, enabling regulatory agencies to cross-reference product information across all 27 member states in real time. In India, CDSCO's SUGAM portal has digitalized the regulatory submission process for domestic and export-oriented manufacturers, replacing paper-based dossier submissions with electronic applications. The portal has significantly reduced submission processing times and improved transparency of the regulatory review process. India's ambition to become a reference regulatory authority — recognized by WHO and by stringent regulatory authorities as a credible peer for mutual reliance arrangements — is directly tied to the continued modernization of CDSCO's digital regulatory infrastructure.</w:t>
            </w:r>
          </w:p>
        </w:tc>
      </w:tr>
    </w:tbl>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0"/>
      </w:pPr>
      <w:r>
        <w:br w:type="page"/>
      </w:r>
    </w:p>
    <w:p>
      <w:pPr>
        <w:pStyle w:val="Heading1"/>
        <w:pBdr>
          <w:bottom w:val="single" w:color="C9A84C" w:sz="6" w:space="4"/>
        </w:pBdr>
        <w:shd w:fill="0D2B55" w:val="clear"/>
        <w:spacing w:before="480" w:after="240"/>
        <w:ind w:left="200" w:right="200"/>
      </w:pPr>
      <w:r>
        <w:rPr>
          <w:rFonts w:ascii="Calibri" w:cs="Calibri" w:eastAsia="Calibri" w:hAnsi="Calibri"/>
          <w:b/>
          <w:bCs/>
          <w:caps/>
          <w:color w:val="FFFFFF"/>
          <w:sz w:val="36"/>
          <w:szCs w:val="36"/>
        </w:rPr>
        <w:t xml:space="preserve">Chapter 9: Commercial, Sales &amp; Marketing — Digital Transformation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F0E8" w:val="clear"/>
            <w:tcMar>
              <w:top w:type="dxa" w:w="160"/>
              <w:left w:type="dxa" w:w="200"/>
              <w:bottom w:type="dxa" w:w="160"/>
              <w:right w:type="dxa" w:w="200"/>
            </w:tcMar>
          </w:tcPr>
          <w:p>
            <w:pPr>
              <w:spacing w:before="0" w:after="80"/>
            </w:pPr>
            <w:r>
              <w:rPr>
                <w:rFonts w:ascii="Calibri" w:cs="Calibri" w:eastAsia="Calibri" w:hAnsi="Calibri"/>
                <w:b/>
                <w:bCs/>
                <w:caps/>
                <w:color w:val="C9A84C"/>
                <w:sz w:val="18"/>
                <w:szCs w:val="18"/>
              </w:rPr>
              <w:t xml:space="preserve">EXECUTIVE SUMMARY</w:t>
            </w:r>
          </w:p>
          <w:p>
            <w:pPr>
              <w:spacing w:before="0" w:after="0"/>
              <w:jc w:val="both"/>
            </w:pPr>
            <w:r>
              <w:rPr>
                <w:rFonts w:ascii="Calibri" w:cs="Calibri" w:eastAsia="Calibri" w:hAnsi="Calibri"/>
                <w:i/>
                <w:iCs/>
                <w:color w:val="1A1A2E"/>
                <w:sz w:val="20"/>
                <w:szCs w:val="20"/>
              </w:rPr>
              <w:t xml:space="preserve">The commercial model of the pharmaceutical industry is undergoing its most fundamental restructuring in a generation. The era of the large, undifferentiated field force calling on all prescribers with the same message is over — dismantled by declining physician access, payer-driven prescribing constraints, the explosion of digital channels, and the growing sophistication of healthcare providers who expect pharmaceutical interactions to deliver genuine clinical value, not promotional repetition. In its place, a digitally enabled commercial model is emerging: one that uses AI to identify the right prescribers, data to personalize the message, omnichannel platforms to deliver it through whichever channel each prescriber prefers, and real-world outcome measurement to demonstrate the value of the therapy being promoted. This chapter builds the architecture of that model.</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9.1 The Disruption of the Traditional Pharma Commercial Model</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pharma sales model that dominated the industry from the 1980s through the mid-2000s — a large field force of sales representatives making frequent face-to-face calls to primary care and specialist physicians, promoting branded products with standardized messages — is no longer viable as a standalone commercial strategy. Physician accessibility has declined by 40 percent over the past fifteen years, as healthcare systems have imposed call restrictions and physicians have migrated away from the private practice settings where rep access was once easy. The effectiveness of traditional detailing — measured in prescription lift per call — has fallen dramatically as physician practice patterns are increasingly governed by formulary restrictions, electronic prescribing decision support, and clinical protocol adherence that is largely insensitive to sales rep promotion.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Simultaneously, the information landscape for physicians has been transformed. Physicians who want to learn about a new therapy do not wait for a sales rep visit; they search clinical databases, consult peer networks, attend virtual symposia, review digital formulary tools, and increasingly, interact with AI-assisted clinical decision support systems that synthesize evidence at the point of care. A commercial strategy that does not engage physicians through these digital touchpoints is invisible to a large fraction of its target audience.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commercial transformation that high-performing pharma companies are executing in response to these forces has three defining characteristics. It is data-driven — every resource allocation decision, from territory design to call frequency to message selection, is informed by analytics. It is omnichannel — the customer experience is designed across the full portfolio of channels (field, digital, remote) rather than optimized within individual channels in isolation. And it is outcome-oriented — the measure of commercial success is shifting from promotional activity metrics to patient outcome metrics, reflecting the payer and regulatory environment's growing demand that commercial effort translate into measurable health impact.</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9.2 Customer Intelligence and Next-Best-Action Analytics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foundation of a digital commercial model is customer intelligence — a comprehensive, AI-powered understanding of each healthcare provider's prescribing behavior, practice characteristics, channel preferences, message responsiveness, and patient population. Generating and operationalizing this intelligence at scale is the primary value driver of commercial data and analytics investment.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Next-best-action (NBA) models are the operational expression of customer intelligence. An NBA model integrates prescribing history, call history, digital engagement data, payer formulary position, clinical event data (conference attendance, published research, guideline participation), and behavioral signals from digital channels to generate, for each individual prescriber, a specific recommendation about what action a commercial team member should take next — which channel to use, what message to deliver, and when to engage. The NBA recommendation is generated in real time, updated continuously as new engagement data is captured, and delivered to the relevant field or digital team member through their CRM or digital engagement platform.</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commercial impact of mature NBA deployment is well-documented. A major European pharmaceutical company reported a 28 percent increase in prescriber share-of-voice following NBA implementation, with no increase in field force headcount. A US specialty pharma company found that NBA-driven message personalization improved message recall rates by 35 percent compared to standardized promotional messaging. The ROI from NBA investment typically manifests within 12 to 18 months of deployment — making it one of the fastest-returning digital commercial investments available.</w:t>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84A3" w:sz="4"/>
              <w:left w:val="single" w:color="6B84A3" w:sz="4"/>
              <w:bottom w:val="single" w:color="6B84A3" w:sz="4"/>
              <w:right w:val="single" w:color="6B84A3" w:sz="4"/>
            </w:tcBorders>
            <w:shd w:fill="F0F4F8" w:val="clear"/>
            <w:tcMar>
              <w:top w:type="dxa" w:w="160"/>
              <w:left w:type="dxa" w:w="200"/>
              <w:bottom w:type="dxa" w:w="160"/>
              <w:right w:type="dxa" w:w="200"/>
            </w:tcMar>
          </w:tcPr>
          <w:p>
            <w:pPr>
              <w:spacing w:before="0" w:after="80"/>
            </w:pPr>
            <w:r>
              <w:rPr>
                <w:rFonts w:ascii="Calibri" w:cs="Calibri" w:eastAsia="Calibri" w:hAnsi="Calibri"/>
                <w:b/>
                <w:bCs/>
                <w:caps/>
                <w:color w:val="6B84A3"/>
                <w:sz w:val="18"/>
                <w:szCs w:val="18"/>
              </w:rPr>
              <w:t xml:space="preserve">CASE STUDY: REAL-WORLD CASE STUDY: NOVARTIS' CUSTOMER ENGAGEMENT TRANSFORMATION</w:t>
            </w:r>
          </w:p>
          <w:p>
            <w:pPr>
              <w:spacing w:before="0" w:after="0"/>
              <w:jc w:val="both"/>
            </w:pPr>
            <w:r>
              <w:rPr>
                <w:rFonts w:ascii="Calibri" w:cs="Calibri" w:eastAsia="Calibri" w:hAnsi="Calibri"/>
                <w:color w:val="1A1A2E"/>
                <w:sz w:val="20"/>
                <w:szCs w:val="20"/>
              </w:rPr>
              <w:t xml:space="preserve">Novartis publicly disclosed the results of its AI-driven commercial transformation across several therapeutic franchises between 2021 and 2024. The program deployed AI-powered customer segmentation, next-best-action recommendations, and omnichannel orchestration across its commercial organization in the US and key European markets. The measurable outcomes included a 20 to 25 percent improvement in field force productivity (measured in high-quality interactions per representative per week), a 30 percent increase in prescriber engagement through digital channels, and an estimated USD 200 million in annual commercial efficiency gains across the transformed portfolio. Novartis' CDO organization has positioned this capability as a durable competitive advantage that will sustain commercial performance even as individual therapy patents expire.</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9.3 Omnichannel Customer Engagement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Omnichannel engagement means designing the customer experience as a single, coherent journey across all channels — field, remote (virtual rep), email, approved digital platforms, virtual medical education events, peer-to-peer networks, and medical science liaison interactions — rather than managing each channel as an independent program. The distinction between multichannel (operating in multiple channels simultaneously) and omnichannel (integrating these channels into a single, coordinated customer experience) is the difference between a collection of commercial activities and a commercial system.</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technology infrastructure for omnichannel pharma engagement centers on a Customer Engagement Platform (CEP) that integrates the CRM (Salesforce or Veeva), the marketing automation platform (Veeva Vault PromoMats for content, ExactTarget or Marketo for email deployment), the remote engagement platform (Veeva Engage, Microsoft Teams for HCP), the approved email platform (Veeva Approved Email), the medical content portal (brand-specific digital content destinations), and the analytics layer that measures engagement across all channels and feeds the NBA model.</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critical governance challenge in omnichannel pharma is regulatory compliance — ensuring that every piece of content, every channel interaction, and every digital touchpoint meets the promotional regulatory requirements of every market in which it is deployed. Content approval workflows — mandatory review by Medical, Legal, and Regulatory (MLR) before deployment — must be integrated into the omnichannel platform so that the compliance workflow does not create a bottleneck that defeats the speed advantage of digital engagement. Leading organizations have reduced MLR cycle times by 40 to 60 percent through automation of routine review tasks, standardized content modules that carry pre-approved claim sets, and AI-assisted compliance checking that flags potential issues before formal MLR review.</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9.4 Key Account Management and Market Access Digitalization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growing influence of payers, integrated delivery networks (IDNs), and pharmacy benefit managers (PBMs) over prescribing decisions has shifted the commercial center of gravity in many therapeutic areas from physician promotion to key account management and market access. Getting a drug onto a formulary — and onto a favorable formulary tier — often has more commercial impact than the size of the field force calling on individual prescribers.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Digital tools for key account management and market access include contract management platforms that manage payer and IDN contracts with automated compliance monitoring, value dossier automation tools that generate real-world evidence summaries and health economic models tailored to specific payer audiences, and market access analytics platforms that monitor formulary coverage changes in real time and generate early warning signals when a competitor's formulary position is improving at the expense of an existing product.</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9.5 Digital Marketing and Direct-to-Patient Engagement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In markets that permit direct-to-consumer pharmaceutical advertising — primarily the US and New Zealand — digital marketing platforms have become essential commercial channels. Social media, search engine marketing, and programmatic digital advertising allow pharma companies to reach patients with regulated disease awareness messaging, patient support program enrollment campaigns, and branded advertising at scale and with audience targeting precision unavailable in traditional broadcast media.</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Beyond advertising, digital patient engagement platforms — disease management apps, patient adherence support programs, digital health coaching services, and patient community platforms — are becoming important commercial tools for several reasons. They improve therapy adherence, which improves clinical outcomes, which supports outcomes-based contracting with payers. They generate rich real-world data on patient experience that informs product development, commercial messaging, and pharmacovigilance. And they create a direct relationship between the pharmaceutical brand and the patient that is increasingly valuable as healthcare consumerism grows.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9.6 Commercial Analytics and Performance Management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Commercial digital transformation does not stop at deploying tools — it requires a fundamentally different approach to performance management. Organizations that deploy sophisticated NBA analytics but continue to measure commercial performance through traditional activity metrics (number of calls, number of samples distributed) are not transforming their commercial model; they are adding technology to an unchanged management system.</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Digital commercial performance management uses outcome-based metrics: prescriber share of voice, prescriber activation rate (the proportion of targeted prescribers who write at least one prescription per quarter), message penetration (the proportion of targeted prescribers who accurately recall the product's key messages), and patient conversion rate (the proportion of diagnosed eligible patients who start therapy). These metrics are tracked in real time, at the individual territory and representative level, through commercial analytics dashboards that are fed by integrated CRM, pharmacy dispensing, and payer data.</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9.7 Questions for the Board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What is the organization's current customer engagement model — are field, digital, and remote channels operating as an integrated omnichannel system or as independently managed programs? Is the commercial organization using NBA analytics, and if so, what has been the measured impact on prescriber engagement and market share? What fraction of the commercial budget is allocated to digital channels, and how does this compare to the digital channel preferences of the target prescriber audience? How is the organization managing the medical-legal-regulatory review cycle for digital content, and what is the average time from content creation to deployment?</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EEF2F7" w:val="clear"/>
            <w:tcMar>
              <w:top w:type="dxa" w:w="160"/>
              <w:left w:type="dxa" w:w="200"/>
              <w:bottom w:type="dxa" w:w="160"/>
              <w:right w:type="dxa" w:w="200"/>
            </w:tcMar>
          </w:tcPr>
          <w:p>
            <w:pPr>
              <w:spacing w:before="0" w:after="80"/>
            </w:pPr>
            <w:r>
              <w:rPr>
                <w:rFonts w:ascii="Calibri" w:cs="Calibri" w:eastAsia="Calibri" w:hAnsi="Calibri"/>
                <w:b/>
                <w:bCs/>
                <w:caps/>
                <w:color w:val="0D2B55"/>
                <w:sz w:val="18"/>
                <w:szCs w:val="18"/>
              </w:rPr>
              <w:t xml:space="preserve">REGIONAL SPOTLIGHT: REGIONAL SPOTLIGHT: COMMERCIAL DIGITALIZATION BY GEOGRAPHY</w:t>
            </w:r>
          </w:p>
          <w:p>
            <w:pPr>
              <w:spacing w:before="0" w:after="0"/>
              <w:jc w:val="both"/>
            </w:pPr>
            <w:r>
              <w:rPr>
                <w:rFonts w:ascii="Calibri" w:cs="Calibri" w:eastAsia="Calibri" w:hAnsi="Calibri"/>
                <w:color w:val="1A1A2E"/>
                <w:sz w:val="20"/>
                <w:szCs w:val="20"/>
              </w:rPr>
              <w:t xml:space="preserve">In the US, commercial digitalization is most advanced in oncology, immunology, and rare disease — therapeutic areas where payer management complexity, small prescriber universes, and high product prices create the strongest ROI for sophisticated customer intelligence and key account management capabilities. US commercial leaders including Genentech/Roche, Bristol-Myers Squibb, and AstraZeneca Oncology have deployed some of the most advanced commercial analytics platforms in the industry. In the European Union, commercial digital transformation is shaped by the fragmentation of 27 national pharmaceutical markets, each with its own regulatory environment, reimbursement system, and physician engagement culture. Omnichannel commercial models in Europe must be adapted market by market — what works in Germany's doctor-driven market may not translate directly to France's consensus-based prescribing culture or the UK's NHS-managed formulary environment. In India, commercial digitalization is accelerating rapidly as domestic pharma companies and multinational subsidiaries move from purely rep-driven commercial models to omnichannel approaches that complement field sales with digital engagement platforms, telemedicine partnerships, and digital marketing. The rapid expansion of internet access, smartphone penetration, and physician comfort with digital communication in India creates a highly receptive environment for digital commercial transformation. Companies like Sun Pharma, Cipla, and Abbott India are investing in digital commercial capabilities, and several multinational pharma companies are using their India operations as a testing ground for digital commercial models that are then adapted for other emerging markets.</w:t>
            </w:r>
          </w:p>
        </w:tc>
      </w:tr>
    </w:tbl>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0"/>
      </w:pPr>
      <w:r>
        <w:br w:type="page"/>
      </w:r>
    </w:p>
    <w:p>
      <w:pPr>
        <w:pStyle w:val="Heading1"/>
        <w:pBdr>
          <w:bottom w:val="single" w:color="C9A84C" w:sz="6" w:space="4"/>
        </w:pBdr>
        <w:shd w:fill="0D2B55" w:val="clear"/>
        <w:spacing w:before="480" w:after="240"/>
        <w:ind w:left="200" w:right="200"/>
      </w:pPr>
      <w:r>
        <w:rPr>
          <w:rFonts w:ascii="Calibri" w:cs="Calibri" w:eastAsia="Calibri" w:hAnsi="Calibri"/>
          <w:b/>
          <w:bCs/>
          <w:caps/>
          <w:color w:val="FFFFFF"/>
          <w:sz w:val="36"/>
          <w:szCs w:val="36"/>
        </w:rPr>
        <w:t xml:space="preserve">Chapter 10: Patient Engagement — Digital Transformation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F0E8" w:val="clear"/>
            <w:tcMar>
              <w:top w:type="dxa" w:w="160"/>
              <w:left w:type="dxa" w:w="200"/>
              <w:bottom w:type="dxa" w:w="160"/>
              <w:right w:type="dxa" w:w="200"/>
            </w:tcMar>
          </w:tcPr>
          <w:p>
            <w:pPr>
              <w:spacing w:before="0" w:after="80"/>
            </w:pPr>
            <w:r>
              <w:rPr>
                <w:rFonts w:ascii="Calibri" w:cs="Calibri" w:eastAsia="Calibri" w:hAnsi="Calibri"/>
                <w:b/>
                <w:bCs/>
                <w:caps/>
                <w:color w:val="C9A84C"/>
                <w:sz w:val="18"/>
                <w:szCs w:val="18"/>
              </w:rPr>
              <w:t xml:space="preserve">EXECUTIVE SUMMARY</w:t>
            </w:r>
          </w:p>
          <w:p>
            <w:pPr>
              <w:spacing w:before="0" w:after="0"/>
              <w:jc w:val="both"/>
            </w:pPr>
            <w:r>
              <w:rPr>
                <w:rFonts w:ascii="Calibri" w:cs="Calibri" w:eastAsia="Calibri" w:hAnsi="Calibri"/>
                <w:i/>
                <w:iCs/>
                <w:color w:val="1A1A2E"/>
                <w:sz w:val="20"/>
                <w:szCs w:val="20"/>
              </w:rPr>
              <w:t xml:space="preserve">The patient has moved from the periphery to the center of pharmaceutical strategy. This shift — driven by a convergence of empowered health consumers, digital health technology, payer demands for real-world outcomes, and regulatory expectations for patient-centric evidence — is one of the most profound structural changes in the industry's history. Pharmaceutical companies that still treat patient engagement as a post-approval support program bolt-on will find themselves progressively disadvantaged compared to organizations that have built patient centricity into their operating model from target identification through therapy lifecycle management. This chapter defines what genuinely patient-centric digital engagement looks like, and provides the architecture for building it.</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10.1 The Empowered Patient and the Pharmaceutical Response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patient experience of illness has been transformed by digital technology in ways that are irreversible and that the pharmaceutical industry is still catching up to. A newly diagnosed patient today is likely to spend hours researching their condition online before seeing a specialist, to join digital patient communities where they discuss symptoms and treatment experiences with thousands of others who share their diagnosis, to track their symptoms and treatment response through smartphone apps, and to arrive at their first specialist appointment having already formed views about which therapies they want to discuss and which clinical trials they might be eligible for.</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This patient is not passive. They are an active participant in their own healthcare, and they expect the companies that manufacture their medicines to engage with them as intelligent adults rather than as recipients of one-directional pharmaceutical information. They want disease management support, not just drug dispensing. They want to understand not just whether a therapy works on average but whether it works for patients like them. They want their treatment experience to be convenient, connected, and contextually relevant to their life.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pharmaceutical companies that are responding to this expectation are building what some describe as the "beyond the pill" portfolio — a suite of digital services, support programs, and connected health tools that accompany the therapy and create value for the patient beyond the pharmacological effect of the drug itself. These beyond-the-pill capabilities are simultaneously a source of commercial advantage (they improve adherence, generate real-world data, and create a direct relationship between the brand and the patient), a payer relations asset (they support outcomes-based contracting by demonstrating real-world effectiveness), and a scientific resource (patient-generated digital health data is becoming a primary source of evidence for label expansions, new indication development, and pharmacovigilance).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10.2 Digital Patient Support Programs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Patient support programs (PSPs) — the structured programs pharmaceutical companies operate to help patients start and stay on their therapies — are the most widespread form of patient engagement in the industry. PSPs encompass specialty pharmacy coordination, injection training and device support, copay assistance programs, nurse educator outreach, and adherence reminders. Historically delivered through call centers and nurse field forces, these programs are being transformed by digital technology in ways that dramatically extend their reach and impact.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Digital PSPs use mobile applications as the primary patient interface, providing personalized disease and treatment information, injection or device training through video guidance, symptom tracking tools, appointment reminders, adherence monitoring, and direct access to nurse educators via secure messaging or teleconsultation. Connected device integrations — between auto-injector devices equipped with electronic adherence sensors and the PSP mobile app — provide objective adherence data that allows PSP managers to identify patients at risk of discontinuation before they actually miss doses, enabling proactive outreach.</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business case for digital PSP investment is strong and well-evidenced. Studies consistently show that patients enrolled in structured digital PSPs demonstrate 15 to 25 percent higher six-month therapy persistence rates than patients receiving standard pharmacy dispensing without PSP support. In specialty therapeutic areas — rheumatology, oncology, rare disease, transplant — where therapy persistence has a direct and measurable impact on clinical outcomes, this improvement translates into genuine patient benefit as well as commercial value.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10.3 Clinical Trial Patient Centricity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patient experience within clinical trials has historically been designed around the needs of the study rather than the needs of the patient — a design philosophy that is directly implicated in the recruitment difficulties and dropout rates that afflict most trials. Patients who participate in clinical trials sacrifice significant time and convenience, often traveling to investigator sites for assessments that could feasibly be conducted remotely, enduring complex protocol procedures that reflect the scientific ambition of the trial rather than the patient's practical life, and receiving limited information about their individual experience in the study.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Digital patient centricity in clinical trials means designing the study experience from the patient's perspective as well as the scientific one. It means using eConsent platforms that explain the study in plain language, provide patients with their own copy of the consent document, and allow them to ask questions through a direct channel to the study team. It means decentralizing study visits to reduce travel burden, using ePRO platforms to capture patient experience in the flow of daily life rather than at the study site, and providing patients with their own data through a participant portal that shows them their study results in a meaningful format. And it means conducting patient advisory panel consultations at the protocol design stage — not as a box-checking exercise but as a genuine input to the protocol design decisions that determine whether the study is feasible and fair for the patients it asks to participate.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10.4 Digital Therapeutics and Connected Health</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Digital therapeutics (DTx) — software-based interventions that deliver evidence-based clinical benefits to patients — represent the frontier of the pharmaceutical-digital intersection. Unlike wellness apps or general health information platforms, regulated digital therapeutics are software that has been validated in clinical trials to demonstrate safety and efficacy for specific clinical conditions, and in many jurisdictions can be prescribed and reimbursed like a pharmaceutical product.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digital therapeutics landscape has grown rapidly since the FDA cleared Pear Therapeutics' reSET (for substance use disorder) and reSET-O (for opioid use disorder) as prescription digital therapeutics in 2017 and 2018. Today, approved or CE-marked digital therapeutics exist for depression, anxiety, insomnia, ADHD, diabetes management, chronic back pain, and multiple other conditions. The regulatory pathway for digital therapeutics — as SaMD (Software as a Medical Device) under FDA's De Novo and 510(k) pathways in the US, or as MDR Class IIa devices in the EU — is now reasonably well established for behavioral health DTx, though the evidence standards for more complex indication areas remain in development.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For pharmaceutical companies, digital therapeutics represent both a threat (if DTx displace pharmaceutical approaches in some indication areas) and an opportunity (if they develop or partner on DTx that complement their pharmaceutical portfolio). A depression drug that is sold in combination with a validated digital CBT therapeutic has a differentiated value proposition compared to the drug alone — particularly in a payer environment increasingly demanding outcomes evidence for reimbursement decisions.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10.5 Patient Data and Real-World Evidence Generation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Patients are generating extraordinary quantities of health-relevant data through digital channels — symptom tracking apps, wearable devices, pharmacy dispensing records, telemedicine encounters, social media health discussions, and the digital interactions within patient support programs. This data, when collected with appropriate consent and integrated with clinical records, constitutes a real-world evidence resource of immense value for understanding how therapies perform outside the controlled conditions of clinical trials.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Building a patient data capability — the infrastructure to collect, govern, analyze, and report on patient-generated real-world data — requires investment in several dimensions simultaneously. Consent and data governance frameworks must be designed with patient trust at their center: patients will share their data only if they understand and are comfortable with how it will be used, who will have access to it, and what protections are in place against misuse. The technical infrastructure must integrate data from disparate sources — EHRs, apps, wearables, PSPs, claims — into a coherent analytical environment with sufficient data quality for regulatory-grade analysis. And the scientific capability — epidemiologists, biostatisticians, and real-world evidence methodologists — must be in place to design and execute studies that will generate evidence that regulators, payers, and the scientific community will accept.</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10.6 Questions for the Board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Does the organization have a patient engagement strategy that spans from clinical development through therapy lifecycle management — or are patient-facing programs managed reactively and in silos within individual commercial brands? What is the current enrollment rate and six-month persistence rate for patients in the organization's patient support programs, and how do these compare to the outcomes the programs were designed to achieve? Has the organization conducted patient advisory consultations for any of its late-stage clinical programs, and if so, what protocol design changes resulted? What is the organization's strategy for the digital therapeutics space in its core therapeutic areas — and who is accountable for monitoring and responding to competitive DTx development?</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EEF2F7" w:val="clear"/>
            <w:tcMar>
              <w:top w:type="dxa" w:w="160"/>
              <w:left w:type="dxa" w:w="200"/>
              <w:bottom w:type="dxa" w:w="160"/>
              <w:right w:type="dxa" w:w="200"/>
            </w:tcMar>
          </w:tcPr>
          <w:p>
            <w:pPr>
              <w:spacing w:before="0" w:after="80"/>
            </w:pPr>
            <w:r>
              <w:rPr>
                <w:rFonts w:ascii="Calibri" w:cs="Calibri" w:eastAsia="Calibri" w:hAnsi="Calibri"/>
                <w:b/>
                <w:bCs/>
                <w:caps/>
                <w:color w:val="0D2B55"/>
                <w:sz w:val="18"/>
                <w:szCs w:val="18"/>
              </w:rPr>
              <w:t xml:space="preserve">REGIONAL SPOTLIGHT: REGIONAL SPOTLIGHT: PATIENT ENGAGEMENT ACROSS MARKETS</w:t>
            </w:r>
          </w:p>
          <w:p>
            <w:pPr>
              <w:spacing w:before="0" w:after="0"/>
              <w:jc w:val="both"/>
            </w:pPr>
            <w:r>
              <w:rPr>
                <w:rFonts w:ascii="Calibri" w:cs="Calibri" w:eastAsia="Calibri" w:hAnsi="Calibri"/>
                <w:color w:val="1A1A2E"/>
                <w:sz w:val="20"/>
                <w:szCs w:val="20"/>
              </w:rPr>
              <w:t xml:space="preserve">In the **United States**, patient engagement digitalization is most advanced in specialty therapeutic areas — particularly oncology, rare disease, and immunology — where highly engaged patient communities, complex therapy management needs, and high product revenues create the strongest business case for sophisticated patient engagement capabilities. The US health system's fragmentation (no single national health authority to engage) means that pharmaceutical companies must build direct patient relationships as the primary channel for patient support. In the **European Union**, patient engagement is shaped by the tension between the GDPR's strict personal data governance requirements and the growing regulatory expectation that pharmaceutical companies will generate real-world patient data to support post-approval commitments. The resolution is emerging through patient-consented data programs built on GDPR-compliant infrastructure, and through the EHDS (European Health Data Space) framework that, when fully implemented, will create a federated pan-European health data infrastructure enabling large-scale real-world evidence generation. In **India**, patient engagement digitalization is an emerging priority with enormous scale potential. India's 1.4 billion population, its rapidly growing burden of non-communicable disease (diabetes, cardiovascular disease, cancer, respiratory disease), and its expanding smartphone and digital health literacy create a vast opportunity for digital patient engagement. The Ayushman Bharat Digital Mission's health ID infrastructure and the National Digital Health Ecosystem (NDHE) are creating the foundational digital health plumbing on which pharmaceutical patient engagement capabilities can be built. Indian pharma companies that invest early in digital patient engagement capabilities will position themselves to build the patient relationships that will drive loyalty in an increasingly competitive domestic generic market.</w:t>
            </w:r>
          </w:p>
        </w:tc>
      </w:tr>
    </w:tbl>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0"/>
      </w:pPr>
      <w:r>
        <w:br w:type="page"/>
      </w:r>
    </w:p>
    <w:p>
      <w:pPr>
        <w:pStyle w:val="Heading1"/>
        <w:pBdr>
          <w:bottom w:val="single" w:color="C9A84C" w:sz="6" w:space="4"/>
        </w:pBdr>
        <w:shd w:fill="0D2B55" w:val="clear"/>
        <w:spacing w:before="480" w:after="240"/>
        <w:ind w:left="200" w:right="200"/>
      </w:pPr>
      <w:r>
        <w:rPr>
          <w:rFonts w:ascii="Calibri" w:cs="Calibri" w:eastAsia="Calibri" w:hAnsi="Calibri"/>
          <w:b/>
          <w:bCs/>
          <w:caps/>
          <w:color w:val="FFFFFF"/>
          <w:sz w:val="36"/>
          <w:szCs w:val="36"/>
        </w:rPr>
        <w:t xml:space="preserve">Chapter 11: Enterprise Systems, Technology Architecture &amp; Data Platforms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F0E8" w:val="clear"/>
            <w:tcMar>
              <w:top w:type="dxa" w:w="160"/>
              <w:left w:type="dxa" w:w="200"/>
              <w:bottom w:type="dxa" w:w="160"/>
              <w:right w:type="dxa" w:w="200"/>
            </w:tcMar>
          </w:tcPr>
          <w:p>
            <w:pPr>
              <w:spacing w:before="0" w:after="80"/>
            </w:pPr>
            <w:r>
              <w:rPr>
                <w:rFonts w:ascii="Calibri" w:cs="Calibri" w:eastAsia="Calibri" w:hAnsi="Calibri"/>
                <w:b/>
                <w:bCs/>
                <w:caps/>
                <w:color w:val="C9A84C"/>
                <w:sz w:val="18"/>
                <w:szCs w:val="18"/>
              </w:rPr>
              <w:t xml:space="preserve">EXECUTIVE SUMMARY</w:t>
            </w:r>
          </w:p>
          <w:p>
            <w:pPr>
              <w:spacing w:before="0" w:after="0"/>
              <w:jc w:val="both"/>
            </w:pPr>
            <w:r>
              <w:rPr>
                <w:rFonts w:ascii="Calibri" w:cs="Calibri" w:eastAsia="Calibri" w:hAnsi="Calibri"/>
                <w:i/>
                <w:iCs/>
                <w:color w:val="1A1A2E"/>
                <w:sz w:val="20"/>
                <w:szCs w:val="20"/>
              </w:rPr>
              <w:t xml:space="preserve">Every digital transformation initiative described in the preceding chapters — the AI-driven drug discovery engine, the decentralized clinical trial platform, the intelligent manufacturing facility, the omnichannel commercial model — depends on a common foundational layer: the enterprise technology architecture and data platform. This layer is the least visible to the business but the most consequential for whether transformation initiatives deliver their promised value or collapse under the weight of integration complexity, data quality problems, and system fragmentation. This chapter provides the architectural blueprint for a modern pharmaceutical enterprise technology stack — from ERP and MES through cloud data platforms, AI/ML infrastructure, and integration architecture — designed to support the demands of a digitally transformed pharma enterprise.</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11.1 The Enterprise Technology Architecture Imperative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legacy enterprise technology landscape of a large pharmaceutical company is typically the product of decades of accumulated investment decisions made independently by different functions in different eras: an SAP ERP instance from the 1990s that has been customized beyond recognition; a Veeva CRM that is not integrated with the commercial data warehouse; a LIMS running on-premises at each manufacturing site that was procured by local site management; a clinical data management system that outputs data in a format incompatible with the biostatistics environment; and somewhere in the building, an advanced analytics team running models in isolated Python notebooks that cannot access the operational data systems they need because the integration was never built.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This landscape is not the result of poor decisions; it is the natural evolutionary product of a large, complex organization growing and acquiring over decades. But it is fundamentally incompatible with the connected, real-time, AI-powered operating model that modern pharmaceutical competition requires. The first task of enterprise digital transformation, before any AI model is trained or any cloud analytics platform is deployed, is to achieve a sufficient degree of architectural coherence — a technology foundation on which new capabilities can be built at speed, on which data can flow across functional boundaries, and on which the organization can learn and adapt rapidly.</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11.2 ERP Modernization: The Backbone of the Digital Enterprise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Enterprise Resource Planning (ERP) systems — the integrated platforms that manage financial management, supply chain, procurement, manufacturing planning, and human resources — are the backbone of the pharmaceutical enterprise. For most large pharma companies, this means SAP, which holds dominant market share in pharmaceutical ERP. The current generation of SAP ERP — SAP S/4HANA — represents a substantial architectural upgrade from the legacy SAP ECC systems that most large pharma companies are still running.</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migration from SAP ECC to S/4HANA is one of the most significant enterprise technology investments a pharmaceutical company will make — typically costing USD 100 million to USD 500 million for a large multinational and taking three to seven years to complete. The business case is not primarily about the ERP itself but about what S/4HANA enables: a real-time analytics layer (SAP Analytics Cloud) built on a modern in-memory database, an API-based integration architecture that allows external systems to connect easily, and a simplified data model that serves as the clean foundation for the analytics and AI investments layered on top.</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For smaller pharmaceutical companies and biotechs, cloud-native ERP options — including Oracle Cloud ERP, Workday for HR and Finance, and purpose-built pharma ERP solutions — offer modern architecture without the cost and complexity of an SAP transformation. The key principle regardless of ERP selection is that the ERP should be the authoritative source of truth for financial, supply chain, and master data — and that this data should be made available to downstream analytics and AI systems through well-governed, real-time integration.</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11.3 Life Sciences Industry Platforms: Veeva, IQVIA, and the Platform Economy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pharmaceutical industry has been the beneficiary of a remarkable development in enterprise software: the emergence of purpose-built, cloud-native platforms that address the specific functional and regulatory requirements of the pharmaceutical value chain. The most consequential of these is Veeva Systems, which has achieved market-dominant positions in commercial CRM (Veeva CRM, replacing Salesforce customizations), regulatory content management (Veeva Vault RIM), clinical operations (Veeva Vault CTMS, Vault EDC), quality management (Veeva Vault QualityOne), and medical affairs (Veeva Vault MedComms). The Veeva platform's strength is that its individual applications share a common data model, a common content management architecture, and common integration patterns — making it possible to build genuinely connected workflows across functions that were previously managed in separate systems.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IQVIA provides a complementary platform layer, particularly in data and analytics. IQVIA's data assets — prescribing data, claims data, patient-level longitudinal health records, and specialty pharmacy data — are foundational inputs to commercial analytics for most large pharma companies. IQVIA's analytics platforms (IQVIA CORE, OCE for commercial operations) and clinical data management services are used alongside Veeva in many pharma enterprise architectures.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strategic question for pharma technology leaders is not simply which individual platforms to select but how to architect a coherent platform ecosystem — defining which platforms own which data, how data flows between platforms, and how the overall platform architecture supports the business capabilities the transformation strategy requires.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11.4 The Pharmaceutical Data Platform: Lake, Warehouse, and Mesh</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explosion of data across the pharmaceutical value chain — from genomics to clinical trial endpoints to manufacturing sensors to prescription dispensing records — requires a data platform architecture designed for the scale, variety, and velocity of modern pharmaceutical data. The traditional data warehouse model — a centralized, structured repository that integrates copies of data from operational systems — is no longer sufficient as the sole data architecture for a pharmaceutical enterprise.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Modern pharmaceutical data platforms adopt a layered architecture that integrates three complementary approaches. The data lake provides a centralized repository for raw, unstructured, and semi-structured data — instrument outputs, genomic sequences, medical imaging files, clinical narratives, social media mentions — stored at low cost in cloud object storage and processed on-demand. The data warehouse provides a curated, structured analytical layer — integrating cleaned, governed, and modeled data from the ERP, LIMS, CRM, and other operational systems — that serves as the foundation for standard reporting and business intelligence. The data lakehouse architecture, emerging as the preferred model for large pharmaceutical enterprises, merges the scalability of the data lake with the governance and query performance of the data warehouse, enabling structured and unstructured data to coexist in a single governed environment.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Cloud hyperscalers — AWS, Microsoft Azure, and Google Cloud Platform — are the infrastructure layer on which pharmaceutical data platforms are built. All three have developed pharma-specific reference architectures and compliance certifications (including HIPAA and 21 CFR Part 11 cloud compliance) that address the regulatory requirements of pharmaceutical data hosting. The choice between hyperscalers is increasingly less about technical capability — all three are capable platforms — and more about organizational relationships, existing enterprise agreements, and the availability of domain-specific services.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concept of the data mesh — a decentralized data architecture in which individual domains (R&amp;D, clinical, manufacturing, commercial) own and publish their own data products through a common infrastructure platform with shared governance standards — is gaining adoption among the most mature pharmaceutical data organizations. The data mesh addresses the central limitation of centralized data platform architectures: they create a data engineering bottleneck in which every new data integration request must be handled by a central team, slowing innovation and creating frustrated domain users who build shadow data infrastructure around the bottleneck. A data mesh shifts data ownership to the domain while maintaining enterprise governance standards — a model that maps naturally onto the federated governance architecture described in Chapter 3.</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11.5 AI/ML Infrastructure and MLOps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Building AI models for pharmaceutical applications — drug-target interaction prediction, clinical trial recruitment analytics, manufacturing process optimization, commercial next-best-action — is a solved problem for organizations with the right talent and computational infrastructure. The unsolved problem in most pharmaceutical organizations is not building models but scaling them: moving from a successful proof-of-concept running in a data scientist's Jupyter notebook to a production-grade model serving real-time predictions across hundreds of users, with automated retraining, performance monitoring, and regulatory documentation.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MLOps — the application of DevOps principles to machine learning model lifecycle management — is the discipline that enables this transition. An MLOps platform provides a feature store (a repository of engineered data features that models can consume, enabling reuse across multiple models and ensuring consistency between training and serving), a model registry (a version-controlled repository of trained models with their performance metrics, training data lineage, and deployment history), automated training pipelines (that retrain models on new data on a defined schedule and run validation tests before promoting updates to production), and model monitoring (that tracks model performance in production, detects data drift, and triggers retraining when performance degrades below defined thresholds).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For pharmaceutical AI models that inform GxP decisions — such as models used in manufacturing process optimization or clinical safety signal detection — the MLOps platform must also support regulatory documentation: the model card (a structured documentation of model purpose, training data, performance characteristics, and known limitations) and the computer system validation (CSV) documentation required for GxP deployment. The integration of MLOps practices with GxP validation frameworks is an active area of development in the industry, with several leading organizations having published internal frameworks and the FDA having issued draft guidance on validation of AI/ML software as a medical device.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11.6 Integration Architecture and API Strategy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value of enterprise data and AI capabilities is limited by the organization's ability to integrate data across systems and to expose capabilities through well-designed APIs (Application Programming Interfaces) that allow applications to communicate with each other. A pharmaceutical enterprise without a coherent integration architecture will spend an ever-increasing fraction of its technology budget maintaining point-to-point integrations between legacy systems — a technical debt spiral that eventually consumes the capacity for new development.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modern pharmaceutical integration architecture has two layers. The first is the enterprise integration platform — an API management and iPaaS (Integration Platform as a Service) layer that manages the integration of operational systems (ERP, LIMS, MES, CRM, EDC) through a common integration bus with standardized data formats, documented APIs, and centralized monitoring. MuleSoft (now a Salesforce company) and SAP Integration Suite are the most widely deployed enterprise integration platforms in pharmaceutical environments. The second layer is the event streaming platform — typically Apache Kafka or AWS Kinesis — that handles the high-volume, real-time data streams from manufacturing IoT sensors, clinical trial monitoring systems, and digital patient engagement platforms.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11.7 Cybersecurity in the Pharmaceutical Enterprise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pharmaceutical industry is a high-value target for cyber adversaries: intellectual property theft (drug formulations, clinical trial data, discovery research) is extraordinarily valuable, manufacturing disruption can damage supply chain and patient safety, and ransomware attacks against research or quality systems can have devastating consequences. The industry has experienced several high-profile cyber incidents in recent years, including the destructive NotPetya malware attack in 2017 that cost Merck an estimated USD 870 million in damages and disrupted manufacturing and commercial operations globally.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 pharmaceutical cybersecurity program must address several domains simultaneously. Network security — protecting the perimeter of the enterprise network and the OT (operational technology) networks in manufacturing facilities, which are increasingly connected to enterprise IT systems but require separate security architectures — is the foundation. Identity and access management (IAM) — ensuring that only authorized individuals and systems can access sensitive data and critical systems, with multi-factor authentication, least-privilege access controls, and privileged access management for high-risk system accounts — is essential. And data loss prevention (DLP) — monitoring and controlling the movement of sensitive data (clinical trial data, unpublished research, patient data) outside controlled systems — addresses the specific pharmaceutical risk of intellectual property and patient data exposure.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11.8 Questions for the Board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Does the organization have a documented enterprise technology architecture that defines the authoritative data sources, integration standards, and platform choices across the full enterprise — and is there a governance process that prevents individual functions from making architecture decisions that undermine the enterprise standard? What is the current annual cybersecurity investment as a percentage of total technology spend, and how does this compare to the value of the intellectual property and patient data the organization is protecting? What is the organization's cloud adoption status — what fraction of enterprise workloads are running in cloud environments, and what is the plan for workloads that remain on-premises? Has the organization conducted a business impact analysis for a major cyber incident — and does the board understand the operational and financial consequences of the most plausible attack scenarios?</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EEF2F7" w:val="clear"/>
            <w:tcMar>
              <w:top w:type="dxa" w:w="160"/>
              <w:left w:type="dxa" w:w="200"/>
              <w:bottom w:type="dxa" w:w="160"/>
              <w:right w:type="dxa" w:w="200"/>
            </w:tcMar>
          </w:tcPr>
          <w:p>
            <w:pPr>
              <w:spacing w:before="0" w:after="80"/>
            </w:pPr>
            <w:r>
              <w:rPr>
                <w:rFonts w:ascii="Calibri" w:cs="Calibri" w:eastAsia="Calibri" w:hAnsi="Calibri"/>
                <w:b/>
                <w:bCs/>
                <w:caps/>
                <w:color w:val="0D2B55"/>
                <w:sz w:val="18"/>
                <w:szCs w:val="18"/>
              </w:rPr>
              <w:t xml:space="preserve">REGIONAL SPOTLIGHT: REGIONAL SPOTLIGHT: TECHNOLOGY ARCHITECTURE ACROSS MARKETS</w:t>
            </w:r>
          </w:p>
          <w:p>
            <w:pPr>
              <w:spacing w:before="0" w:after="0"/>
              <w:jc w:val="both"/>
            </w:pPr>
            <w:r>
              <w:rPr>
                <w:rFonts w:ascii="Calibri" w:cs="Calibri" w:eastAsia="Calibri" w:hAnsi="Calibri"/>
                <w:color w:val="1A1A2E"/>
                <w:sz w:val="20"/>
                <w:szCs w:val="20"/>
              </w:rPr>
              <w:t xml:space="preserve">In the US, pharmaceutical technology architecture is moving rapidly toward cloud-native platforms, with the major cloud hyperscalers all having established pharma-specific compliance certifications and reference architectures. US FDA's cloud computing guidance — updated in 2023 to explicitly address GxP use of cloud-hosted systems — has removed the primary regulatory uncertainty that was delaying cloud adoption in manufacturing and clinical applications. In the EU, GDPR data residency requirements and the specific data governance provisions of the European Health Data Space are shaping cloud architecture decisions. EU-based operations typically require data residency in EU cloud regions, and the data transfer restrictions of GDPR require careful architecture planning for global pharmaceutical companies moving data between EU and non-EU systems. The EU's draft AI Act, which came into force in 2024 with a phased implementation schedule, will impose specific transparency, documentation, and risk management requirements on pharmaceutical AI systems — requirements that well-designed MLOps architectures can satisfy but that will require documentation effort for organizations that have deployed AI without structured governance. In India, the technology architecture landscape is shaped by a unique advantage: India is home to the world's deepest pool of enterprise software engineering talent, and India-based GCCs are increasingly the actual builders of pharmaceutical enterprise technology platforms for global companies. The GCC model — a dedicated offshore center providing digital engineering, data analytics, and technology operations services to the global parent — is a powerful accelerator for pharma digital transformation, and India's pharma GCC ecosystem is growing rapidly. Simultaneously, domestic Indian pharmaceutical companies are navigating the challenge of modernizing technology landscapes that were built on fragmented legacy infrastructure at a time when competitive pressure demands rapid digital investment.</w:t>
            </w:r>
          </w:p>
        </w:tc>
      </w:tr>
    </w:tbl>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0"/>
      </w:pPr>
      <w:r>
        <w:br w:type="page"/>
      </w:r>
    </w:p>
    <w:p>
      <w:pPr>
        <w:pStyle w:val="Heading1"/>
        <w:pBdr>
          <w:bottom w:val="single" w:color="C9A84C" w:sz="6" w:space="4"/>
        </w:pBdr>
        <w:shd w:fill="0D2B55" w:val="clear"/>
        <w:spacing w:before="480" w:after="240"/>
        <w:ind w:left="200" w:right="200"/>
      </w:pPr>
      <w:r>
        <w:rPr>
          <w:rFonts w:ascii="Calibri" w:cs="Calibri" w:eastAsia="Calibri" w:hAnsi="Calibri"/>
          <w:b/>
          <w:bCs/>
          <w:caps/>
          <w:color w:val="FFFFFF"/>
          <w:sz w:val="36"/>
          <w:szCs w:val="36"/>
        </w:rPr>
        <w:t xml:space="preserve">Chapter 12: Finance, Procurement &amp; Cybersecurity — Digital Transformation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F0E8" w:val="clear"/>
            <w:tcMar>
              <w:top w:type="dxa" w:w="160"/>
              <w:left w:type="dxa" w:w="200"/>
              <w:bottom w:type="dxa" w:w="160"/>
              <w:right w:type="dxa" w:w="200"/>
            </w:tcMar>
          </w:tcPr>
          <w:p>
            <w:pPr>
              <w:spacing w:before="0" w:after="80"/>
            </w:pPr>
            <w:r>
              <w:rPr>
                <w:rFonts w:ascii="Calibri" w:cs="Calibri" w:eastAsia="Calibri" w:hAnsi="Calibri"/>
                <w:b/>
                <w:bCs/>
                <w:caps/>
                <w:color w:val="C9A84C"/>
                <w:sz w:val="18"/>
                <w:szCs w:val="18"/>
              </w:rPr>
              <w:t xml:space="preserve">EXECUTIVE SUMMARY</w:t>
            </w:r>
          </w:p>
          <w:p>
            <w:pPr>
              <w:spacing w:before="0" w:after="0"/>
              <w:jc w:val="both"/>
            </w:pPr>
            <w:r>
              <w:rPr>
                <w:rFonts w:ascii="Calibri" w:cs="Calibri" w:eastAsia="Calibri" w:hAnsi="Calibri"/>
                <w:i/>
                <w:iCs/>
                <w:color w:val="1A1A2E"/>
                <w:sz w:val="20"/>
                <w:szCs w:val="20"/>
              </w:rPr>
              <w:t xml:space="preserve">The horizontal functions of the pharmaceutical enterprise — finance, procurement, and cybersecurity — are not glamorous transformation subjects. They lack the scientific excitement of AI-driven drug discovery or the patient-facing resonance of digital therapeutics. But they are the operational infrastructure on which the entire enterprise runs, and their digital maturity directly determines whether the transformation investments described in earlier chapters deliver their promised returns. A pharma company with an intelligent manufacturing facility and a paper-based financial close process, or a digital clinical trial platform and a supply base managed through unstructured email negotiations, is not digitally transformed — it is digitally inconsistent. This chapter addresses these essential but often overlooked transformation domains.</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12.1 Finance Digital Transformation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Pharmaceutical finance functions have traditionally been characterized by long monthly close cycles, significant manual reconciliation effort, finance business partners who spend most of their time compiling data rather than analyzing it, and forecasting processes that rely on static Excel models rather than dynamic, scenario-capable planning platforms. The transformation of the finance function targets each of these inefficiencies.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Intelligent Finance model, enabled by modern cloud-based finance platforms (SAP S/4HANA Finance, Oracle Cloud Financials, Workday Financial Management), automates the transactional foundation of financial operations — accounts payable and receivable processing, general ledger reconciliation, intercompany eliminations, and financial consolidation — through a combination of robotic process automation (RPA) for rule-based tasks and AI for exception handling and anomaly detection. Finance organizations that have deployed intelligent automation in their transactional processes report a 40 to 60 percent reduction in time-to-close, a 30 to 50 percent reduction in finance headcount dedicated to transactional processing, and a significant improvement in data quality from the elimination of manual rekeying errors.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higher-value transformation in pharma finance is in financial planning and analysis (FP&amp;A). Traditional FP&amp;A processes — budgeting, long-range planning, and rolling forecasts — are characterized by weeks of spreadsheet consolidation, single-point estimates that are immediately out of date, and limited ability to model the impact of strategic decisions (a new product launch, a manufacturing site acquisition, a patent expiry scenario) on financial outcomes. Modern FP&amp;A platforms — Anaplan, Workday Adaptive Planning, and Oracle EPM — replace this process with connected planning models that integrate commercial, supply chain, clinical, and R&amp;D data into a unified financial model, enabling real-time scenario modeling and continuous forecasting as business conditions change.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For pharma specifically, FP&amp;A transformation must address several domain-specific modeling challenges: the long and uncertain timelines of R&amp;D investment (with probability-weighted portfolio NPV models), the complex interplay of branded product revenues and generic competition (requiring market share erosion models), the global transfer pricing and tax implications of pharma's highly multinational operating structure, and the outcome-based contracting arrangements with payers that increasingly link product revenues to real-world health outcomes.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12.2 Procurement and Supply Transformation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Pharmaceutical procurement — the management of the organization's spend with suppliers of materials, services, equipment, and technology — is a function where digital transformation delivers both immediate cost savings and strategic risk management improvements. For a large pharma company spending USD 10 to 20 billion annually with suppliers, a 3 to 5 percent improvement in procurement effectiveness from digital tools and data represents USD 300 to 1,000 million in direct bottom-line impact.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digital procurement architecture in pharma has several layers. Source-to-Pay (S2P) platforms — including SAP Ariba, Coupa, and Ivalua — provide the operational platform for supplier management, sourcing events, contract management, purchase order processing, and invoice automation. These platforms dramatically reduce the cost and cycle time of routine procurement transactions while creating a structured data record of supplier performance, contract compliance, and spend patterns.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strategic layer of procurement digitalization is spend analytics and should-cost modeling. Spend analytics platforms that integrate purchase data from ERP and S2P systems with external market intelligence — commodity price indices, supplier financial health scores, peer benchmarking data — give category managers real-time visibility into spending patterns, savings opportunities, and supplier risk profiles. AI-powered should-cost models — which estimate the theoretically achievable cost for a purchased item or service based on its input cost components and a model of efficient production — give procurement teams a data-based foundation for supplier negotiations that replaces the historical reliance on benchmark tables and experience.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For pharmaceutical procurement specifically, supplier quality and supply security are as important as cost. The procurement function must maintain visibility into the financial health, regulatory compliance status, and geographic concentration of the supply base — a capability that requires digital risk monitoring tools that continuously scan for supplier financial distress signals, FDA warning letters against API suppliers, geopolitical disruptions affecting supply routes, and natural disasters affecting production regions.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12.3 Cybersecurity: The Digital Risk Imperative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Cybersecurity in the pharmaceutical enterprise requires a comprehensive defense-in-depth strategy that simultaneously protects intellectual property, clinical data, patient safety systems, and operational continuity. The pharma-specific threat landscape includes nation-state actors targeting drug formulations and clinical trial data (the most common source of pharma intellectual property theft), financially motivated ransomware operators that target operational systems and demand payment to restore access, and supply chain attackers that compromise software or hardware suppliers to gain access to pharmaceutical customers' networks.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pharmaceutical cybersecurity program architecture follows the NIST Cybersecurity Framework's five functions: Identify, Protect, Detect, Respond, and Recover. The Identify function encompasses asset inventory (knowing every device, system, and data asset in the enterprise), risk assessment (understanding the threat landscape and the organization's specific vulnerabilities), and supply chain risk management (assessing the cybersecurity posture of key technology and data suppliers). The Protect function encompasses network segmentation (isolating manufacturing OT networks from enterprise IT networks), endpoint protection (deploying EDR — Endpoint Detection and Response — tools on all enterprise devices), identity and access management (enforcing multi-factor authentication, least-privilege access, and privileged access management), and data encryption (protecting sensitive data at rest and in transit).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manufacturing environment presents a specific cybersecurity challenge that deserves separate attention. Operational technology (OT) systems — the distributed control systems (DCS), programmable logic controllers (PLCs), and industrial IoT devices that control manufacturing processes — were historically isolated from enterprise IT networks and therefore not subjected to the same security controls. As pharmaceutical manufacturing digitalization connects OT systems to enterprise data platforms (for PAT data streaming, EBR integration, and predictive analytics), these previously isolated systems become attack surfaces. OT security requires specialized expertise — the security tools and practices designed for enterprise IT systems are often incompatible with the real-time deterministic operation requirements of manufacturing control systems — and most pharmaceutical organizations are at the early stages of developing this capability.</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12.4 Third-Party Risk and Data Privacy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Pharmaceutical companies routinely share sensitive data — clinical trial data, patient information, manufacturing formulae, financial projections — with hundreds of third parties: CROs, CMOs, technology vendors, data providers, and distribution partners. Each of these third-party relationships creates a data security and privacy risk that the organization is accountable for managing regardless of where the data breach originates.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Third-party risk management (TPRM) programs assess the security posture of key vendors and partners through security questionnaires, independent security ratings (from services like BitSight, SecurityScorecard, or Prevalent), and contractual obligations including data processing agreements under GDPR and HIPAA Business Associate Agreements. Automated TPRM platforms continuously monitor the security signals of third-party organizations and alert the procurement and security teams when a supplier's security posture deteriorates — enabling proactive risk management rather than reactive breach response.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12.5 Questions for the Board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What is the organization's current financial close cycle time, and what is the business case and timeline for reducing it through intelligent finance automation? Does the procurement function have real-time visibility into the regulatory compliance and financial health of its key API and critical material suppliers — and is there a documented supply disruption response protocol? Has the board reviewed the organization's cybersecurity program against the NIST Cybersecurity Framework, and does it understand the key residual risks that the program accepts? What is the plan for OT cybersecurity across manufacturing facilities, and has an OT-specific penetration test been conducted in the last 12 months?</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EEF2F7" w:val="clear"/>
            <w:tcMar>
              <w:top w:type="dxa" w:w="160"/>
              <w:left w:type="dxa" w:w="200"/>
              <w:bottom w:type="dxa" w:w="160"/>
              <w:right w:type="dxa" w:w="200"/>
            </w:tcMar>
          </w:tcPr>
          <w:p>
            <w:pPr>
              <w:spacing w:before="0" w:after="80"/>
            </w:pPr>
            <w:r>
              <w:rPr>
                <w:rFonts w:ascii="Calibri" w:cs="Calibri" w:eastAsia="Calibri" w:hAnsi="Calibri"/>
                <w:b/>
                <w:bCs/>
                <w:caps/>
                <w:color w:val="0D2B55"/>
                <w:sz w:val="18"/>
                <w:szCs w:val="18"/>
              </w:rPr>
              <w:t xml:space="preserve">REGIONAL SPOTLIGHT: REGIONAL SPOTLIGHT: FINANCE, PROCUREMENT, AND CYBERSECURITY BY GEOGRAPHY</w:t>
            </w:r>
          </w:p>
          <w:p>
            <w:pPr>
              <w:spacing w:before="0" w:after="0"/>
              <w:jc w:val="both"/>
            </w:pPr>
            <w:r>
              <w:rPr>
                <w:rFonts w:ascii="Calibri" w:cs="Calibri" w:eastAsia="Calibri" w:hAnsi="Calibri"/>
                <w:color w:val="1A1A2E"/>
                <w:sz w:val="20"/>
                <w:szCs w:val="20"/>
              </w:rPr>
              <w:t xml:space="preserve">In the US, pharmaceutical finance digitalization is driven by the SEC's reporting requirements and the increasingly sophisticated investor expectation for transparent, data-driven financial guidance. The convergence of US tax reform, transfer pricing scrutiny, and Inflation Reduction Act drug pricing provisions has made pharma financial modeling significantly more complex, driving investment in sophisticated FP&amp;A platforms that can model these regulatory scenarios. In the EU, GDPR and the forthcoming EU AI Act create specific compliance dimensions for finance and procurement digital transformation — any AI system used in procurement decision-making (supplier selection, risk scoring, automated approvals) may be subject to the EU AI Act's transparency and documentation requirements. Finance teams operating in the EU must also navigate the VAT reporting digitalization requirements of multiple member states (Making Tax Digital in the UK, the Spanish SII system, Italy's FatturaPA electronic invoicing mandate) — a patchwork of national digital tax compliance requirements that adds complexity to enterprise finance architecture. In India, finance and procurement digitalization in pharma is accelerating under the Government of India's e-invoicing mandate (mandatory since 2020 for large businesses), the GST network's real-time tax reconciliation requirements, and the Companies Act's financial reporting standards. India's deep pool of finance and accounting talent, combined with its strong offshore service delivery capabilities, makes Indian GCCs natural locations for global pharmaceutical finance shared service centers that combine cost efficiency with digital capability.</w:t>
            </w:r>
          </w:p>
        </w:tc>
      </w:tr>
    </w:tbl>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0"/>
      </w:pPr>
      <w:r>
        <w:br w:type="page"/>
      </w:r>
    </w:p>
    <w:p>
      <w:pPr>
        <w:pStyle w:val="Heading1"/>
        <w:pBdr>
          <w:bottom w:val="single" w:color="C9A84C" w:sz="6" w:space="4"/>
        </w:pBdr>
        <w:shd w:fill="0D2B55" w:val="clear"/>
        <w:spacing w:before="480" w:after="240"/>
        <w:ind w:left="200" w:right="200"/>
      </w:pPr>
      <w:r>
        <w:rPr>
          <w:rFonts w:ascii="Calibri" w:cs="Calibri" w:eastAsia="Calibri" w:hAnsi="Calibri"/>
          <w:b/>
          <w:bCs/>
          <w:caps/>
          <w:color w:val="FFFFFF"/>
          <w:sz w:val="36"/>
          <w:szCs w:val="36"/>
        </w:rPr>
        <w:t xml:space="preserve">Chapter 13: Implementation Roadmap &amp; Change Management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F0E8" w:val="clear"/>
            <w:tcMar>
              <w:top w:type="dxa" w:w="160"/>
              <w:left w:type="dxa" w:w="200"/>
              <w:bottom w:type="dxa" w:w="160"/>
              <w:right w:type="dxa" w:w="200"/>
            </w:tcMar>
          </w:tcPr>
          <w:p>
            <w:pPr>
              <w:spacing w:before="0" w:after="80"/>
            </w:pPr>
            <w:r>
              <w:rPr>
                <w:rFonts w:ascii="Calibri" w:cs="Calibri" w:eastAsia="Calibri" w:hAnsi="Calibri"/>
                <w:b/>
                <w:bCs/>
                <w:caps/>
                <w:color w:val="C9A84C"/>
                <w:sz w:val="18"/>
                <w:szCs w:val="18"/>
              </w:rPr>
              <w:t xml:space="preserve">EXECUTIVE SUMMARY</w:t>
            </w:r>
          </w:p>
          <w:p>
            <w:pPr>
              <w:spacing w:before="0" w:after="0"/>
              <w:jc w:val="both"/>
            </w:pPr>
            <w:r>
              <w:rPr>
                <w:rFonts w:ascii="Calibri" w:cs="Calibri" w:eastAsia="Calibri" w:hAnsi="Calibri"/>
                <w:i/>
                <w:iCs/>
                <w:color w:val="1A1A2E"/>
                <w:sz w:val="20"/>
                <w:szCs w:val="20"/>
              </w:rPr>
              <w:t xml:space="preserve">The chapters preceding this one have described what a digitally transformed pharmaceutical enterprise looks like across every function and enabler. This chapter answers the harder question: how do you actually get there? The implementation roadmap translates the aspiration into a sequenced, resourced, and governed program of work — and the change management framework ensures that the technology investments deliver the behavioral and operational changes that create actual value. These two dimensions — the what-and-when of the technical program and the how of organizational change — are equally important and equally neglected in most digital transformation programs.</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13.1 From Strategy to Roadmap: The Translation Challenge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gap between a digital transformation strategy and an executable implementation roadmap is one of the most consistently underestimated challenges in pharmaceutical digital transformation. A strategy document can describe an ideal future state with conviction and clarity; an implementation roadmap must deal with the messy realities of organizational change: competing priorities for IT and business resources, change fatigue in teams that have lived through multiple transformation waves, technical debt in existing systems that complicates every integration, regulatory validation requirements that add time to every deployment, and the inevitable discovery that what looked straightforward in the strategy presentation is significantly more complex in implementation.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translation from strategy to roadmap requires a structured approach that makes these realities visible rather than suppressing them in the optimism of the strategy narrative. It requires honest assessment of organizational capacity to absorb change, technical assessment of the integration and migration work required to connect new capabilities to existing systems, regulatory planning for the validation and change control activities that GxP deployments require, and financial analysis that sequences investments to deliver early returns that sustain organizational commitment through the longer transformation journey.</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13.2 The Pharma Digital Transformation Roadmap Framework</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PDMF-aligned transformation roadmap is organized into three horizons, each with a distinct strategic focus and set of priority investments.</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Horizon 1: Foundations (Year 1–2)</w:t>
      </w:r>
      <w:r>
        <w:rPr>
          <w:rFonts w:ascii="Calibri" w:cs="Calibri" w:eastAsia="Calibri" w:hAnsi="Calibri"/>
          <w:b w:val="false"/>
          <w:bCs w:val="false"/>
          <w:i w:val="false"/>
          <w:iCs w:val="false"/>
          <w:color w:val="1A1A2E"/>
          <w:sz w:val="22"/>
          <w:szCs w:val="22"/>
        </w:rPr>
        <w:t xml:space="preserve"> focuses on building the capabilities without which nothing else works: data infrastructure, governance, core system consolidation, and foundational digital literacy. In this horizon, the priority investments are cloud data platform implementation (establishing the enterprise data lake and warehouse architecture), ERP and life sciences platform rationalization (consolidating fragmented instances, upgrading to S/4HANA or equivalent), eQMS implementation across manufacturing and quality (addressing the compliance foundation), and digital governance establishment (CDO appointment, Digital Transformation Office launch, data governance council activation). The change management focus in Horizon 1 is building digital leadership commitment and awareness — ensuring that executives understand and visibly support the transformation agenda, and launching digital literacy programs that begin building organizational capability for what follows.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typical Horizon 1 investment profile for a mid-sized pharmaceutical company (USD 2–5B revenue) is USD 50–150 million in technology and program costs, with the majority directed at infrastructure, platform, and governance rather than innovation. This is unglamorous investment — it does not generate the press releases that AI drug discovery announcements produce — but it is the prerequisite for everything in Horizons 2 and 3.</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Horizon 2: Acceleration (Year 2–4)</w:t>
      </w:r>
      <w:r>
        <w:rPr>
          <w:rFonts w:ascii="Calibri" w:cs="Calibri" w:eastAsia="Calibri" w:hAnsi="Calibri"/>
          <w:b w:val="false"/>
          <w:bCs w:val="false"/>
          <w:i w:val="false"/>
          <w:iCs w:val="false"/>
          <w:color w:val="1A1A2E"/>
          <w:sz w:val="22"/>
          <w:szCs w:val="22"/>
        </w:rPr>
        <w:t xml:space="preserve"> builds the intelligent capabilities on the digital foundations established in Horizon 1. Priority investments include AI/ML platform deployment and first-wave use case delivery (manufacturing process optimization, clinical trial recruitment analytics, commercial next-best-action), advanced manufacturing digitalization (PAT, EBR, MES integration), decentralized clinical trial capability development, and omnichannel commercial platform deployment. In this horizon, the transformation moves from infrastructure to visible business impact — the first measurable results in batch cycle time reduction, clinical trial recruitment speed, and commercial productivity are generated here. The change management focus shifts to adoption: ensuring that business users in each function are actively using the new digital tools, that analytics and AI recommendations are being acted upon, and that performance management systems are reinforcing data-driven behavior.</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typical Horizon 2 investment for a mid-sized pharma is USD 100–250 million over two years, with an increasing proportion of investment directed at business change and adoption as well as technology. The key governance milestone in Horizon 2 is demonstrating measurable business value from Horizon 1 investments — without this, securing continued commitment from business leadership and board-level sponsors for Horizon 3 investments becomes difficult.</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Horizon 3: Intelligence and Differentiation (Year 4–6)</w:t>
      </w:r>
      <w:r>
        <w:rPr>
          <w:rFonts w:ascii="Calibri" w:cs="Calibri" w:eastAsia="Calibri" w:hAnsi="Calibri"/>
          <w:b w:val="false"/>
          <w:bCs w:val="false"/>
          <w:i w:val="false"/>
          <w:iCs w:val="false"/>
          <w:color w:val="1A1A2E"/>
          <w:sz w:val="22"/>
          <w:szCs w:val="22"/>
        </w:rPr>
        <w:t xml:space="preserve"> delivers the distinctive capabilities that separate digital leaders from followers: digital twin-enabled manufacturing, AI-driven drug design pipelines contributing clinical candidates, real-world evidence generating regulatory label expansions, digital therapeutics complementing pharmaceutical portfolios, and a patient engagement capability that generates meaningful real-world data at scale. By Horizon 3, digital is not a program managed by a separate Digital Transformation Office — it is how the organization operates. The change management focus is sustaining innovation: building the culture of continuous improvement and experimentation that prevents the transformation from calcifying into a new legacy.</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13.3 Sequencing Logic: What Must Come Before What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sequencing of a pharmaceutical digital transformation is not arbitrary — certain capabilities are technical prerequisites for others, and attempting to build advanced capabilities on inadequate foundations is one of the most common causes of transformation program failure. The sequencing principles below are derived from patterns observed across successful and unsuccessful pharmaceutical digital transformations.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Data infrastructure before analytics. It is tempting to launch AI and analytics programs before the data infrastructure work is complete, because analytics programs generate visible business excitement while data infrastructure work does not. But analytics programs built on fragmented, low-quality, unintegrated data deliver fragmented, low-quality, unreliable results — which destroys credibility and organizational trust in the entire digital program faster than anything else. The data foundation must be adequately in place before major analytics investments are made.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Governance before scale. Digital pilots without governance generate proof-of-concepts that cannot be scaled because they were built on non-standard infrastructure, outside validated frameworks, and without the organizational ownership needed to drive adoption. Governance must be established before scaling investments are made — but governance must be proportionate to scale. A company in Horizon 1 does not need the full governance architecture of a Horizon 3 organization; it needs the minimum viable governance that enables Horizon 1 investments to be made confidently.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Culture alongside technology. The most common change management failure is treating culture and behavioral change as a workstream that begins after technology deployment. By the time the system goes live, the change management ship has sailed: the skeptics are entrenched, the early adopters are frustrated by the lack of adoption among their peers, and the performance management systems are still rewarding the old behaviors. Culture change must begin before technology deployment, not after it.</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13.4 Change Management: The Human Architecture of Transformation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Digital transformation is fundamentally a human change program that uses technology as an enabling mechanism. The behavioral changes it requires — trusting analytical recommendations over intuitive judgment, working in collaborative cross-functional data products rather than functional silos, adopting new tools and workflows in the middle of an already demanding work schedule — are not natural and do not happen automatically in response to technology deployment.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pharma-adapted change management framework has six components. </w:t>
      </w:r>
      <w:r>
        <w:rPr>
          <w:rFonts w:ascii="Calibri" w:cs="Calibri" w:eastAsia="Calibri" w:hAnsi="Calibri"/>
          <w:b/>
          <w:bCs/>
          <w:i w:val="false"/>
          <w:iCs w:val="false"/>
          <w:color w:val="1A1A2E"/>
          <w:sz w:val="22"/>
          <w:szCs w:val="22"/>
        </w:rPr>
        <w:t xml:space="preserve">Sponsorship architecture</w:t>
      </w:r>
      <w:r>
        <w:rPr>
          <w:rFonts w:ascii="Calibri" w:cs="Calibri" w:eastAsia="Calibri" w:hAnsi="Calibri"/>
          <w:b w:val="false"/>
          <w:bCs w:val="false"/>
          <w:i w:val="false"/>
          <w:iCs w:val="false"/>
          <w:color w:val="1A1A2E"/>
          <w:sz w:val="22"/>
          <w:szCs w:val="22"/>
        </w:rPr>
        <w:t xml:space="preserve"> establishes visible, active executive sponsorship for each major transformation initiative — not passive endorsement but active advocacy, public modeling of the desired behaviors, and personal investment in the success of the program. </w:t>
      </w:r>
      <w:r>
        <w:rPr>
          <w:rFonts w:ascii="Calibri" w:cs="Calibri" w:eastAsia="Calibri" w:hAnsi="Calibri"/>
          <w:b/>
          <w:bCs/>
          <w:i w:val="false"/>
          <w:iCs w:val="false"/>
          <w:color w:val="1A1A2E"/>
          <w:sz w:val="22"/>
          <w:szCs w:val="22"/>
        </w:rPr>
        <w:t xml:space="preserve">Stakeholder engagement</w:t>
      </w:r>
      <w:r>
        <w:rPr>
          <w:rFonts w:ascii="Calibri" w:cs="Calibri" w:eastAsia="Calibri" w:hAnsi="Calibri"/>
          <w:b w:val="false"/>
          <w:bCs w:val="false"/>
          <w:i w:val="false"/>
          <w:iCs w:val="false"/>
          <w:color w:val="1A1A2E"/>
          <w:sz w:val="22"/>
          <w:szCs w:val="22"/>
        </w:rPr>
        <w:t xml:space="preserve"> identifies every group whose work will be changed by the transformation, assesses their readiness and resistance, and designs specific engagement interventions for each group. </w:t>
      </w:r>
      <w:r>
        <w:rPr>
          <w:rFonts w:ascii="Calibri" w:cs="Calibri" w:eastAsia="Calibri" w:hAnsi="Calibri"/>
          <w:b/>
          <w:bCs/>
          <w:i w:val="false"/>
          <w:iCs w:val="false"/>
          <w:color w:val="1A1A2E"/>
          <w:sz w:val="22"/>
          <w:szCs w:val="22"/>
        </w:rPr>
        <w:t xml:space="preserve">Communication</w:t>
      </w:r>
      <w:r>
        <w:rPr>
          <w:rFonts w:ascii="Calibri" w:cs="Calibri" w:eastAsia="Calibri" w:hAnsi="Calibri"/>
          <w:b w:val="false"/>
          <w:bCs w:val="false"/>
          <w:i w:val="false"/>
          <w:iCs w:val="false"/>
          <w:color w:val="1A1A2E"/>
          <w:sz w:val="22"/>
          <w:szCs w:val="22"/>
        </w:rPr>
        <w:t xml:space="preserve"> maintains a continuous, honest narrative about the transformation — what is being done, why, what is working, what is being learned from what is not working, and what comes next. </w:t>
      </w:r>
      <w:r>
        <w:rPr>
          <w:rFonts w:ascii="Calibri" w:cs="Calibri" w:eastAsia="Calibri" w:hAnsi="Calibri"/>
          <w:b/>
          <w:bCs/>
          <w:i w:val="false"/>
          <w:iCs w:val="false"/>
          <w:color w:val="1A1A2E"/>
          <w:sz w:val="22"/>
          <w:szCs w:val="22"/>
        </w:rPr>
        <w:t xml:space="preserve">Training and capability development</w:t>
      </w:r>
      <w:r>
        <w:rPr>
          <w:rFonts w:ascii="Calibri" w:cs="Calibri" w:eastAsia="Calibri" w:hAnsi="Calibri"/>
          <w:b w:val="false"/>
          <w:bCs w:val="false"/>
          <w:i w:val="false"/>
          <w:iCs w:val="false"/>
          <w:color w:val="1A1A2E"/>
          <w:sz w:val="22"/>
          <w:szCs w:val="22"/>
        </w:rPr>
        <w:t xml:space="preserve"> builds the specific skills — data literacy, tool proficiency, analytical reasoning — that employees need to work effectively in the new digital environment. </w:t>
      </w:r>
      <w:r>
        <w:rPr>
          <w:rFonts w:ascii="Calibri" w:cs="Calibri" w:eastAsia="Calibri" w:hAnsi="Calibri"/>
          <w:b/>
          <w:bCs/>
          <w:i w:val="false"/>
          <w:iCs w:val="false"/>
          <w:color w:val="1A1A2E"/>
          <w:sz w:val="22"/>
          <w:szCs w:val="22"/>
        </w:rPr>
        <w:t xml:space="preserve">Performance management alignment</w:t>
      </w:r>
      <w:r>
        <w:rPr>
          <w:rFonts w:ascii="Calibri" w:cs="Calibri" w:eastAsia="Calibri" w:hAnsi="Calibri"/>
          <w:b w:val="false"/>
          <w:bCs w:val="false"/>
          <w:i w:val="false"/>
          <w:iCs w:val="false"/>
          <w:color w:val="1A1A2E"/>
          <w:sz w:val="22"/>
          <w:szCs w:val="22"/>
        </w:rPr>
        <w:t xml:space="preserve"> ensures that the metrics, incentive systems, and management rituals of the organization reinforce digital behaviors rather than inadvertently punishing them. And </w:t>
      </w:r>
      <w:r>
        <w:rPr>
          <w:rFonts w:ascii="Calibri" w:cs="Calibri" w:eastAsia="Calibri" w:hAnsi="Calibri"/>
          <w:b/>
          <w:bCs/>
          <w:i w:val="false"/>
          <w:iCs w:val="false"/>
          <w:color w:val="1A1A2E"/>
          <w:sz w:val="22"/>
          <w:szCs w:val="22"/>
        </w:rPr>
        <w:t xml:space="preserve">reinforcement and measurement</w:t>
      </w:r>
      <w:r>
        <w:rPr>
          <w:rFonts w:ascii="Calibri" w:cs="Calibri" w:eastAsia="Calibri" w:hAnsi="Calibri"/>
          <w:b w:val="false"/>
          <w:bCs w:val="false"/>
          <w:i w:val="false"/>
          <w:iCs w:val="false"/>
          <w:color w:val="1A1A2E"/>
          <w:sz w:val="22"/>
          <w:szCs w:val="22"/>
        </w:rPr>
        <w:t xml:space="preserve"> tracks adoption of new behaviors and tools at sufficient granularity to identify where adoption is lagging and deploy targeted interventions.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pharmaceutical industry's strong process and compliance culture is a double-edged sword for change management. On one hand, pharma employees are accustomed to following validated procedures and documenting their work — which creates a foundation for structured adoption programs. On the other hand, the compliance culture can be used as a resistance mechanism: "we can't do that because of GxP" is a phrase that has blocked many legitimate digital transformation initiatives. Effective change management in pharma explicitly addresses this tension, distinguishing between genuine GxP constraints (which must be respected) and compliance risk aversion used as change resistance (which must be challenged).</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13.5 Measuring Transformation Progress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Transformation progress must be measured at two levels: the technology delivery level (are the systems being built on schedule and to the required functionality and quality?) and the business value level (are the new capabilities delivering the operational and financial outcomes they were designed to deliver?). Both levels of measurement must be connected — a technology program that is delivering on its technical milestones but generating no business adoption is not a successful program, and the measurement system must surface this disconnect before it becomes the post-implementation reality.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transformation scorecard should track leading indicators — adoption rates, usage frequency, data quality metrics, and capability deployment progress — alongside lagging indicators — cycle time reduction, cost savings, productivity improvement, and quality metrics. Leading indicators provide early warning of adoption problems; lagging indicators validate whether the adopted capabilities are generating business value.</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13.6 Questions for the Board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Has the board approved a multi-year digital transformation roadmap with specific investment commitments, measurable milestones, and a clear accountability structure? Is there a transformation scorecard that the board reviews at least quarterly, showing both technology delivery progress and business value realization? What is the organization's current annual investment in digital capability development (excluding maintenance of existing IT infrastructure), and how does it compare to the investment levels of peers that are demonstrably ahead on the digital maturity curve? Has the change management dimension of the transformation been formally resourced — with dedicated change management professionals, not just project managers with a change management task on their project plan?</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4"/>
              <w:left w:val="single" w:color="0D2B55" w:sz="4"/>
              <w:bottom w:val="single" w:color="0D2B55" w:sz="4"/>
              <w:right w:val="single" w:color="0D2B55" w:sz="4"/>
            </w:tcBorders>
            <w:shd w:fill="EEF2F7" w:val="clear"/>
            <w:tcMar>
              <w:top w:type="dxa" w:w="160"/>
              <w:left w:type="dxa" w:w="200"/>
              <w:bottom w:type="dxa" w:w="160"/>
              <w:right w:type="dxa" w:w="200"/>
            </w:tcMar>
          </w:tcPr>
          <w:p>
            <w:pPr>
              <w:spacing w:before="0" w:after="80"/>
            </w:pPr>
            <w:r>
              <w:rPr>
                <w:rFonts w:ascii="Calibri" w:cs="Calibri" w:eastAsia="Calibri" w:hAnsi="Calibri"/>
                <w:b/>
                <w:bCs/>
                <w:caps/>
                <w:color w:val="0D2B55"/>
                <w:sz w:val="18"/>
                <w:szCs w:val="18"/>
              </w:rPr>
              <w:t xml:space="preserve">REGIONAL SPOTLIGHT: REGIONAL SPOTLIGHT: TRANSFORMATION ROADMAP ADAPTATION BY GEOGRAPHY</w:t>
            </w:r>
          </w:p>
          <w:p>
            <w:pPr>
              <w:spacing w:before="0" w:after="0"/>
              <w:jc w:val="both"/>
            </w:pPr>
            <w:r>
              <w:rPr>
                <w:rFonts w:ascii="Calibri" w:cs="Calibri" w:eastAsia="Calibri" w:hAnsi="Calibri"/>
                <w:color w:val="1A1A2E"/>
                <w:sz w:val="20"/>
                <w:szCs w:val="20"/>
              </w:rPr>
              <w:t xml:space="preserve">US-based pharma transformations benefit from the density of specialized digital health implementation partners, a deep talent pool for digital roles, and a regulatory environment that is increasingly enabling of digital innovation. The primary implementation challenge in the US is organizational: large US multinationals have complex, multi-layered organizational structures that create governance and alignment challenges for enterprise transformation programs. EU-based transformations must navigate the regulatory complexity of operating across multiple national jurisdictions with different eHealth laws, different health data governance frameworks, and different speed of regulatory modernization. The most effective EU transformation programs adopt a hub-and-spoke model: a central digital platform and governance, adapted at the national level for local regulatory and operational requirements. Indian pharma transformation programs face a distinctive challenge: the need to simultaneously modernize legacy manufacturing and quality infrastructure (an urgent compliance imperative with near-term ROI) and build the forward-looking digital capabilities that will sustain competitiveness in a rapidly digitizing global pharma market. The sequencing discipline is particularly important in the Indian context — organizations that attempt to skip the foundational quality and compliance digitalization and jump directly to AI and advanced analytics will find that the investment fails to deliver because the data foundation is not in place.</w:t>
            </w:r>
          </w:p>
        </w:tc>
      </w:tr>
    </w:tbl>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0"/>
      </w:pPr>
      <w:r>
        <w:br w:type="page"/>
      </w:r>
    </w:p>
    <w:p>
      <w:pPr>
        <w:pStyle w:val="Heading1"/>
        <w:pBdr>
          <w:bottom w:val="single" w:color="C9A84C" w:sz="6" w:space="4"/>
        </w:pBdr>
        <w:shd w:fill="0D2B55" w:val="clear"/>
        <w:spacing w:before="480" w:after="240"/>
        <w:ind w:left="200" w:right="200"/>
      </w:pPr>
      <w:r>
        <w:rPr>
          <w:rFonts w:ascii="Calibri" w:cs="Calibri" w:eastAsia="Calibri" w:hAnsi="Calibri"/>
          <w:b/>
          <w:bCs/>
          <w:caps/>
          <w:color w:val="FFFFFF"/>
          <w:sz w:val="36"/>
          <w:szCs w:val="36"/>
        </w:rPr>
        <w:t xml:space="preserve">Chapter 14: ROI Frameworks &amp; Emerging Technology Outlook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5F0E8" w:val="clear"/>
            <w:tcMar>
              <w:top w:type="dxa" w:w="160"/>
              <w:left w:type="dxa" w:w="200"/>
              <w:bottom w:type="dxa" w:w="160"/>
              <w:right w:type="dxa" w:w="200"/>
            </w:tcMar>
          </w:tcPr>
          <w:p>
            <w:pPr>
              <w:spacing w:before="0" w:after="80"/>
            </w:pPr>
            <w:r>
              <w:rPr>
                <w:rFonts w:ascii="Calibri" w:cs="Calibri" w:eastAsia="Calibri" w:hAnsi="Calibri"/>
                <w:b/>
                <w:bCs/>
                <w:caps/>
                <w:color w:val="C9A84C"/>
                <w:sz w:val="18"/>
                <w:szCs w:val="18"/>
              </w:rPr>
              <w:t xml:space="preserve">EXECUTIVE SUMMARY</w:t>
            </w:r>
          </w:p>
          <w:p>
            <w:pPr>
              <w:spacing w:before="0" w:after="0"/>
              <w:jc w:val="both"/>
            </w:pPr>
            <w:r>
              <w:rPr>
                <w:rFonts w:ascii="Calibri" w:cs="Calibri" w:eastAsia="Calibri" w:hAnsi="Calibri"/>
                <w:i/>
                <w:iCs/>
                <w:color w:val="1A1A2E"/>
                <w:sz w:val="20"/>
                <w:szCs w:val="20"/>
              </w:rPr>
              <w:t xml:space="preserve">Digital transformation investments must ultimately justify themselves through measurable business value — faster time to market, lower operating costs, better quality outcomes, and stronger competitive positioning. This final chapter provides the ROI frameworks that pharmaceutical executives and boards need to evaluate, prioritize, and defend digital investments. It then looks ahead at the emerging technologies — generative AI at scale, quantum computing, synthetic biology intersection, spatial computing, and federated learning — that will define the next frontier of pharmaceutical digital capability. The chapter closes with a synthesizing view of what the digitally transformed pharmaceutical enterprise of 2030 will look like, and what organizations must do today to be ready.</w:t>
            </w:r>
          </w:p>
        </w:tc>
      </w:tr>
    </w:tbl>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14.1 The Challenge of Measuring Digital Transformation ROI</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Measuring the return on digital transformation investment in pharma is genuinely difficult, for reasons that are worth understanding before attempting to apply any measurement framework. Many digital investments are enabling investments — the cloud data platform, the data governance council, the digital talent development program — whose value is not in their direct output but in what they make possible downstream. Attributing the commercial success of an AI-driven drug discovery hit to the data platform investment made three years earlier requires a causal chain that is real but difficult to quantify convincingly in a business case.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Furthermore, many digital transformation benefits are realized over time horizons that do not align neatly with annual budgeting cycles. A quality management digitalization program that eliminates a product recall five years after implementation has generated enormous value — but the connection between the eQMS investment and the avoided recall is invisible in the annual P&amp;L.</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These challenges do not mean that ROI measurement is impossible; they mean that it requires a more sophisticated approach than a simple NPV calculation on a single technology deployment. The framework presented here addresses this challenge through a portfolio-level measurement architecture that captures both direct and enabling value, and through a risk-adjusted value methodology that accounts for the probability distribution of outcomes rather than single-point estimates.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14.2 The Pharma Digital Value Architecture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Digital transformation in pharma creates value through five distinct mechanisms, each of which requires a different measurement approach.</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first is </w:t>
      </w:r>
      <w:r>
        <w:rPr>
          <w:rFonts w:ascii="Calibri" w:cs="Calibri" w:eastAsia="Calibri" w:hAnsi="Calibri"/>
          <w:b/>
          <w:bCs/>
          <w:i w:val="false"/>
          <w:iCs w:val="false"/>
          <w:color w:val="1A1A2E"/>
          <w:sz w:val="22"/>
          <w:szCs w:val="22"/>
        </w:rPr>
        <w:t xml:space="preserve">direct operational efficiency</w:t>
      </w:r>
      <w:r>
        <w:rPr>
          <w:rFonts w:ascii="Calibri" w:cs="Calibri" w:eastAsia="Calibri" w:hAnsi="Calibri"/>
          <w:b w:val="false"/>
          <w:bCs w:val="false"/>
          <w:i w:val="false"/>
          <w:iCs w:val="false"/>
          <w:color w:val="1A1A2E"/>
          <w:sz w:val="22"/>
          <w:szCs w:val="22"/>
        </w:rPr>
        <w:t xml:space="preserve"> — the measurable cost reduction or productivity improvement from deploying a specific digital capability. Examples include the cost savings from implementing electronic batch records (reduction in manual data processing labor), the productivity gain from deploying NBA analytics in the commercial field force (improvement in prescriber access and message recall), and the reduction in manufacturing deviation rate from PAT implementation. These values are quantifiable through before-after measurement, with reasonably high attribution confidence.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second is </w:t>
      </w:r>
      <w:r>
        <w:rPr>
          <w:rFonts w:ascii="Calibri" w:cs="Calibri" w:eastAsia="Calibri" w:hAnsi="Calibri"/>
          <w:b/>
          <w:bCs/>
          <w:i w:val="false"/>
          <w:iCs w:val="false"/>
          <w:color w:val="1A1A2E"/>
          <w:sz w:val="22"/>
          <w:szCs w:val="22"/>
        </w:rPr>
        <w:t xml:space="preserve">cycle time compression</w:t>
      </w:r>
      <w:r>
        <w:rPr>
          <w:rFonts w:ascii="Calibri" w:cs="Calibri" w:eastAsia="Calibri" w:hAnsi="Calibri"/>
          <w:b w:val="false"/>
          <w:bCs w:val="false"/>
          <w:i w:val="false"/>
          <w:iCs w:val="false"/>
          <w:color w:val="1A1A2E"/>
          <w:sz w:val="22"/>
          <w:szCs w:val="22"/>
        </w:rPr>
        <w:t xml:space="preserve"> — the acceleration of value-generating processes that translates into faster revenue realization, lower working capital requirements, or reduced cost of failure. Examples include the reduction in drug discovery cycle time from AI-driven target identification and generative molecular design (accelerating entry to development), the reduction in clinical trial cycle time from DCT adoption (accelerating time to submission), and the reduction in batch release cycle time from digital quality management (accelerating supply availability). These values are quantified through time-to-milestone tracking, with the financial value derived from the revenue or cost implications of timeline change.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third is </w:t>
      </w:r>
      <w:r>
        <w:rPr>
          <w:rFonts w:ascii="Calibri" w:cs="Calibri" w:eastAsia="Calibri" w:hAnsi="Calibri"/>
          <w:b/>
          <w:bCs/>
          <w:i w:val="false"/>
          <w:iCs w:val="false"/>
          <w:color w:val="1A1A2E"/>
          <w:sz w:val="22"/>
          <w:szCs w:val="22"/>
        </w:rPr>
        <w:t xml:space="preserve">quality and risk avoidance</w:t>
      </w:r>
      <w:r>
        <w:rPr>
          <w:rFonts w:ascii="Calibri" w:cs="Calibri" w:eastAsia="Calibri" w:hAnsi="Calibri"/>
          <w:b w:val="false"/>
          <w:bCs w:val="false"/>
          <w:i w:val="false"/>
          <w:iCs w:val="false"/>
          <w:color w:val="1A1A2E"/>
          <w:sz w:val="22"/>
          <w:szCs w:val="22"/>
        </w:rPr>
        <w:t xml:space="preserve"> — the value of preventing adverse quality events that would have occurred in the absence of digital capabilities. Examples include avoided product recalls from early PAT-based deviation detection, avoided regulatory warning letters from eQMS-enabled compliance management, and avoided clinical trial failures from better patient selection and protocol optimization. These are the most difficult values to quantify (since the avoided event did not happen by definition), but they are often the largest values in the portfolio and can be estimated using expected-value methodology: probability of event multiplied by cost of event, compared before and after digital capability deployment.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fourth is </w:t>
      </w:r>
      <w:r>
        <w:rPr>
          <w:rFonts w:ascii="Calibri" w:cs="Calibri" w:eastAsia="Calibri" w:hAnsi="Calibri"/>
          <w:b/>
          <w:bCs/>
          <w:i w:val="false"/>
          <w:iCs w:val="false"/>
          <w:color w:val="1A1A2E"/>
          <w:sz w:val="22"/>
          <w:szCs w:val="22"/>
        </w:rPr>
        <w:t xml:space="preserve">strategic optionality</w:t>
      </w:r>
      <w:r>
        <w:rPr>
          <w:rFonts w:ascii="Calibri" w:cs="Calibri" w:eastAsia="Calibri" w:hAnsi="Calibri"/>
          <w:b w:val="false"/>
          <w:bCs w:val="false"/>
          <w:i w:val="false"/>
          <w:iCs w:val="false"/>
          <w:color w:val="1A1A2E"/>
          <w:sz w:val="22"/>
          <w:szCs w:val="22"/>
        </w:rPr>
        <w:t xml:space="preserve"> — the value of capabilities that create future choices the organization would not otherwise have. A real-world evidence capability that enables label expansion applications is worth not just the specific labels it generates but the optionality to pursue future expansions quickly as new data becomes available. A data platform that can be re-used for multiple analytics programs is worth not just the first program it enables but the reduced cost of all subsequent programs. Strategic optionality is the hardest category to quantify but the most important for board-level investment decisions.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fifth is </w:t>
      </w:r>
      <w:r>
        <w:rPr>
          <w:rFonts w:ascii="Calibri" w:cs="Calibri" w:eastAsia="Calibri" w:hAnsi="Calibri"/>
          <w:b/>
          <w:bCs/>
          <w:i w:val="false"/>
          <w:iCs w:val="false"/>
          <w:color w:val="1A1A2E"/>
          <w:sz w:val="22"/>
          <w:szCs w:val="22"/>
        </w:rPr>
        <w:t xml:space="preserve">competitive positioning</w:t>
      </w:r>
      <w:r>
        <w:rPr>
          <w:rFonts w:ascii="Calibri" w:cs="Calibri" w:eastAsia="Calibri" w:hAnsi="Calibri"/>
          <w:b w:val="false"/>
          <w:bCs w:val="false"/>
          <w:i w:val="false"/>
          <w:iCs w:val="false"/>
          <w:color w:val="1A1A2E"/>
          <w:sz w:val="22"/>
          <w:szCs w:val="22"/>
        </w:rPr>
        <w:t xml:space="preserve"> — the value of being at or ahead of the digital maturity curve relative to competitors, manifested in faster time-to-market, better clinical decision-making, more effective commercial engagement, and stronger talent attraction. This is inherently a relative measure, and it requires ongoing competitive digital benchmarking to quantify.</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14.3 ROI Benchmarks by Domain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Based on published case studies, industry research, and implementation evidence, the following value benchmarks represent achievable outcomes for well-executed digital transformation programs in each domain. These should be treated as directional ranges, calibrated by organizations based on their specific baseline and context.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In </w:t>
      </w:r>
      <w:r>
        <w:rPr>
          <w:rFonts w:ascii="Calibri" w:cs="Calibri" w:eastAsia="Calibri" w:hAnsi="Calibri"/>
          <w:b/>
          <w:bCs/>
          <w:i w:val="false"/>
          <w:iCs w:val="false"/>
          <w:color w:val="1A1A2E"/>
          <w:sz w:val="22"/>
          <w:szCs w:val="22"/>
        </w:rPr>
        <w:t xml:space="preserve">R&amp;D and Drug Discovery</w:t>
      </w:r>
      <w:r>
        <w:rPr>
          <w:rFonts w:ascii="Calibri" w:cs="Calibri" w:eastAsia="Calibri" w:hAnsi="Calibri"/>
          <w:b w:val="false"/>
          <w:bCs w:val="false"/>
          <w:i w:val="false"/>
          <w:iCs w:val="false"/>
          <w:color w:val="1A1A2E"/>
          <w:sz w:val="22"/>
          <w:szCs w:val="22"/>
        </w:rPr>
        <w:t xml:space="preserve">, AI-driven target identification and compound design programs have demonstrated reductions in discovery cycle time of 30 to 50 percent and reductions in preclinical attrition rates of 15 to 25 percent in organizations that have fully deployed integrated AI discovery platforms. The financial value of a single preclinical attrition reduction — preventing one program from entering clinical development that would have failed in Phase II — often exceeds the total cost of a multi-year AI discovery platform investment.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In </w:t>
      </w:r>
      <w:r>
        <w:rPr>
          <w:rFonts w:ascii="Calibri" w:cs="Calibri" w:eastAsia="Calibri" w:hAnsi="Calibri"/>
          <w:b/>
          <w:bCs/>
          <w:i w:val="false"/>
          <w:iCs w:val="false"/>
          <w:color w:val="1A1A2E"/>
          <w:sz w:val="22"/>
          <w:szCs w:val="22"/>
        </w:rPr>
        <w:t xml:space="preserve">Clinical Trials</w:t>
      </w:r>
      <w:r>
        <w:rPr>
          <w:rFonts w:ascii="Calibri" w:cs="Calibri" w:eastAsia="Calibri" w:hAnsi="Calibri"/>
          <w:b w:val="false"/>
          <w:bCs w:val="false"/>
          <w:i w:val="false"/>
          <w:iCs w:val="false"/>
          <w:color w:val="1A1A2E"/>
          <w:sz w:val="22"/>
          <w:szCs w:val="22"/>
        </w:rPr>
        <w:t xml:space="preserve">, DCT adoption with digital recruitment and risk-based monitoring has demonstrated cost-per-patient reductions of 20 to 35 percent and trial cycle time compressions of 15 to 30 percent in mature programs. For a Phase III program costing USD 300 to 500 million, a 20 percent cost reduction represents USD 60 to 100 million of direct value, not counting the value of the timeline acceleration.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In </w:t>
      </w:r>
      <w:r>
        <w:rPr>
          <w:rFonts w:ascii="Calibri" w:cs="Calibri" w:eastAsia="Calibri" w:hAnsi="Calibri"/>
          <w:b/>
          <w:bCs/>
          <w:i w:val="false"/>
          <w:iCs w:val="false"/>
          <w:color w:val="1A1A2E"/>
          <w:sz w:val="22"/>
          <w:szCs w:val="22"/>
        </w:rPr>
        <w:t xml:space="preserve">Manufacturing</w:t>
      </w:r>
      <w:r>
        <w:rPr>
          <w:rFonts w:ascii="Calibri" w:cs="Calibri" w:eastAsia="Calibri" w:hAnsi="Calibri"/>
          <w:b w:val="false"/>
          <w:bCs w:val="false"/>
          <w:i w:val="false"/>
          <w:iCs w:val="false"/>
          <w:color w:val="1A1A2E"/>
          <w:sz w:val="22"/>
          <w:szCs w:val="22"/>
        </w:rPr>
        <w:t xml:space="preserve">, integrated digital quality systems with PAT and EBR have demonstrated batch cycle time reductions of 25 to 40 percent and deviation rate reductions of 20 to 35 percent. For a manufacturer processing 5,000 batches per year at a cost of USD 100,000 per batch, a 25 percent cycle time reduction and 30 percent deviation rate reduction represents hundreds of millions of dollars of annual value.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In </w:t>
      </w:r>
      <w:r>
        <w:rPr>
          <w:rFonts w:ascii="Calibri" w:cs="Calibri" w:eastAsia="Calibri" w:hAnsi="Calibri"/>
          <w:b/>
          <w:bCs/>
          <w:i w:val="false"/>
          <w:iCs w:val="false"/>
          <w:color w:val="1A1A2E"/>
          <w:sz w:val="22"/>
          <w:szCs w:val="22"/>
        </w:rPr>
        <w:t xml:space="preserve">Commercial</w:t>
      </w:r>
      <w:r>
        <w:rPr>
          <w:rFonts w:ascii="Calibri" w:cs="Calibri" w:eastAsia="Calibri" w:hAnsi="Calibri"/>
          <w:b w:val="false"/>
          <w:bCs w:val="false"/>
          <w:i w:val="false"/>
          <w:iCs w:val="false"/>
          <w:color w:val="1A1A2E"/>
          <w:sz w:val="22"/>
          <w:szCs w:val="22"/>
        </w:rPr>
        <w:t xml:space="preserve">, next-best-action analytics and omnichannel commercial platforms have demonstrated 20 to 30 percent improvements in field force productivity and 15 to 25 percent improvements in market share outcomes for AI-deployed versus non-deployed products in comparable competitive environments.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14.4 The Emerging Technology Horizon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Looking beyond the capabilities described in earlier chapters — which are available and deployable today — the next five to ten years will bring a second wave of technological capability that will further transform pharmaceutical operations. Four technologies warrant particular attention from pharma leadership today, not because they are ready for enterprise deployment but because organizations that are not building awareness and early capability in these areas will be caught flat-footed when they mature.</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Generative AI at Enterprise Scale.</w:t>
      </w:r>
      <w:r>
        <w:rPr>
          <w:rFonts w:ascii="Calibri" w:cs="Calibri" w:eastAsia="Calibri" w:hAnsi="Calibri"/>
          <w:b w:val="false"/>
          <w:bCs w:val="false"/>
          <w:i w:val="false"/>
          <w:iCs w:val="false"/>
          <w:color w:val="1A1A2E"/>
          <w:sz w:val="22"/>
          <w:szCs w:val="22"/>
        </w:rPr>
        <w:t xml:space="preserve"> The generative AI tools available today — large language models, protein language models, molecular generation models — are impressive but remain largely point solutions rather than integrated enterprise capabilities. The next two to three years will see these models become genuinely embedded in the workflows of R&amp;D, clinical, commercial, and operations functions in ways that are currently visible only in pilots. Large language models for regulatory document drafting and review, for scientific literature synthesis, and for clinical trial protocol optimization are already generating measurable productivity gains in early deployments. The challenge is governance: ensuring that AI-generated content meets the evidentiary standards of pharmaceutical regulatory submissions, that AI recommendations in clinical and safety contexts carry appropriate uncertainty quantification, and that the intellectual property and data privacy implications of training and deploying these models are managed appropriately.</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Quantum Computing for Drug Discovery.</w:t>
      </w:r>
      <w:r>
        <w:rPr>
          <w:rFonts w:ascii="Calibri" w:cs="Calibri" w:eastAsia="Calibri" w:hAnsi="Calibri"/>
          <w:b w:val="false"/>
          <w:bCs w:val="false"/>
          <w:i w:val="false"/>
          <w:iCs w:val="false"/>
          <w:color w:val="1A1A2E"/>
          <w:sz w:val="22"/>
          <w:szCs w:val="22"/>
        </w:rPr>
        <w:t xml:space="preserve"> Quantum computing is not a near-term pharmaceutical enterprise tool — commercially viable quantum advantage for drug discovery applications is likely five to ten years away at the earliest. But it is a technology that will potentially transform the computational foundation of molecular simulation and quantum chemistry, enabling ab initio prediction of molecular properties and drug-target interactions with a precision that classical computational chemistry cannot approach. Organizations that want to be at the frontier of quantum-enabled drug discovery need to begin building quantum literacy and establishing partnerships with quantum hardware and software companies now, before the technology is ready for production deployment.</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Synthetic Biology and Digital-Biological Integration.</w:t>
      </w:r>
      <w:r>
        <w:rPr>
          <w:rFonts w:ascii="Calibri" w:cs="Calibri" w:eastAsia="Calibri" w:hAnsi="Calibri"/>
          <w:b w:val="false"/>
          <w:bCs w:val="false"/>
          <w:i w:val="false"/>
          <w:iCs w:val="false"/>
          <w:color w:val="1A1A2E"/>
          <w:sz w:val="22"/>
          <w:szCs w:val="22"/>
        </w:rPr>
        <w:t xml:space="preserve"> The convergence of synthetic biology — the engineering of biological systems with designed functions — with digital design tools and laboratory automation is creating a new discipline of digital-biological programming. DNA synthesis automation, cell line design tools, and metabolic pathway engineering platforms are enabling the construction of biological systems (for drug synthesis, for therapeutic development, for diagnostic applications) with a speed and precision that was not possible a decade ago. The integration of these capabilities with pharmaceutical manufacturing — for biosynthesis of complex molecules, for cell therapy manufacturing, for vaccine antigen production — is a transformation-in-progress with significant long-term implications for pharmaceutical manufacturing economics.</w:t>
      </w:r>
    </w:p>
    <w:p>
      <w:pPr>
        <w:spacing w:before="0" w:after="80"/>
      </w:pPr>
      <w:r>
        <w:t xml:space="preserve"/>
      </w:r>
    </w:p>
    <w:p>
      <w:pPr>
        <w:spacing w:before="60" w:after="120" w:line="276" w:lineRule="auto"/>
        <w:jc w:val="both"/>
      </w:pPr>
      <w:r>
        <w:rPr>
          <w:rFonts w:ascii="Calibri" w:cs="Calibri" w:eastAsia="Calibri" w:hAnsi="Calibri"/>
          <w:b/>
          <w:bCs/>
          <w:i w:val="false"/>
          <w:iCs w:val="false"/>
          <w:color w:val="1A1A2E"/>
          <w:sz w:val="22"/>
          <w:szCs w:val="22"/>
        </w:rPr>
        <w:t xml:space="preserve">Federated Learning and Privacy-Preserving Analytics.</w:t>
      </w:r>
      <w:r>
        <w:rPr>
          <w:rFonts w:ascii="Calibri" w:cs="Calibri" w:eastAsia="Calibri" w:hAnsi="Calibri"/>
          <w:b w:val="false"/>
          <w:bCs w:val="false"/>
          <w:i w:val="false"/>
          <w:iCs w:val="false"/>
          <w:color w:val="1A1A2E"/>
          <w:sz w:val="22"/>
          <w:szCs w:val="22"/>
        </w:rPr>
        <w:t xml:space="preserve"> The single most valuable thing the pharmaceutical industry could do for drug development is share clinical and real-world data across organizations — creating training datasets for AI models that are orders of magnitude richer than any single organization's data. The barrier is not willingness; it is the regulatory, legal, and competitive constraints on data sharing. Federated learning — a machine learning approach in which models are trained across multiple organizations' datasets without the data ever leaving each organization's control — offers a technical path to this goal. Early federated learning consortia in pharma — including the MELLODDY project (a ten-company consortium for federated drug discovery model training) and the TransCelerate initiative for clinical data sharing — have demonstrated that federated approaches can generate models with genuine predictive power from multi-institutional data. As federated learning platforms mature and regulatory frameworks for multi-institutional data collaboration develop, this approach will become a standard part of the pharmaceutical data strategy.</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14.5 The Pharma Enterprise of 2030: An Integrated Vision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Drawing together the threads of the preceding thirteen chapters, the digitally transformed pharmaceutical enterprise of 2030 will look substantially different from today's leading companies in five defining ways.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Discovery will be AI-first. The majority of new molecular entities entering development will have been identified, designed, or optimized with AI, dramatically compressing the discovery cycle and improving the quality of candidates entering clinical development. Human scientific creativity will be amplified rather than replaced — AI will generate hypotheses and proposals at speed, and human scientists will apply judgment, creativity, and contextual understanding to evaluate and develop them.</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Development will be continuous and patient-centric. Clinical trials will be designed in silico, enrolled digitally, conducted in hybrid decentralized models that reduce patient burden, and monitored continuously through real-time data analytics. The binary pass/fail model of late-phase development will give way to adaptive designs that can respond to emerging data, incorporating real-world evidence from connected patient cohorts to supplement and sometimes replace the traditional randomized controlled trial for specific evidence generation goals.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Manufacturing will be self-optimizing. Digital twin-enabled, PAT-monitored, continuously manufactured production lines will operate with quality management built in rather than tested in — releasing product in real time based on continuous quality data rather than end-of-batch testing. Supply chains will sense demand in real time and respond dynamically, with AI-driven planning systems making hundreds of small optimization decisions per day that collectively eliminate the waste and delay that currently consume 15 to 20 percent of the cost of goods.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Commercial will be outcome-driven. The commercial model will shift from activity-based promotion to outcome-based partnership with healthcare systems. Pharmaceutical companies will be rewarded through outcome-based contracts for the health improvements their therapies actually generate in real patient populations, tracked through digital health infrastructure that connects therapy initiation to long-term patient outcomes. Commercial organizations will be smaller, more analytically sophisticated, and more focused on demonstrating value than on maximizing promotional activity.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patient relationship will be continuous. The pharmaceutical company's relationship with patients will no longer begin and end with the prescription. Digital health platforms, connected devices, patient support apps, and digital therapeutics will create a continuous relationship between the organization and the patients it serves — generating real-world data, supporting therapy adherence, and enabling the ongoing learning that drives continuous improvement in therapeutic outcomes.</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14.6 A Final Call to Action</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journey from where most pharmaceutical organizations stand today to the 2030 vision described above is long, complex, and expensive. It requires sustained leadership commitment, significant capital investment, organizational change at every level, and a tolerance for the setbacks that inevitably accompany ambitious transformation. It is not a journey that most organizations will complete fully.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But the direction of travel is clear, and the cost of not moving is real. The organizations that will define the pharmaceutical industry of the next decade are already making the foundational investments — in data infrastructure, in digital talent, in governance architecture, in AI capability — that will compound into decisive competitive advantages over the next five to ten years. The window for closing the gap between digital leaders and followers in pharma is narrowing, and every year of delay makes the eventual transformation more expensive and more disruptive.</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questions are simple: Is your organization moving fast enough? Is your leadership team aligned around a clear digital transformation agenda? Have you built the governance, funded the programs, and committed the talent to the journey? If not, the most important meeting in your calendar next quarter is not your budget review or your pipeline update — it is the conversation with your board and leadership team about what digital transformation will take, and what the cost of inaction is.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patients who will take your therapies in 2030 deserve a pharmaceutical industry that has made the investments necessary to discover better medicines faster, manufacture them more reliably, and ensure that the patients who need them most can access them. Digital transformation is how the industry makes good on that obligation. The time to start — or accelerate — is now.</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14.7 Questions for the Board</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Does the board's portfolio of strategic priorities reflect the existential importance of digital transformation — is it a standing agenda item, with investment commitments and performance accountability, or a periodic update that lives at the bottom of the meeting agenda? Has the organization scenario-planned for a future in which a key competitor achieves Level 4–5 PDMF maturity two to three years ahead of it — and what would the competitive response be? Is the board comfortable that it understands the emerging technology landscape well enough to make informed investment decisions — and if not, what is the board education plan for AI, quantum, and synthetic biology?</w:t>
      </w:r>
    </w:p>
    <w:p>
      <w:pPr>
        <w:spacing w:before="0" w:after="80"/>
      </w:pPr>
      <w:r>
        <w:t xml:space="preserve"/>
      </w:r>
    </w:p>
    <w:p>
      <w:pPr>
        <w:spacing w:before="0" w:after="80"/>
      </w:pPr>
      <w:r>
        <w:t xml:space="preserve"/>
      </w:r>
    </w:p>
    <w:p>
      <w:pPr>
        <w:spacing w:before="0" w:after="80"/>
      </w:pPr>
      <w:r>
        <w:t xml:space="preserve"/>
      </w:r>
    </w:p>
    <w:p>
      <w:pPr>
        <w:pStyle w:val="Heading2"/>
        <w:pBdr>
          <w:bottom w:val="single" w:color="C9A84C" w:sz="3" w:space="2"/>
        </w:pBdr>
        <w:spacing w:before="320" w:after="120"/>
      </w:pPr>
      <w:r>
        <w:rPr>
          <w:rFonts w:ascii="Calibri" w:cs="Calibri" w:eastAsia="Calibri" w:hAnsi="Calibri"/>
          <w:b/>
          <w:bCs/>
          <w:color w:val="0D2B55"/>
          <w:sz w:val="28"/>
          <w:szCs w:val="28"/>
        </w:rPr>
        <w:t xml:space="preserve">Appendix A: Digital Transformation Diagnostic — Board Self-Assessment</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following twenty questions, drawn from the Board Questions sections throughout this handbook, constitute a rapid diagnostic for organizational digital transformation readiness. Boards and leadership teams are encouraged to score each question honestly — not as it aspires to be but as it currently is.</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The questions span foundational capability (Do we have a CDO? Do we have an enterprise data platform? Is our manufacturing quality system electronic?), strategic clarity (Do we have a multi-year digital transformation roadmap approved by the board? Do we measure transformation progress against business outcomes?), competitive positioning (Do we know our PDMF maturity score relative to our top three competitors? Are we investing at the level required to close the gap?), and emerging readiness (Do we have a generative AI strategy? Are we tracking quantum computing developments in drug discovery? Have we assessed our federated data strategy?).</w:t>
      </w:r>
    </w:p>
    <w:p>
      <w:pPr>
        <w:spacing w:before="0" w:after="80"/>
      </w:pPr>
      <w:r>
        <w:t xml:space="preserve"/>
      </w:r>
    </w:p>
    <w:p>
      <w:pPr>
        <w:spacing w:before="60" w:after="120" w:line="276" w:lineRule="auto"/>
        <w:jc w:val="both"/>
      </w:pPr>
      <w:r>
        <w:rPr>
          <w:rFonts w:ascii="Calibri" w:cs="Calibri" w:eastAsia="Calibri" w:hAnsi="Calibri"/>
          <w:b w:val="false"/>
          <w:bCs w:val="false"/>
          <w:i w:val="false"/>
          <w:iCs w:val="false"/>
          <w:color w:val="1A1A2E"/>
          <w:sz w:val="22"/>
          <w:szCs w:val="22"/>
        </w:rPr>
        <w:t xml:space="preserve">A score of fewer than 12 confident affirmatives suggests the organization is at PDMF Level 1 or 2 and needs to prioritize foundational investment urgently. A score of 12 to 16 suggests Level 2 to 3, with clear priorities for acceleration. A score above 16 suggests Level 3 or above, with focus required on the dimensions where honest gaps remain.</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8" w:space="1" w:color="C9A84C"/>
      </w:pBdr>
      <w:spacing w:before="0" w:after="40"/>
    </w:pPr>
  </w:p>
  <w:p>
    <w:pPr>
      <w:spacing w:before="0" w:after="60"/>
      <w:tabs>
        <w:tab w:val="center" w:pos="5976"/>
      </w:tabs>
      <w:tabs>
        <w:tab w:val="right" w:pos="11952"/>
      </w:tabs>
    </w:pPr>
    <w:r>
      <w:rPr>
        <w:rFonts w:ascii="Arial" w:hAnsi="Arial"/>
        <w:b w:val="0"/>
        <w:i w:val="0"/>
        <w:color w:val="6B84A3"/>
        <w:sz w:val="16"/>
      </w:rPr>
      <w:t>Confidential — For Internal &amp; Authorised Distribution Only</w:t>
    </w:r>
    <w:r>
      <w:rPr>
        <w:rFonts w:ascii="Arial" w:hAnsi="Arial"/>
        <w:b w:val="0"/>
        <w:i w:val="0"/>
        <w:sz w:val="16"/>
      </w:rPr>
      <w:tab/>
    </w:r>
    <w:r>
      <w:rPr>
        <w:rFonts w:ascii="Arial" w:hAnsi="Arial"/>
        <w:b w:val="0"/>
        <w:i w:val="0"/>
        <w:color w:val="6B84A3"/>
        <w:sz w:val="16"/>
      </w:rPr>
      <w:t xml:space="preserve">Page </w:t>
    </w:r>
    <w:r>
      <w:fldChar w:fldCharType="begin"/>
    </w:r>
    <w:r>
      <w:instrText xml:space="preserve"> PAGE </w:instrText>
    </w:r>
    <w:r>
      <w:fldChar w:fldCharType="end"/>
    </w:r>
    <w:r>
      <w:rPr>
        <w:rFonts w:ascii="Arial" w:hAnsi="Arial"/>
        <w:color w:val="6B84A3"/>
        <w:sz w:val="16"/>
      </w:rPr>
      <w:t xml:space="preserve"> of </w:t>
    </w:r>
    <w:r>
      <w:fldChar w:fldCharType="begin"/>
    </w:r>
    <w:r>
      <w:instrText xml:space="preserve"> NUMPAGES </w:instrText>
    </w:r>
    <w:r>
      <w:fldChar w:fldCharType="end"/>
    </w:r>
    <w:r>
      <w:rPr>
        <w:rFonts w:ascii="Arial" w:hAnsi="Arial"/>
        <w:b w:val="0"/>
        <w:i w:val="0"/>
        <w:sz w:val="16"/>
      </w:rPr>
      <w:tab/>
    </w:r>
    <w:r>
      <w:rPr>
        <w:rFonts w:ascii="Arial" w:hAnsi="Arial"/>
        <w:b/>
        <w:i w:val="0"/>
        <w:color w:val="C9A84C"/>
        <w:sz w:val="16"/>
      </w:rPr>
      <w:t>kalilurrahman.lovable.app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val="clear" w:color="auto" w:fill="0D2B55"/>
      <w:spacing w:before="60" w:after="60"/>
      <w:ind w:left="144" w:right="144"/>
      <w:tabs>
        <w:tab w:val="right" w:pos="11952"/>
      </w:tabs>
    </w:pPr>
    <w:r>
      <w:rPr>
        <w:rFonts w:ascii="Arial" w:hAnsi="Arial"/>
        <w:b/>
        <w:i w:val="0"/>
        <w:color w:val="C9A84C"/>
        <w:sz w:val="18"/>
      </w:rPr>
      <w:t>Pharma Digital Transformation Handbook  ·  2025 Edition</w:t>
    </w:r>
    <w:r>
      <w:rPr>
        <w:rFonts w:ascii="Arial" w:hAnsi="Arial"/>
        <w:b w:val="0"/>
        <w:i w:val="0"/>
        <w:color w:val="FFFFFF"/>
        <w:sz w:val="18"/>
      </w:rPr>
      <w:tab/>
    </w:r>
    <w:r>
      <w:rPr>
        <w:rFonts w:ascii="Arial" w:hAnsi="Arial"/>
        <w:b/>
        <w:i w:val="0"/>
        <w:color w:val="FFFFFF"/>
        <w:sz w:val="18"/>
      </w:rPr>
      <w:t>Kalilur Rahman</w:t>
    </w:r>
  </w:p>
  <w:p>
    <w:pPr>
      <w:pBdr>
        <w:bottom w:val="single" w:sz="12" w:space="1" w:color="C9A84C"/>
      </w:pBd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Calibri" w:cs="Calibri" w:eastAsia="Calibri" w:hAnsi="Calibri"/>
      <w:b/>
      <w:bCs/>
      <w:color w:val="FFFFFF"/>
      <w:sz w:val="36"/>
      <w:szCs w:val="36"/>
    </w:rPr>
  </w:style>
  <w:style w:type="paragraph" w:styleId="Heading2">
    <w:name w:val="Heading 2"/>
    <w:basedOn w:val="Normal"/>
    <w:next w:val="Normal"/>
    <w:qFormat/>
    <w:pPr>
      <w:spacing w:before="320" w:after="120"/>
      <w:outlineLvl w:val="1"/>
    </w:pPr>
    <w:rPr>
      <w:rFonts w:ascii="Calibri" w:cs="Calibri" w:eastAsia="Calibri" w:hAnsi="Calibri"/>
      <w:b/>
      <w:bCs/>
      <w:color w:val="0D2B55"/>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6B84A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Kalilur Rahman</dc:creator>
  <cp:lastModifiedBy>Un-named</cp:lastModifiedBy>
  <cp:revision>1</cp:revision>
  <dcterms:created xsi:type="dcterms:W3CDTF">2026-03-25T13:15:20.012Z</dcterms:created>
  <dcterms:modified xsi:type="dcterms:W3CDTF">2026-03-25T13:15:20.013Z</dcterms:modified>
  <dc:title>Pharma Digital Transformation Handbook 2025</dc:title>
  <dc:subject>Pharmaceutical Digital Transformation · GCC · AI · GxP</dc:subject>
  <cp:keywords>Pharma, Digital Transformation, GCC, AI, GxP, Clinical Trials, R&amp;D</cp:keywords>
</cp:coreProperties>
</file>

<file path=docProps/custom.xml><?xml version="1.0" encoding="utf-8"?>
<Properties xmlns="http://schemas.openxmlformats.org/officeDocument/2006/custom-properties" xmlns:vt="http://schemas.openxmlformats.org/officeDocument/2006/docPropsVTypes"/>
</file>