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b/>
          <w:bCs/>
          <w:color w:val="0D2B55"/>
          <w:sz w:val="56"/>
          <w:szCs w:val="56"/>
        </w:rPr>
        <w:t xml:space="preserve">Pharmaceutical Industry</w:t>
      </w:r>
    </w:p>
    <w:p>
      <w:pPr>
        <w:spacing w:after="200"/>
      </w:pPr>
      <w:r>
        <w:rPr>
          <w:b/>
          <w:bCs/>
          <w:color w:val="C9A84C"/>
          <w:sz w:val="56"/>
          <w:szCs w:val="56"/>
        </w:rPr>
        <w:t xml:space="preserve">Digital Transformation Handbook</w:t>
      </w:r>
    </w:p>
    <w:p>
      <w:pPr>
        <w:spacing w:after="120"/>
      </w:pPr>
      <w:r>
        <w:rPr>
          <w:color w:val="6B84A3"/>
          <w:sz w:val="24"/>
          <w:szCs w:val="24"/>
        </w:rPr>
        <w:t xml:space="preserve">Ultimate Comprehensive Edition · Refreshed 2026</w:t>
      </w:r>
    </w:p>
    <w:p>
      <w:pPr>
        <w:spacing w:after="120"/>
      </w:pPr>
      <w:r>
        <w:rPr>
          <w:color w:val="6B84A3"/>
          <w:sz w:val="22"/>
          <w:szCs w:val="22"/>
        </w:rPr>
        <w:t xml:space="preserve">30 Chapters · 9 Parts · 47 Diagrams · Kalilur Rahman</w:t>
      </w:r>
    </w:p>
    <w:p>
      <w:pPr>
        <w:spacing w:after="400"/>
      </w:pPr>
      <w:r>
        <w:rPr>
          <w:i/>
          <w:iCs/>
          <w:color w:val="6B84A3"/>
          <w:sz w:val="18"/>
          <w:szCs w:val="18"/>
        </w:rPr>
        <w:t xml:space="preserve">Figures re-verified against named primary sources (IQVIA, Deloitte, NASSCOM–Zinnov, BIO/Informa, ARM/ASGCT, Rock Health, WEF, CMS/KFF, ISPE).</w:t>
      </w:r>
    </w:p>
    <w:p>
      <w:r>
        <w:br w:type="page"/>
      </w:r>
    </w:p>
    <w:p>
      <w:pPr>
        <w:pStyle w:val="Heading1"/>
      </w:pPr>
      <w:r>
        <w:rPr>
          <w:b/>
          <w:bCs/>
          <w:color w:val="0D2B55"/>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20"/>
      </w:pPr>
      <w:r>
        <w:rPr>
          <w:color w:val="1C2333"/>
          <w:sz w:val="21"/>
          <w:szCs w:val="21"/>
        </w:rPr>
        <w:t xml:space="preserve">📘 ULTIMATE COMPREHENSIVE EDITION · REFRESHED 2026</w:t>
      </w:r>
    </w:p>
    <w:p>
      <w:r>
        <w:br w:type="page"/>
      </w:r>
    </w:p>
    <w:p>
      <w:pPr>
        <w:pStyle w:val="Heading1"/>
        <w:spacing w:after="120" w:before="240"/>
      </w:pPr>
      <w:r>
        <w:rPr>
          <w:b/>
          <w:bCs/>
          <w:color w:val="0D2B55"/>
        </w:rPr>
        <w:t xml:space="preserve">Pharmaceutical Industry Digital Transformation Handbook</w:t>
      </w:r>
    </w:p>
    <w:p>
      <w:pPr>
        <w:spacing w:after="120"/>
      </w:pPr>
      <w:r>
        <w:rPr>
          <w:i w:val="false"/>
          <w:iCs w:val="false"/>
          <w:color w:val="1C2333"/>
          <w:sz w:val="21"/>
          <w:szCs w:val="21"/>
        </w:rPr>
        <w:t xml:space="preserve">The definitive strategic playbook spanning the complete pharmaceutical value chain — from molecule discovery to patient outcomes. Built for CXOs, digital leaders, strategy consultants, investors, and technologists.</w:t>
      </w:r>
    </w:p>
    <w:p>
      <w:pPr>
        <w:spacing w:after="120"/>
      </w:pPr>
      <w:r>
        <w:rPr>
          <w:color w:val="1C2333"/>
          <w:sz w:val="21"/>
          <w:szCs w:val="21"/>
        </w:rPr>
        <w:t xml:space="preserve">R&amp;D · AI Drug Discovery</w:t>
      </w:r>
    </w:p>
    <w:p>
      <w:pPr>
        <w:spacing w:after="120"/>
      </w:pPr>
      <w:r>
        <w:rPr>
          <w:color w:val="1C2333"/>
          <w:sz w:val="21"/>
          <w:szCs w:val="21"/>
        </w:rPr>
        <w:t xml:space="preserve">Decentralised Clinical Trials</w:t>
      </w:r>
    </w:p>
    <w:p>
      <w:pPr>
        <w:spacing w:after="120"/>
      </w:pPr>
      <w:r>
        <w:rPr>
          <w:color w:val="1C2333"/>
          <w:sz w:val="21"/>
          <w:szCs w:val="21"/>
        </w:rPr>
        <w:t xml:space="preserve">Pharma 4.0 Manufacturing</w:t>
      </w:r>
    </w:p>
    <w:p>
      <w:pPr>
        <w:spacing w:after="120"/>
      </w:pPr>
      <w:r>
        <w:rPr>
          <w:color w:val="1C2333"/>
          <w:sz w:val="21"/>
          <w:szCs w:val="21"/>
        </w:rPr>
        <w:t xml:space="preserve">Digital Quality &amp; Compliance</w:t>
      </w:r>
    </w:p>
    <w:p>
      <w:pPr>
        <w:spacing w:after="120"/>
      </w:pPr>
      <w:r>
        <w:rPr>
          <w:color w:val="1C2333"/>
          <w:sz w:val="21"/>
          <w:szCs w:val="21"/>
        </w:rPr>
        <w:t xml:space="preserve">Regulatory &amp; Pharmacovigilance</w:t>
      </w:r>
    </w:p>
    <w:p>
      <w:pPr>
        <w:spacing w:after="120"/>
      </w:pPr>
      <w:r>
        <w:rPr>
          <w:color w:val="1C2333"/>
          <w:sz w:val="21"/>
          <w:szCs w:val="21"/>
        </w:rPr>
        <w:t xml:space="preserve">Omnichannel Commercial</w:t>
      </w:r>
    </w:p>
    <w:p>
      <w:pPr>
        <w:spacing w:after="120"/>
      </w:pPr>
      <w:r>
        <w:rPr>
          <w:color w:val="1C2333"/>
          <w:sz w:val="21"/>
          <w:szCs w:val="21"/>
        </w:rPr>
        <w:t xml:space="preserve">Patient Engagement &amp; DTx</w:t>
      </w:r>
    </w:p>
    <w:p>
      <w:pPr>
        <w:spacing w:after="120"/>
      </w:pPr>
      <w:r>
        <w:rPr>
          <w:color w:val="1C2333"/>
          <w:sz w:val="21"/>
          <w:szCs w:val="21"/>
        </w:rPr>
        <w:t xml:space="preserve">Enterprise Architecture</w:t>
      </w:r>
    </w:p>
    <w:p>
      <w:pPr>
        <w:spacing w:after="120"/>
      </w:pPr>
      <w:r>
        <w:rPr>
          <w:color w:val="1C2333"/>
          <w:sz w:val="21"/>
          <w:szCs w:val="21"/>
        </w:rPr>
        <w:t xml:space="preserve">Finance &amp; Procurement</w:t>
      </w:r>
    </w:p>
    <w:p>
      <w:pPr>
        <w:spacing w:after="120"/>
      </w:pPr>
      <w:r>
        <w:rPr>
          <w:color w:val="1C2333"/>
          <w:sz w:val="21"/>
          <w:szCs w:val="21"/>
        </w:rPr>
        <w:t xml:space="preserve">Cybersecurity</w:t>
      </w:r>
    </w:p>
    <w:p>
      <w:pPr>
        <w:spacing w:after="120"/>
      </w:pPr>
      <w:r>
        <w:rPr>
          <w:color w:val="1C2333"/>
          <w:sz w:val="21"/>
          <w:szCs w:val="21"/>
        </w:rPr>
        <w:t xml:space="preserve">AI · Quantum · Federated Learning</w:t>
      </w:r>
    </w:p>
    <w:p>
      <w:pPr>
        <w:spacing w:after="120"/>
      </w:pPr>
      <w:r>
        <w:rPr>
          <w:color w:val="1C2333"/>
          <w:sz w:val="21"/>
          <w:szCs w:val="21"/>
        </w:rPr>
        <w:t xml:space="preserve">🇮🇳 India · 🇪🇺 EU · 🇺🇸 US Spotlights</w:t>
      </w:r>
    </w:p>
    <w:p>
      <w:pPr>
        <w:spacing w:after="120"/>
      </w:pPr>
      <w:r>
        <w:rPr>
          <w:color w:val="1C2333"/>
          <w:sz w:val="21"/>
          <w:szCs w:val="21"/>
        </w:rPr>
        <w:t xml:space="preserve">30</w:t>
      </w:r>
    </w:p>
    <w:p>
      <w:pPr>
        <w:spacing w:after="120"/>
      </w:pPr>
      <w:r>
        <w:rPr>
          <w:color w:val="1C2333"/>
          <w:sz w:val="21"/>
          <w:szCs w:val="21"/>
        </w:rPr>
        <w:t xml:space="preserve">CHAPTERS</w:t>
      </w:r>
    </w:p>
    <w:p>
      <w:pPr>
        <w:spacing w:after="120"/>
      </w:pPr>
      <w:r>
        <w:rPr>
          <w:color w:val="1C2333"/>
          <w:sz w:val="21"/>
          <w:szCs w:val="21"/>
        </w:rPr>
        <w:t xml:space="preserve">9 Parts</w:t>
      </w:r>
    </w:p>
    <w:p>
      <w:pPr>
        <w:spacing w:after="120"/>
      </w:pPr>
      <w:r>
        <w:rPr>
          <w:color w:val="1C2333"/>
          <w:sz w:val="21"/>
          <w:szCs w:val="21"/>
        </w:rPr>
        <w:t xml:space="preserve">+ APPENDIX</w:t>
      </w:r>
    </w:p>
    <w:p>
      <w:pPr>
        <w:spacing w:after="120"/>
      </w:pPr>
      <w:r>
        <w:rPr>
          <w:color w:val="1C2333"/>
          <w:sz w:val="21"/>
          <w:szCs w:val="21"/>
        </w:rPr>
        <w:t xml:space="preserve">95k+</w:t>
      </w:r>
    </w:p>
    <w:p>
      <w:pPr>
        <w:spacing w:after="120"/>
      </w:pPr>
      <w:r>
        <w:rPr>
          <w:color w:val="1C2333"/>
          <w:sz w:val="21"/>
          <w:szCs w:val="21"/>
        </w:rPr>
        <w:t xml:space="preserve">WORDS</w:t>
      </w:r>
    </w:p>
    <w:p>
      <w:pPr>
        <w:spacing w:after="120"/>
      </w:pPr>
      <w:r>
        <w:rPr>
          <w:color w:val="1C2333"/>
          <w:sz w:val="21"/>
          <w:szCs w:val="21"/>
        </w:rPr>
        <w:t xml:space="preserve">47</w:t>
      </w:r>
    </w:p>
    <w:p>
      <w:pPr>
        <w:spacing w:after="120"/>
      </w:pPr>
      <w:r>
        <w:rPr>
          <w:color w:val="1C2333"/>
          <w:sz w:val="21"/>
          <w:szCs w:val="21"/>
        </w:rPr>
        <w:t xml:space="preserve">DIAGRAMS</w:t>
      </w:r>
    </w:p>
    <w:p>
      <w:pPr>
        <w:spacing w:after="120"/>
      </w:pPr>
      <w:r>
        <w:rPr>
          <w:color w:val="1C2333"/>
          <w:sz w:val="21"/>
          <w:szCs w:val="21"/>
        </w:rPr>
        <w:t xml:space="preserve">90+</w:t>
      </w:r>
    </w:p>
    <w:p>
      <w:pPr>
        <w:spacing w:after="120"/>
      </w:pPr>
      <w:r>
        <w:rPr>
          <w:color w:val="1C2333"/>
          <w:sz w:val="21"/>
          <w:szCs w:val="21"/>
        </w:rPr>
        <w:t xml:space="preserve">CALLOUT BOXES</w:t>
      </w:r>
    </w:p>
    <w:p>
      <w:pPr>
        <w:spacing w:after="120"/>
      </w:pPr>
      <w:r>
        <w:rPr>
          <w:color w:val="1C2333"/>
          <w:sz w:val="21"/>
          <w:szCs w:val="21"/>
        </w:rPr>
        <w:t xml:space="preserve">India · EU · US</w:t>
      </w:r>
    </w:p>
    <w:p>
      <w:pPr>
        <w:spacing w:after="120"/>
      </w:pPr>
      <w:r>
        <w:rPr>
          <w:color w:val="1C2333"/>
          <w:sz w:val="21"/>
          <w:szCs w:val="21"/>
        </w:rPr>
        <w:t xml:space="preserve">REGIONAL SPOTLIGHTS</w:t>
      </w:r>
    </w:p>
    <w:p>
      <w:pPr>
        <w:pStyle w:val="Heading2"/>
        <w:spacing w:after="120" w:before="240"/>
      </w:pPr>
      <w:r>
        <w:rPr>
          <w:b/>
          <w:bCs/>
          <w:color w:val="0D2B55"/>
        </w:rPr>
        <w:t xml:space="preserve">Table of Contents</w:t>
      </w:r>
    </w:p>
    <w:p>
      <w:pPr>
        <w:spacing w:after="120"/>
      </w:pPr>
      <w:r>
        <w:rPr>
          <w:color w:val="1C2333"/>
          <w:sz w:val="21"/>
          <w:szCs w:val="21"/>
        </w:rPr>
        <w:t xml:space="preserve">PART I — FOUNDATION &amp; CONTEXT</w:t>
      </w:r>
    </w:p>
    <w:p>
      <w:pPr>
        <w:spacing w:after="120"/>
      </w:pPr>
      <w:r>
        <w:rPr>
          <w:color w:val="1C2333"/>
          <w:sz w:val="21"/>
          <w:szCs w:val="21"/>
        </w:rPr>
        <w:t xml:space="preserve">Chapter 1</w:t>
      </w:r>
    </w:p>
    <w:p>
      <w:pPr>
        <w:spacing w:after="120"/>
      </w:pPr>
      <w:r>
        <w:rPr>
          <w:color w:val="1C2333"/>
          <w:sz w:val="21"/>
          <w:szCs w:val="21"/>
        </w:rPr>
        <w:t xml:space="preserve">The Global Pharma Landscape &amp; Digital Imperative</w:t>
      </w:r>
    </w:p>
    <w:p>
      <w:pPr>
        <w:spacing w:after="120"/>
      </w:pPr>
      <w:r>
        <w:rPr>
          <w:color w:val="1C2333"/>
          <w:sz w:val="21"/>
          <w:szCs w:val="21"/>
        </w:rPr>
        <w:t xml:space="preserve">Chapter 2</w:t>
      </w:r>
    </w:p>
    <w:p>
      <w:pPr>
        <w:spacing w:after="120"/>
      </w:pPr>
      <w:r>
        <w:rPr>
          <w:color w:val="1C2333"/>
          <w:sz w:val="21"/>
          <w:szCs w:val="21"/>
        </w:rPr>
        <w:t xml:space="preserve">Digital Maturity Model for Pharma (PDMF)</w:t>
      </w:r>
    </w:p>
    <w:p>
      <w:pPr>
        <w:spacing w:after="120"/>
      </w:pPr>
      <w:r>
        <w:rPr>
          <w:color w:val="1C2333"/>
          <w:sz w:val="21"/>
          <w:szCs w:val="21"/>
        </w:rPr>
        <w:t xml:space="preserve">Chapter 3</w:t>
      </w:r>
    </w:p>
    <w:p>
      <w:pPr>
        <w:spacing w:after="120"/>
      </w:pPr>
      <w:r>
        <w:rPr>
          <w:color w:val="1C2333"/>
          <w:sz w:val="21"/>
          <w:szCs w:val="21"/>
        </w:rPr>
        <w:t xml:space="preserve">Transformation Governance &amp; Operating Model</w:t>
      </w:r>
    </w:p>
    <w:p>
      <w:pPr>
        <w:spacing w:after="120"/>
      </w:pPr>
      <w:r>
        <w:rPr>
          <w:color w:val="1C2333"/>
          <w:sz w:val="21"/>
          <w:szCs w:val="21"/>
        </w:rPr>
        <w:t xml:space="preserve">PART II — VALUE CHAIN TRANSFORMATION</w:t>
      </w:r>
    </w:p>
    <w:p>
      <w:pPr>
        <w:spacing w:after="120"/>
      </w:pPr>
      <w:r>
        <w:rPr>
          <w:color w:val="1C2333"/>
          <w:sz w:val="21"/>
          <w:szCs w:val="21"/>
        </w:rPr>
        <w:t xml:space="preserve">Chapter 4</w:t>
      </w:r>
    </w:p>
    <w:p>
      <w:pPr>
        <w:spacing w:after="120"/>
      </w:pPr>
      <w:r>
        <w:rPr>
          <w:color w:val="1C2333"/>
          <w:sz w:val="21"/>
          <w:szCs w:val="21"/>
        </w:rPr>
        <w:t xml:space="preserve">R&amp;D &amp; Drug Discovery</w:t>
      </w:r>
    </w:p>
    <w:p>
      <w:pPr>
        <w:spacing w:after="120"/>
      </w:pPr>
      <w:r>
        <w:rPr>
          <w:color w:val="1C2333"/>
          <w:sz w:val="21"/>
          <w:szCs w:val="21"/>
        </w:rPr>
        <w:t xml:space="preserve">Chapter 5</w:t>
      </w:r>
    </w:p>
    <w:p>
      <w:pPr>
        <w:spacing w:after="120"/>
      </w:pPr>
      <w:r>
        <w:rPr>
          <w:color w:val="1C2333"/>
          <w:sz w:val="21"/>
          <w:szCs w:val="21"/>
        </w:rPr>
        <w:t xml:space="preserve">Clinical Trials</w:t>
      </w:r>
    </w:p>
    <w:p>
      <w:pPr>
        <w:spacing w:after="120"/>
      </w:pPr>
      <w:r>
        <w:rPr>
          <w:color w:val="1C2333"/>
          <w:sz w:val="21"/>
          <w:szCs w:val="21"/>
        </w:rPr>
        <w:t xml:space="preserve">Chapter 6</w:t>
      </w:r>
    </w:p>
    <w:p>
      <w:pPr>
        <w:spacing w:after="120"/>
      </w:pPr>
      <w:r>
        <w:rPr>
          <w:color w:val="1C2333"/>
          <w:sz w:val="21"/>
          <w:szCs w:val="21"/>
        </w:rPr>
        <w:t xml:space="preserve">Manufacturing &amp; Supply Chain</w:t>
      </w:r>
    </w:p>
    <w:p>
      <w:pPr>
        <w:spacing w:after="120"/>
      </w:pPr>
      <w:r>
        <w:rPr>
          <w:color w:val="1C2333"/>
          <w:sz w:val="21"/>
          <w:szCs w:val="21"/>
        </w:rPr>
        <w:t xml:space="preserve">Chapter 7</w:t>
      </w:r>
    </w:p>
    <w:p>
      <w:pPr>
        <w:spacing w:after="120"/>
      </w:pPr>
      <w:r>
        <w:rPr>
          <w:color w:val="1C2333"/>
          <w:sz w:val="21"/>
          <w:szCs w:val="21"/>
        </w:rPr>
        <w:t xml:space="preserve">Quality Management</w:t>
      </w:r>
    </w:p>
    <w:p>
      <w:pPr>
        <w:spacing w:after="120"/>
      </w:pPr>
      <w:r>
        <w:rPr>
          <w:color w:val="1C2333"/>
          <w:sz w:val="21"/>
          <w:szCs w:val="21"/>
        </w:rPr>
        <w:t xml:space="preserve">Chapter 8</w:t>
      </w:r>
    </w:p>
    <w:p>
      <w:pPr>
        <w:spacing w:after="120"/>
      </w:pPr>
      <w:r>
        <w:rPr>
          <w:color w:val="1C2333"/>
          <w:sz w:val="21"/>
          <w:szCs w:val="21"/>
        </w:rPr>
        <w:t xml:space="preserve">Regulatory Affairs &amp; Compliance</w:t>
      </w:r>
    </w:p>
    <w:p>
      <w:pPr>
        <w:spacing w:after="120"/>
      </w:pPr>
      <w:r>
        <w:rPr>
          <w:color w:val="1C2333"/>
          <w:sz w:val="21"/>
          <w:szCs w:val="21"/>
        </w:rPr>
        <w:t xml:space="preserve">Chapter 9</w:t>
      </w:r>
    </w:p>
    <w:p>
      <w:pPr>
        <w:spacing w:after="120"/>
      </w:pPr>
      <w:r>
        <w:rPr>
          <w:color w:val="1C2333"/>
          <w:sz w:val="21"/>
          <w:szCs w:val="21"/>
        </w:rPr>
        <w:t xml:space="preserve">Commercial, Sales &amp; Marketing</w:t>
      </w:r>
    </w:p>
    <w:p>
      <w:pPr>
        <w:spacing w:after="120"/>
      </w:pPr>
      <w:r>
        <w:rPr>
          <w:color w:val="1C2333"/>
          <w:sz w:val="21"/>
          <w:szCs w:val="21"/>
        </w:rPr>
        <w:t xml:space="preserve">Chapter 10</w:t>
      </w:r>
    </w:p>
    <w:p>
      <w:pPr>
        <w:spacing w:after="120"/>
      </w:pPr>
      <w:r>
        <w:rPr>
          <w:color w:val="1C2333"/>
          <w:sz w:val="21"/>
          <w:szCs w:val="21"/>
        </w:rPr>
        <w:t xml:space="preserve">Patient Engagement</w:t>
      </w:r>
    </w:p>
    <w:p>
      <w:pPr>
        <w:spacing w:after="120"/>
      </w:pPr>
      <w:r>
        <w:rPr>
          <w:color w:val="1C2333"/>
          <w:sz w:val="21"/>
          <w:szCs w:val="21"/>
        </w:rPr>
        <w:t xml:space="preserve">PART III — ENTERPRISE ENABLERS</w:t>
      </w:r>
    </w:p>
    <w:p>
      <w:pPr>
        <w:spacing w:after="120"/>
      </w:pPr>
      <w:r>
        <w:rPr>
          <w:color w:val="1C2333"/>
          <w:sz w:val="21"/>
          <w:szCs w:val="21"/>
        </w:rPr>
        <w:t xml:space="preserve">Chapter 11</w:t>
      </w:r>
    </w:p>
    <w:p>
      <w:pPr>
        <w:spacing w:after="120"/>
      </w:pPr>
      <w:r>
        <w:rPr>
          <w:color w:val="1C2333"/>
          <w:sz w:val="21"/>
          <w:szCs w:val="21"/>
        </w:rPr>
        <w:t xml:space="preserve">Enterprise Systems, Technology Architecture &amp; Data Platforms</w:t>
      </w:r>
    </w:p>
    <w:p>
      <w:pPr>
        <w:spacing w:after="120"/>
      </w:pPr>
      <w:r>
        <w:rPr>
          <w:color w:val="1C2333"/>
          <w:sz w:val="21"/>
          <w:szCs w:val="21"/>
        </w:rPr>
        <w:t xml:space="preserve">Chapter 12</w:t>
      </w:r>
    </w:p>
    <w:p>
      <w:pPr>
        <w:spacing w:after="120"/>
      </w:pPr>
      <w:r>
        <w:rPr>
          <w:color w:val="1C2333"/>
          <w:sz w:val="21"/>
          <w:szCs w:val="21"/>
        </w:rPr>
        <w:t xml:space="preserve">Finance, Procurement &amp; Cybersecurity</w:t>
      </w:r>
    </w:p>
    <w:p>
      <w:pPr>
        <w:spacing w:after="120"/>
      </w:pPr>
      <w:r>
        <w:rPr>
          <w:color w:val="1C2333"/>
          <w:sz w:val="21"/>
          <w:szCs w:val="21"/>
        </w:rPr>
        <w:t xml:space="preserve">PART IV — EXECUTION &amp; FUTURES</w:t>
      </w:r>
    </w:p>
    <w:p>
      <w:pPr>
        <w:spacing w:after="120"/>
      </w:pPr>
      <w:r>
        <w:rPr>
          <w:color w:val="1C2333"/>
          <w:sz w:val="21"/>
          <w:szCs w:val="21"/>
        </w:rPr>
        <w:t xml:space="preserve">Chapter 13</w:t>
      </w:r>
    </w:p>
    <w:p>
      <w:pPr>
        <w:spacing w:after="120"/>
      </w:pPr>
      <w:r>
        <w:rPr>
          <w:color w:val="1C2333"/>
          <w:sz w:val="21"/>
          <w:szCs w:val="21"/>
        </w:rPr>
        <w:t xml:space="preserve">Implementation Roadmap &amp; Change Management</w:t>
      </w:r>
    </w:p>
    <w:p>
      <w:pPr>
        <w:spacing w:after="120"/>
      </w:pPr>
      <w:r>
        <w:rPr>
          <w:color w:val="1C2333"/>
          <w:sz w:val="21"/>
          <w:szCs w:val="21"/>
        </w:rPr>
        <w:t xml:space="preserve">Chapter 14</w:t>
      </w:r>
    </w:p>
    <w:p>
      <w:pPr>
        <w:spacing w:after="120"/>
      </w:pPr>
      <w:r>
        <w:rPr>
          <w:color w:val="1C2333"/>
          <w:sz w:val="21"/>
          <w:szCs w:val="21"/>
        </w:rPr>
        <w:t xml:space="preserve">ROI Frameworks &amp; Emerging Technology Outlook</w:t>
      </w:r>
    </w:p>
    <w:p>
      <w:pPr>
        <w:spacing w:after="120"/>
      </w:pPr>
      <w:r>
        <w:rPr>
          <w:color w:val="1C2333"/>
          <w:sz w:val="21"/>
          <w:szCs w:val="21"/>
        </w:rPr>
        <w:t xml:space="preserve">APPENDIX &amp; REFERENCE MATERIALS</w:t>
      </w:r>
    </w:p>
    <w:p>
      <w:pPr>
        <w:spacing w:after="120"/>
      </w:pPr>
      <w:r>
        <w:rPr>
          <w:color w:val="1C2333"/>
          <w:sz w:val="21"/>
          <w:szCs w:val="21"/>
        </w:rPr>
        <w:t xml:space="preserve">Appendix A</w:t>
      </w:r>
    </w:p>
    <w:p>
      <w:pPr>
        <w:spacing w:after="120"/>
      </w:pPr>
      <w:r>
        <w:rPr>
          <w:color w:val="1C2333"/>
          <w:sz w:val="21"/>
          <w:szCs w:val="21"/>
        </w:rPr>
        <w:t xml:space="preserve">Glossary, Vendor Landscape, Assessment Tools &amp; References</w:t>
      </w:r>
    </w:p>
    <w:p>
      <w:pPr>
        <w:spacing w:after="120"/>
      </w:pPr>
      <w:r>
        <w:rPr>
          <w:color w:val="1C2333"/>
          <w:sz w:val="21"/>
          <w:szCs w:val="21"/>
        </w:rPr>
        <w:t xml:space="preserve">PART V — PHARMA GCCS IN INDIA</w:t>
      </w:r>
    </w:p>
    <w:p>
      <w:pPr>
        <w:spacing w:after="120"/>
      </w:pPr>
      <w:r>
        <w:rPr>
          <w:color w:val="1C2333"/>
          <w:sz w:val="21"/>
          <w:szCs w:val="21"/>
        </w:rPr>
        <w:t xml:space="preserve">Chapter 16</w:t>
      </w:r>
    </w:p>
    <w:p>
      <w:pPr>
        <w:spacing w:after="120"/>
      </w:pPr>
      <w:r>
        <w:rPr>
          <w:color w:val="1C2333"/>
          <w:sz w:val="21"/>
          <w:szCs w:val="21"/>
        </w:rPr>
        <w:t xml:space="preserve">Pharma Global Capability Centres in India — The Digital Transformation Engine</w:t>
      </w:r>
    </w:p>
    <w:p>
      <w:pPr>
        <w:spacing w:after="120"/>
      </w:pPr>
      <w:r>
        <w:rPr>
          <w:color w:val="1C2333"/>
          <w:sz w:val="21"/>
          <w:szCs w:val="21"/>
        </w:rPr>
        <w:t xml:space="preserve">PART I</w:t>
      </w:r>
    </w:p>
    <w:p>
      <w:pPr>
        <w:spacing w:after="120"/>
      </w:pPr>
      <w:r>
        <w:rPr>
          <w:color w:val="1C2333"/>
          <w:sz w:val="21"/>
          <w:szCs w:val="21"/>
        </w:rPr>
        <w:t xml:space="preserve">PART I — FOUNDATION &amp; CONTEXT</w:t>
      </w:r>
    </w:p>
    <w:p>
      <w:r>
        <w:br w:type="page"/>
      </w:r>
    </w:p>
    <w:p>
      <w:pPr>
        <w:pStyle w:val="Heading1"/>
        <w:spacing w:after="120" w:before="240"/>
      </w:pPr>
      <w:r>
        <w:rPr>
          <w:b/>
          <w:bCs/>
          <w:color w:val="0D2B55"/>
        </w:rPr>
        <w:t xml:space="preserve">Chapter 1: The Global Pharma Landscape &amp; Digital Imperative</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pharmaceutical industry stands at an inflection point unlike any in its history. A confluence of forces — accelerating scientific complexity, relentless cost pressure, post-pandemic urgency, and the maturation of artificial intelligence — is reshaping every dimension of how drugs are discovered, developed, manufactured, and delivered. This chapter establishes the strategic context for the chapters that follow, arguing that digital transformation is no longer a technology investment decision but a fundamental business survival imperative. Organizations that treat digitalization as an IT project will fall behind; those that embed it into their operating model and culture will define the next era of global health.</w:t>
      </w:r>
    </w:p>
    <w:p>
      <w:pPr>
        <w:pStyle w:val="Heading2"/>
        <w:spacing w:after="120" w:before="240"/>
      </w:pPr>
      <w:r>
        <w:rPr>
          <w:b/>
          <w:bCs/>
          <w:color w:val="0D2B55"/>
        </w:rPr>
        <w:t xml:space="preserve">1.1 Why Now: Industry Forces Driving Transformation</w:t>
      </w:r>
    </w:p>
    <w:p>
      <w:pPr>
        <w:spacing w:after="120"/>
      </w:pPr>
      <w:r>
        <w:rPr>
          <w:i w:val="false"/>
          <w:iCs w:val="false"/>
          <w:color w:val="1C2333"/>
          <w:sz w:val="21"/>
          <w:szCs w:val="21"/>
        </w:rPr>
        <w:t xml:space="preserve">Pharmaceutical companies have always operated at the intersection of science, regulation, and commerce — a combination that has historically made them cautious about adopting new technologies. The change we are seeing today is not driven by a single innovation, but by the simultaneous maturation of five forces that are mutually reinforcing.</w:t>
      </w:r>
    </w:p>
    <w:p>
      <w:pPr>
        <w:spacing w:after="120"/>
      </w:pPr>
      <w:r>
        <w:rPr>
          <w:i w:val="false"/>
          <w:iCs w:val="false"/>
          <w:color w:val="1C2333"/>
          <w:sz w:val="21"/>
          <w:szCs w:val="21"/>
        </w:rPr>
        <w:t xml:space="preserve">The productivity crisis in drug discovery. The industry has been aware of Eroom's Law — the observation, documented by Scannell et al. in 2012, that the number of new drug approvals per billion dollars of R&amp;D spending has roughly halved every nine years since the 1950s — for more than a decade. Despite rising R&amp;D investment (the global total exceeded $250 billion in 2023), attrition rates remain stubbornly high: approximately 90% of compounds that enter Phase I trials fail to reach approval. The capitalized cost of bringing a new molecular entity to market now exceeds $2.2 billion on Deloitte's 2024 per-asset basis (older capitalized estimates run to ~$2.6 billion) and takes 10 to 15 years on average. AI and machine learning offer the first credible structural solution to this problem, by predicting which targets are druggable, which compounds will have the desired properties, and which patient populations are most likely to respond.</w:t>
      </w:r>
    </w:p>
    <w:p>
      <w:pPr>
        <w:spacing w:after="120"/>
      </w:pPr>
      <w:r>
        <w:rPr>
          <w:i w:val="false"/>
          <w:iCs w:val="false"/>
          <w:color w:val="1C2333"/>
          <w:sz w:val="21"/>
          <w:szCs w:val="21"/>
        </w:rPr>
        <w:t xml:space="preserve">The explosion of biomedical data. Genomic sequencing costs have fallen by a factor of more than a million since the Human Genome Project — from approximately $3 billion in 2001 to under $300 today. The result is an exponential growth in genomic, proteomic, transcriptomic, and clinical data that vastly exceeds the capacity of human researchers to analyse. A single genomic sequencing run produces terabytes of raw data. A Phase III clinical trial with 10,000 patients can generate billions of data points across electronic health records, wearable sensors, imaging archives, and patient-reported outcomes. Machine learning systems can operate at this scale; human scientists cannot. The data is only useful if the computational infrastructure exists to process it, which is driving massive investment in cloud-native life sciences platforms.</w:t>
      </w:r>
    </w:p>
    <w:p>
      <w:pPr>
        <w:spacing w:after="120"/>
      </w:pPr>
      <w:r>
        <w:rPr>
          <w:i w:val="false"/>
          <w:iCs w:val="false"/>
          <w:color w:val="1C2333"/>
          <w:sz w:val="21"/>
          <w:szCs w:val="21"/>
        </w:rPr>
        <w:t xml:space="preserve">The rise of the empowered patient. Patients increasingly arrive at the clinic having already consulted digital sources, participated in online communities, and — in growing numbers — monitored their own health through wearables and apps. They expect personalised engagement, not mass-market communication. Non-adherence to prescribed medications costs the US healthcare system an estimated $300 billion annually. Digital therapeutics, connected devices, and intelligent patient support programmes are beginning to move the needle on adherence in high-value therapeutic areas.</w:t>
      </w:r>
    </w:p>
    <w:p>
      <w:pPr>
        <w:spacing w:after="120"/>
      </w:pPr>
      <w:r>
        <w:rPr>
          <w:i w:val="false"/>
          <w:iCs w:val="false"/>
          <w:color w:val="1C2333"/>
          <w:sz w:val="21"/>
          <w:szCs w:val="21"/>
        </w:rPr>
        <w:t xml:space="preserve">The COVID-19 forcing function. The pandemic compressed a decade of digital adoption into eighteen months. Clinical trials adopted remote monitoring and decentralised designs out of necessity and discovered that they worked better in many respects — Pfizer enrolled 43,000 participants in its COVID-19 vaccine trial in under four months using digital recruitment. Regulatory agencies accelerated digital submission pathways. Manufacturing teams implemented remote expert support and predictive maintenance. Supply chains that lacked digital visibility failed visibly. The lessons are now being systematised.</w:t>
      </w:r>
    </w:p>
    <w:p>
      <w:pPr>
        <w:spacing w:after="120"/>
      </w:pPr>
      <w:r>
        <w:rPr>
          <w:i w:val="false"/>
          <w:iCs w:val="false"/>
          <w:color w:val="1C2333"/>
          <w:sz w:val="21"/>
          <w:szCs w:val="21"/>
        </w:rPr>
        <w:t xml:space="preserve">The platform economy entering life sciences. Technology companies — Amazon, Microsoft, Google, and a growing roster of specialised life sciences platform providers such as Veeva Systems, Medidata, and IQVIA — are moving into the pharmaceutical value chain. They bring capabilities in cloud infrastructure, AI, consumer data, and logistics that pharmaceutical companies cannot easily replicate internally. The choice of whether to build, buy, or partner with these platforms is one of the most consequential strategic decisions pharma leadership teams face today.</w:t>
      </w:r>
    </w:p>
    <w:p>
      <w:pPr>
        <w:pStyle w:val="Heading2"/>
        <w:spacing w:after="120" w:before="240"/>
      </w:pPr>
      <w:r>
        <w:rPr>
          <w:b/>
          <w:bCs/>
          <w:color w:val="0D2B55"/>
        </w:rPr>
        <w:t xml:space="preserve">1.2 The $2 Trillion Opportunity: What Digital Unlocks</w:t>
      </w:r>
    </w:p>
    <w:p>
      <w:pPr>
        <w:spacing w:after="120"/>
      </w:pPr>
      <w:r>
        <w:rPr>
          <w:i w:val="false"/>
          <w:iCs w:val="false"/>
          <w:color w:val="1C2333"/>
          <w:sz w:val="21"/>
          <w:szCs w:val="21"/>
        </w:rPr>
        <w:t xml:space="preserve">McKinsey Global Institute has estimated that advanced analytics and AI could create $100 billion in value annually for the US healthcare system. Across the global pharmaceutical value chain, the opportunity is larger still. The global pharmaceutical market crossed USD 1.6 trillion in revenues in 2024 and is projected to approach USD 2.3 trillion by 2028 (about USD 2.4 trillion by 2029). The value pools are distributed across four categories.</w:t>
      </w:r>
    </w:p>
    <w:p>
      <w:pPr>
        <w:spacing w:after="120"/>
      </w:pPr>
      <w:r>
        <w:rPr>
          <w:i w:val="false"/>
          <w:iCs w:val="false"/>
          <w:color w:val="1C2333"/>
          <w:sz w:val="21"/>
          <w:szCs w:val="21"/>
        </w:rPr>
        <w:t xml:space="preserve">Discovery and development efficiency. If AI could cut average development timelines by 20–30% and improve Phase II success rates by even 10 percentage points, the value creation at a large pharmaceutical company would be measured in tens of billions of dollars of net present value. Early evidence from AI-assisted programmes — where compounds have progressed to clinical trials in timelines previously considered impossible — suggests these estimates are not unreasonable. Insilico Medicine's INS018_055 reached Phase II clinical trials in 18 months, compared to an industry average of 4–6 years for the same stage.</w:t>
      </w:r>
    </w:p>
    <w:p>
      <w:pPr>
        <w:spacing w:after="120"/>
      </w:pPr>
      <w:r>
        <w:rPr>
          <w:i w:val="false"/>
          <w:iCs w:val="false"/>
          <w:color w:val="1C2333"/>
          <w:sz w:val="21"/>
          <w:szCs w:val="21"/>
        </w:rPr>
        <w:t xml:space="preserve">Manufacturing yield and quality. Global pharmaceutical manufacturing waste — from batch failures, rework, and quality deviations — runs into the billions of dollars annually. Digital quality systems, process analytical technology, and AI-driven process optimisation are demonstrating consistent yield improvements of 10–20% in documented deployments. At the scale of global manufacturing operations, this is transformative. Studies consistently show manufacturers with advanced digital systems demonstrate 25–35% faster batch cycle times and 20–30% lower deviation rates.</w:t>
      </w:r>
    </w:p>
    <w:p>
      <w:pPr>
        <w:spacing w:after="120"/>
      </w:pPr>
      <w:r>
        <w:rPr>
          <w:i w:val="false"/>
          <w:iCs w:val="false"/>
          <w:color w:val="1C2333"/>
          <w:sz w:val="21"/>
          <w:szCs w:val="21"/>
        </w:rPr>
        <w:t xml:space="preserve">Commercial effectiveness. AI-powered sales force effectiveness tools are showing 15–25% improvements in promotional ROI. Omnichannel engagement models are demonstrating higher HCP satisfaction scores and better prescribing outcomes. Novartis publicly disclosed 20–25% improvement in field force productivity and $200M annual commercial efficiency gains from its AI-driven commercial transformation. Real-world evidence platforms are accelerating market access decisions.</w:t>
      </w:r>
    </w:p>
    <w:p>
      <w:pPr>
        <w:spacing w:after="120"/>
      </w:pPr>
      <w:r>
        <w:rPr>
          <w:i w:val="false"/>
          <w:iCs w:val="false"/>
          <w:color w:val="1C2333"/>
          <w:sz w:val="21"/>
          <w:szCs w:val="21"/>
        </w:rPr>
        <w:t xml:space="preserve">Patient outcomes and adherence. Digital therapeutics, connected devices, and intelligent patient support programmes are demonstrating 15–25% improvements in therapy persistence rates in high-value therapeutic areas. This is both a patient benefit and a commercial opportunity for companies whose products work better when patients actually take them.</w:t>
      </w:r>
    </w:p>
    <w:p>
      <w:pPr>
        <w:pStyle w:val="Heading2"/>
        <w:spacing w:after="120" w:before="240"/>
      </w:pPr>
      <w:r>
        <w:rPr>
          <w:b/>
          <w:bCs/>
          <w:color w:val="0D2B55"/>
        </w:rPr>
        <w:t xml:space="preserve">1.3 The Cost of Inaction: Laggards vs. Leaders</w:t>
      </w:r>
    </w:p>
    <w:p>
      <w:pPr>
        <w:spacing w:after="120"/>
      </w:pPr>
      <w:r>
        <w:rPr>
          <w:i w:val="false"/>
          <w:iCs w:val="false"/>
          <w:color w:val="1C2333"/>
          <w:sz w:val="21"/>
          <w:szCs w:val="21"/>
        </w:rPr>
        <w:t xml:space="preserve">The gap between digital leaders and laggards is now measurable and widening. A pharmaceutical company without a unified clinical data platform will take 18 to 24 months longer on average to compile a regulatory submission package compared to a digital-native peer. A manufacturer without real-time process analytics has a deviation detection latency 4 to 6 times higher than a PAT-enabled facility. A commercial organisation without AI-driven targeting and next-best-action engines generates field force efficiency scores 30 to 40 percent below best-in-class.</w:t>
      </w:r>
    </w:p>
    <w:p>
      <w:pPr>
        <w:spacing w:after="120"/>
      </w:pPr>
      <w:r>
        <w:rPr>
          <w:i w:val="false"/>
          <w:iCs w:val="false"/>
          <w:color w:val="1C2333"/>
          <w:sz w:val="21"/>
          <w:szCs w:val="21"/>
        </w:rPr>
        <w:t xml:space="preserve">The AI-native biotech threat. A new class of competitors is emerging that was born digital — companies like Recursion Pharmaceuticals (which absorbed Exscientia in 2024), Insilico Medicine, and Alphabet's Isomorphic Labs that use AI as their primary discovery engine and have no legacy systems to migrate. These companies can run drug discovery programs with a fraction of the headcount of traditional pharma, at dramatically lower cost, with faster cycle times. As their clinical pipelines mature and their platforms prove out, they represent an existential threat to the traditional discovery model of large pharma.</w:t>
      </w:r>
    </w:p>
    <w:p>
      <w:pPr>
        <w:spacing w:after="120"/>
      </w:pPr>
      <w:r>
        <w:rPr>
          <w:i w:val="false"/>
          <w:iCs w:val="false"/>
          <w:color w:val="1C2333"/>
          <w:sz w:val="21"/>
          <w:szCs w:val="21"/>
        </w:rPr>
        <w:t xml:space="preserve">The talent arbitrage window is closing. Companies that invest now in digital talent — data scientists, ML engineers, computational biologists, regulatory informaticists — will build capabilities that compound over time. Companies that delay will find themselves competing for the same scarce talent in a seller's market, with no institutional knowledge of how to deploy digital tools effectively.</w:t>
      </w:r>
    </w:p>
    <w:p>
      <w:pPr>
        <w:spacing w:after="120"/>
      </w:pPr>
      <w:r>
        <w:rPr>
          <w:i w:val="false"/>
          <w:iCs w:val="false"/>
          <w:color w:val="1C2333"/>
          <w:sz w:val="21"/>
          <w:szCs w:val="21"/>
        </w:rPr>
        <w:t xml:space="preserve">Patent cliff acceleration. Over USD 200 billion in branded pharmaceutical sales face generic competition through 2028. In a post-patent-cliff environment where every percentage point of margin matters, the cost of digital inaction is existential for mid-tier pharma and severely damaging for the large multinationals.</w:t>
      </w:r>
    </w:p>
    <w:p>
      <w:pPr>
        <w:pStyle w:val="Heading2"/>
        <w:spacing w:after="120" w:before="240"/>
      </w:pPr>
      <w:r>
        <w:rPr>
          <w:b/>
          <w:bCs/>
          <w:color w:val="0D2B55"/>
        </w:rPr>
        <w:t xml:space="preserve">1.4 Defining Digital Transformation in the Pharma Context</w:t>
      </w:r>
    </w:p>
    <w:p>
      <w:pPr>
        <w:spacing w:after="120"/>
      </w:pPr>
      <w:r>
        <w:rPr>
          <w:i w:val="false"/>
          <w:iCs w:val="false"/>
          <w:color w:val="1C2333"/>
          <w:sz w:val="21"/>
          <w:szCs w:val="21"/>
        </w:rPr>
        <w:t xml:space="preserve">A critical clarification before proceeding: digital transformation in pharma is not primarily about technology. It is about fundamentally redesigning business processes, decision-making architectures, and operating models — enabled by technology. This distinction matters because organizations that deploy technology onto broken processes do not transform; they automate dysfunction.</w:t>
      </w:r>
    </w:p>
    <w:p>
      <w:pPr>
        <w:spacing w:after="120"/>
      </w:pPr>
      <w:r>
        <w:rPr>
          <w:i w:val="false"/>
          <w:iCs w:val="false"/>
          <w:color w:val="1C2333"/>
          <w:sz w:val="21"/>
          <w:szCs w:val="21"/>
        </w:rPr>
        <w:t xml:space="preserve">True digital transformation in pharma has four interlocking dimensions:</w:t>
      </w:r>
    </w:p>
    <w:p>
      <w:pPr>
        <w:spacing w:after="120"/>
      </w:pPr>
      <w:r>
        <w:rPr>
          <w:i w:val="false"/>
          <w:iCs w:val="false"/>
          <w:color w:val="1C2333"/>
          <w:sz w:val="21"/>
          <w:szCs w:val="21"/>
        </w:rPr>
        <w:t xml:space="preserve">Data as a strategic asset. Building the infrastructure, governance, and culture to treat data as a company-wide resource rather than a departmental byproduct. This means unified data platforms, master data management, FAIR (Findable, Accessible, Interoperable, Reusable) data principles, and data literacy across all functions.</w:t>
      </w:r>
    </w:p>
    <w:p>
      <w:pPr>
        <w:spacing w:after="120"/>
      </w:pPr>
      <w:r>
        <w:rPr>
          <w:i w:val="false"/>
          <w:iCs w:val="false"/>
          <w:color w:val="1C2333"/>
          <w:sz w:val="21"/>
          <w:szCs w:val="21"/>
        </w:rPr>
        <w:t xml:space="preserve">AI-powered intelligence. Embedding machine learning and advanced analytics into decisions at every level, from molecule selection to sales force deployment. This means MLOps platforms, model governance, AI ethics frameworks, and the cultural willingness to act on algorithmic recommendations.</w:t>
      </w:r>
    </w:p>
    <w:p>
      <w:pPr>
        <w:spacing w:after="120"/>
      </w:pPr>
      <w:r>
        <w:rPr>
          <w:i w:val="false"/>
          <w:iCs w:val="false"/>
          <w:color w:val="1C2333"/>
          <w:sz w:val="21"/>
          <w:szCs w:val="21"/>
        </w:rPr>
        <w:t xml:space="preserve">Connected operations. Integrating previously siloed functions — R&amp;D, manufacturing, supply chain, commercial — into real-time decision loops that eliminate latency and unlock systemic efficiency. This means API-first architectures, event streaming, and end-to-end process orchestration.</w:t>
      </w:r>
    </w:p>
    <w:p>
      <w:pPr>
        <w:spacing w:after="120"/>
      </w:pPr>
      <w:r>
        <w:rPr>
          <w:i w:val="false"/>
          <w:iCs w:val="false"/>
          <w:color w:val="1C2333"/>
          <w:sz w:val="21"/>
          <w:szCs w:val="21"/>
        </w:rPr>
        <w:t xml:space="preserve">Digital patient and customer centricity. Redesigning how the company interacts with patients, healthcare providers, payers, and regulators using digital channels, real-world data, and personalized engagement. This means omnichannel platforms, patient apps, digital therapeutics, and outcomes-based engagement models.</w:t>
      </w:r>
    </w:p>
    <w:p>
      <w:pPr>
        <w:pStyle w:val="Heading2"/>
        <w:spacing w:after="120" w:before="240"/>
      </w:pPr>
      <w:r>
        <w:rPr>
          <w:b/>
          <w:bCs/>
          <w:color w:val="0D2B55"/>
        </w:rPr>
        <w:t xml:space="preserve">1.5 The Pharma Digital Maturity Landscape: Where the Industry Stands</w:t>
      </w:r>
    </w:p>
    <w:p>
      <w:pPr>
        <w:spacing w:after="120"/>
      </w:pPr>
      <w:r>
        <w:rPr>
          <w:i w:val="false"/>
          <w:iCs w:val="false"/>
          <w:color w:val="1C2333"/>
          <w:sz w:val="21"/>
          <w:szCs w:val="21"/>
        </w:rPr>
        <w:t xml:space="preserve">Despite the urgency, the industry's digital maturity is highly uneven. A 2024 survey of 120 global pharmaceutical and biotech companies produced a striking bimodal distribution: roughly 20 percent of organisations — predominantly large multinationals and a cohort of digitally native biotechs — have advanced cloud-native data platforms, enterprise AI programs, and digitally integrated supply chains. The remaining 80 percent are at various stages of foundational work.</w:t>
      </w:r>
    </w:p>
    <w:p>
      <w:pPr>
        <w:spacing w:after="120"/>
      </w:pPr>
      <w:r>
        <w:rPr>
          <w:i w:val="false"/>
          <w:iCs w:val="false"/>
          <w:color w:val="1C2333"/>
          <w:sz w:val="21"/>
          <w:szCs w:val="21"/>
        </w:rPr>
        <w:t xml:space="preserve">Digital leaders — a cohort that includes Roche/Genentech, Novartis, Johnson &amp; Johnson, AstraZeneca, and Pfizer — have built genuine enterprise-wide digital capability. Roche has invested over $2 billion in its data and AI capabilities since 2019, with particular strength in personalised medicine data platforms and diagnostic AI. Novartis appointed a Chief Digital Officer in 2019 and has transformed its commercial, manufacturing, and R&amp;D functions with measurable results.</w:t>
      </w:r>
    </w:p>
    <w:p>
      <w:pPr>
        <w:spacing w:after="120"/>
      </w:pPr>
      <w:r>
        <w:rPr>
          <w:i w:val="false"/>
          <w:iCs w:val="false"/>
          <w:color w:val="1C2333"/>
          <w:sz w:val="21"/>
          <w:szCs w:val="21"/>
        </w:rPr>
        <w:t xml:space="preserve">Fast followers — including Sanofi, GSK, Bayer, and Takeda — have made significant investments and are closing the gap, particularly in manufacturing digitalization and commercial analytics. Sanofi's "Play to Win" digital strategy and its $1B+ investment in data and digital since 2020 exemplifies this tier.</w:t>
      </w:r>
    </w:p>
    <w:p>
      <w:pPr>
        <w:spacing w:after="120"/>
      </w:pPr>
      <w:r>
        <w:rPr>
          <w:i w:val="false"/>
          <w:iCs w:val="false"/>
          <w:color w:val="1C2333"/>
          <w:sz w:val="21"/>
          <w:szCs w:val="21"/>
        </w:rPr>
        <w:t xml:space="preserve">Mid-tier companies — the majority of the sector by company count, including many specialty pharma companies and regional generic manufacturers — are still in the foundational phase: consolidating ERP systems, moving to the cloud, and implementing basic quality management systems.</w:t>
      </w:r>
    </w:p>
    <w:p>
      <w:pPr>
        <w:spacing w:after="120"/>
      </w:pPr>
      <w:r>
        <w:rPr>
          <w:i w:val="false"/>
          <w:iCs w:val="false"/>
          <w:color w:val="1C2333"/>
          <w:sz w:val="21"/>
          <w:szCs w:val="21"/>
        </w:rPr>
        <w:t xml:space="preserve">AI-native biotechs represent a distinct and disruptive category. They have no legacy infrastructure, their entire operating model is built around digital and AI, and they are demonstrating that drug discovery can be done at a fraction of traditional cost and time. As their pipelines mature, they will fundamentally challenge the value proposition of traditional pharmaceutical R&amp;D.</w:t>
      </w:r>
    </w:p>
    <w:p>
      <w:pPr>
        <w:pStyle w:val="Heading2"/>
        <w:spacing w:after="120" w:before="240"/>
      </w:pPr>
      <w:r>
        <w:rPr>
          <w:b/>
          <w:bCs/>
          <w:color w:val="0D2B55"/>
        </w:rPr>
        <w:t xml:space="preserve">1.6 Regional Context: The Global Transformation Landscape</w:t>
      </w:r>
    </w:p>
    <w:p>
      <w:pPr>
        <w:spacing w:after="120"/>
      </w:pPr>
      <w:r>
        <w:rPr>
          <w:i w:val="false"/>
          <w:iCs w:val="false"/>
          <w:color w:val="1C2333"/>
          <w:sz w:val="21"/>
          <w:szCs w:val="21"/>
        </w:rPr>
        <w:t xml:space="preserve">United States. The US leads in AI-native drug discovery and decentralised clinical trial adoption. FDA's Digital Health Center of Excellence, the Computer Software Assurance (CSA) guidance, the Real-World Evidence program, and the Inflation Reduction Act's pricing pressure are all accelerating digital transformation. US big pharma leads in AI-for-drug-discovery investment, with Pfizer, Merck, AstraZeneca US, and J&amp;J each committing hundreds of millions annually. The US market also leads in digital health venture investment — over $14 billion deployed in 2023.</w:t>
      </w:r>
    </w:p>
    <w:p>
      <w:pPr>
        <w:spacing w:after="120"/>
      </w:pPr>
      <w:r>
        <w:rPr>
          <w:i w:val="false"/>
          <w:iCs w:val="false"/>
          <w:color w:val="1C2333"/>
          <w:sz w:val="21"/>
          <w:szCs w:val="21"/>
        </w:rPr>
        <w:t xml:space="preserve">European Union. The EMA's evolving regulatory framework, the European Health Data Space (EHDS), GDPR, and the EU AI Act collectively define the world's most complex but also most comprehensive digital health governance environment. Germany leads in manufacturing digitalization (Industrie 4.0 is deeply embedded), while the UK post-Brexit has positioned itself aggressively as a clinical trial and digital health regulatory sandbox. The DARWIN EU real-world evidence platform is creating unprecedented pan-European evidence infrastructure.</w:t>
      </w:r>
    </w:p>
    <w:p>
      <w:pPr>
        <w:spacing w:after="120"/>
      </w:pPr>
      <w:r>
        <w:rPr>
          <w:i w:val="false"/>
          <w:iCs w:val="false"/>
          <w:color w:val="1C2333"/>
          <w:sz w:val="21"/>
          <w:szCs w:val="21"/>
        </w:rPr>
        <w:t xml:space="preserve">India. India accounts for approximately 20% of global generic medicine exports by volume and over 60% of US FDA-approved manufacturing facilities outside the US. The Ayushman Bharat Digital Mission (ABDM) has created over 900 million digital health IDs. The Production Linked Incentive (PLI) scheme is investing $2B+ in pharmaceutical manufacturing modernisation. Over 30 multinational pharma companies operate Global Capability Centres (GCCs) in India, leveraging the world's deepest pharma IT talent pool. Indian pharma majors — Sun Pharma, Cipla, Dr. Reddy's, Lupin, Aurobindo — are investing in digital manufacturing transformation, AI-powered quality systems, and global commercial analytics platforms.</w:t>
      </w:r>
    </w:p>
    <w:p>
      <w:pPr>
        <w:pStyle w:val="Heading2"/>
        <w:spacing w:after="120" w:before="240"/>
      </w:pPr>
      <w:r>
        <w:rPr>
          <w:b/>
          <w:bCs/>
          <w:color w:val="0D2B55"/>
        </w:rPr>
        <w:t xml:space="preserve">1.7 Five Transformative Themes: What the Evidence Shows</w:t>
      </w:r>
    </w:p>
    <w:p>
      <w:pPr>
        <w:spacing w:after="120"/>
      </w:pPr>
      <w:r>
        <w:rPr>
          <w:i w:val="false"/>
          <w:iCs w:val="false"/>
          <w:color w:val="1C2333"/>
          <w:sz w:val="21"/>
          <w:szCs w:val="21"/>
        </w:rPr>
        <w:t xml:space="preserve">Five themes emerge consistently from the evidence across global pharmaceutical digital transformation programs.</w:t>
      </w:r>
    </w:p>
    <w:p>
      <w:pPr>
        <w:spacing w:after="120"/>
      </w:pPr>
      <w:r>
        <w:rPr>
          <w:i w:val="false"/>
          <w:iCs w:val="false"/>
          <w:color w:val="1C2333"/>
          <w:sz w:val="21"/>
          <w:szCs w:val="21"/>
        </w:rPr>
        <w:t xml:space="preserve">First, the returns are real and measurable. AI-assisted drug discovery is already reducing target identification timelines from years to months. Decentralised clinical trials have cut patient recruitment windows by 30–50% in documented deployments. Smart manufacturing implementations are driving 15–20% improvements in Overall Equipment Effectiveness (OEE). These are not projections — they are outcomes from companies that have moved from pilot to production.</w:t>
      </w:r>
    </w:p>
    <w:p>
      <w:pPr>
        <w:spacing w:after="120"/>
      </w:pPr>
      <w:r>
        <w:rPr>
          <w:i w:val="false"/>
          <w:iCs w:val="false"/>
          <w:color w:val="1C2333"/>
          <w:sz w:val="21"/>
          <w:szCs w:val="21"/>
        </w:rPr>
        <w:t xml:space="preserve">Second, data is the foundational asset. Every capability described in this handbook depends on high-quality, well-governed, and interoperable data. Companies that have invested early in data platforms, master data management, and data literacy consistently outperform those that have not.</w:t>
      </w:r>
    </w:p>
    <w:p>
      <w:pPr>
        <w:spacing w:after="120"/>
      </w:pPr>
      <w:r>
        <w:rPr>
          <w:i w:val="false"/>
          <w:iCs w:val="false"/>
          <w:color w:val="1C2333"/>
          <w:sz w:val="21"/>
          <w:szCs w:val="21"/>
        </w:rPr>
        <w:t xml:space="preserve">Third, the regulatory environment is actively enabling. The FDA's Digital Health Centre of Excellence, the EU's Clinical Trials Regulation and CTIS platform, and India's SUGAM portal and ABDM framework are all pushing the industry toward digital submissions, electronic records, and connected health data.</w:t>
      </w:r>
    </w:p>
    <w:p>
      <w:pPr>
        <w:spacing w:after="120"/>
      </w:pPr>
      <w:r>
        <w:rPr>
          <w:i w:val="false"/>
          <w:iCs w:val="false"/>
          <w:color w:val="1C2333"/>
          <w:sz w:val="21"/>
          <w:szCs w:val="21"/>
        </w:rPr>
        <w:t xml:space="preserve">Fourth, regional context matters enormously. The US leads in AI-native drug discovery. Europe leads in data governance and regulatory harmonisation. India leads in manufacturing scale and digital talent depth. Understanding the specific opportunity and constraint in each region is essential to building a globally coherent transformation strategy.</w:t>
      </w:r>
    </w:p>
    <w:p>
      <w:pPr>
        <w:spacing w:after="120"/>
      </w:pPr>
      <w:r>
        <w:rPr>
          <w:i w:val="false"/>
          <w:iCs w:val="false"/>
          <w:color w:val="1C2333"/>
          <w:sz w:val="21"/>
          <w:szCs w:val="21"/>
        </w:rPr>
        <w:t xml:space="preserve">Fifth, talent and culture are the binding constraint. The technologies described in this handbook are commercially available. What limits adoption is the scarcity of people who understand both the science and the digital tool. Building this capability requires a deliberate strategy: reskilling existing talent, recruiting from adjacent industries, and partnering with GCCs, academic institutions, and the startup ecosystem.</w:t>
      </w:r>
    </w:p>
    <w:p>
      <w:pPr>
        <w:pStyle w:val="Heading2"/>
        <w:spacing w:after="120" w:before="240"/>
      </w:pPr>
      <w:r>
        <w:rPr>
          <w:b/>
          <w:bCs/>
          <w:color w:val="0D2B55"/>
        </w:rPr>
        <w:t xml:space="preserve">1.8 How to Use This Handbook</w:t>
      </w:r>
    </w:p>
    <w:p>
      <w:pPr>
        <w:spacing w:after="120"/>
      </w:pPr>
      <w:r>
        <w:rPr>
          <w:i w:val="false"/>
          <w:iCs w:val="false"/>
          <w:color w:val="1C2333"/>
          <w:sz w:val="21"/>
          <w:szCs w:val="21"/>
        </w:rPr>
        <w:t xml:space="preserve">Throughout the handbook you will find four recurring feature types. Domain Playbooks give functional leaders a step-by-step view of what digital maturity looks like in their area, from foundational capability to leading-edge practice. Case Studies — both real and illustrative — show how organisations have navigated specific challenges. Regional Spotlights anchor the global framework to the specific regulatory, infrastructure, and market dynamics of the US, EU, and India. Board Question Sections translate strategic insights into governance accountability questions that executives and directors can use to test their organisation's progress.</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board have a clear view of the organisation's digital maturity relative to its top three competitors — measured against a structured framework rather than anecdotal impressions? Has the organisation quantified the cost of its current digital gaps — in terms of slower time-to-market, higher cost of goods, weaker payer negotiations, and talent attraction disadvantage? Who in the leadership team owns the digital transformation agenda with sufficient authority, budget, and talent to execute it? What is the plan to compete with AI-native biotech companies that are entering therapeutic areas where the organisation currently holds market leadership?</w:t>
      </w:r>
    </w:p>
    <w:p>
      <w:pPr>
        <w:pBdr>
          <w:left w:val="single" w:color="C9A84C" w:sz="18" w:space="8"/>
        </w:pBdr>
        <w:shd w:fill="FBF6E9" w:color="auto" w:val="clear"/>
        <w:spacing w:after="120"/>
        <w:ind w:left="240"/>
      </w:pPr>
      <w:r>
        <w:rPr>
          <w:i/>
          <w:iCs/>
          <w:color w:val="1C2333"/>
          <w:sz w:val="21"/>
          <w:szCs w:val="21"/>
        </w:rPr>
        <w:t xml:space="preserve">🌍 REGIONAL SPOTLIGHT: INDIA'S DIGITAL PHARMA MOMENT</w:t>
      </w:r>
    </w:p>
    <w:p>
      <w:pPr>
        <w:pBdr>
          <w:left w:val="single" w:color="C9A84C" w:sz="18" w:space="8"/>
        </w:pBdr>
        <w:shd w:fill="FBF6E9" w:color="auto" w:val="clear"/>
        <w:spacing w:after="120"/>
        <w:ind w:left="240"/>
      </w:pPr>
      <w:r>
        <w:rPr>
          <w:i/>
          <w:iCs/>
          <w:color w:val="1C2333"/>
          <w:sz w:val="21"/>
          <w:szCs w:val="21"/>
        </w:rPr>
        <w:t xml:space="preserve">India's pharmaceutical industry is undergoing a digital transformation that is structurally different from, and in some ways more complex than, the transformation underway in Western multinationals. India's pharma sector is dominated by generics manufacturers operating on thin margins in a highly competitive global market — which means the ROI calculus for digital investment must be sharper and faster than it is for a branded multinational with patent-protected revenues. The opportunity is significant. India's ABDM is creating the world's largest unified health ID system, with over 900 million health accounts registered by 2026. This infrastructure, combined with India's depth of IT talent (over 5 million software engineers, with a rapidly growing bioinformatics and data science cohort), positions Indian pharma companies to lead in real-world evidence generation, AI-powered pharmacovigilance, and digital health partnerships in ways that could reshape their global competitive positioning.</w:t>
      </w:r>
    </w:p>
    <w:p>
      <w:pPr>
        <w:spacing w:after="120"/>
      </w:pPr>
      <w:r>
        <w:rPr>
          <w:i w:val="false"/>
          <w:iCs w:val="false"/>
          <w:color w:val="1C2333"/>
          <w:sz w:val="21"/>
          <w:szCs w:val="21"/>
        </w:rPr>
        <w:t xml:space="preserve">The urgency is also significant. The pattern of US FDA warning letters and import alerts issued against Indian manufacturing facilities — many citing data integrity failures — is fundamentally a symptom of inadequate digital quality systems. Closing this gap is simultaneously a compliance imperative and a competitive opportunity.</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1.1: Pharmaceutical Digital Value Chain — End-to-End Overview</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1.2: Eroom's Law — Rising R&amp;D Cost and the AI Inflection Point</w:t>
      </w:r>
    </w:p>
    <w:p>
      <w:r>
        <w:br w:type="page"/>
      </w:r>
    </w:p>
    <w:p>
      <w:pPr>
        <w:pStyle w:val="Heading1"/>
        <w:spacing w:after="120" w:before="240"/>
      </w:pPr>
      <w:r>
        <w:rPr>
          <w:b/>
          <w:bCs/>
          <w:color w:val="0D2B55"/>
        </w:rPr>
        <w:t xml:space="preserve">Chapter 2: Digital Maturity Model for Pharma</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A digital transformation strategy without a maturity model is navigation without a map. This chapter introduces the Pharma Digital Maturity Framework (PDMF) — a structured five-level model designed specifically for the pharmaceutical industry. The PDMF provides organizations with a shared vocabulary for describing where they are today, a diagnostic lens for identifying gaps, and a progression logic for planning the journey ahead. Unlike generic enterprise maturity models, the PDMF is built around the unique characteristics of the pharma value chain: its regulatory obligations, its GxP quality requirements, its patient safety responsibilities, and its exceptional data complexity.</w:t>
      </w:r>
    </w:p>
    <w:p>
      <w:pPr>
        <w:pStyle w:val="Heading2"/>
        <w:spacing w:after="120" w:before="240"/>
      </w:pPr>
      <w:r>
        <w:rPr>
          <w:b/>
          <w:bCs/>
          <w:color w:val="0D2B55"/>
        </w:rPr>
        <w:t xml:space="preserve">2.1 Why Pharma Needs Its Own Maturity Framework</w:t>
      </w:r>
    </w:p>
    <w:p>
      <w:pPr>
        <w:spacing w:after="120"/>
      </w:pPr>
      <w:r>
        <w:rPr>
          <w:i w:val="false"/>
          <w:iCs w:val="false"/>
          <w:color w:val="1C2333"/>
          <w:sz w:val="21"/>
          <w:szCs w:val="21"/>
        </w:rPr>
        <w:t xml:space="preserve">Generic digital maturity models — designed for financial services, retail, or manufacturing broadly — consistently fail pharma organizations for three interconnected reasons. First, they underestimate the regulatory dimension. In pharma, digitalization is not just a commercial choice; it is a compliance act. Every digital system that touches GxP processes must be validated, documented, and auditable. This creates a layer of complexity that generic frameworks neither account for nor score. A pharma company may have sophisticated AI capabilities in commercial but be operating on paper-based batch records in manufacturing — a gap that a generic model would flag as an anomaly but that the PDMF treats as a common and addressable pattern.</w:t>
      </w:r>
    </w:p>
    <w:p>
      <w:pPr>
        <w:spacing w:after="120"/>
      </w:pPr>
      <w:r>
        <w:rPr>
          <w:i w:val="false"/>
          <w:iCs w:val="false"/>
          <w:color w:val="1C2333"/>
          <w:sz w:val="21"/>
          <w:szCs w:val="21"/>
        </w:rPr>
        <w:t xml:space="preserve">Second, generic models treat "data maturity" as a single dimension. In pharma, data has radically different governance requirements, life cycles, and quality standards depending on whether it is clinical trial data (governed by ICH E6 Good Clinical Practice), manufacturing data (governed by 21 CFR Part 11 and EU Annex 11), or commercial data (governed by GDPR, HIPAA, and industry codes). The PDMF disaggregates data maturity by domain so organizations can see their actual profile rather than a misleading average.</w:t>
      </w:r>
    </w:p>
    <w:p>
      <w:pPr>
        <w:spacing w:after="120"/>
      </w:pPr>
      <w:r>
        <w:rPr>
          <w:i w:val="false"/>
          <w:iCs w:val="false"/>
          <w:color w:val="1C2333"/>
          <w:sz w:val="21"/>
          <w:szCs w:val="21"/>
        </w:rPr>
        <w:t xml:space="preserve">Third, generic models rarely address the intersection of scientific and digital maturity. A biotech at the frontier of cell therapy development may have extraordinarily sophisticated science but primitive digital infrastructure — a pattern that the PDMF captures as a specific archetype with a specific remediation path.</w:t>
      </w:r>
    </w:p>
    <w:p>
      <w:pPr>
        <w:pStyle w:val="Heading2"/>
        <w:spacing w:after="120" w:before="240"/>
      </w:pPr>
      <w:r>
        <w:rPr>
          <w:b/>
          <w:bCs/>
          <w:color w:val="0D2B55"/>
        </w:rPr>
        <w:t xml:space="preserve">2.2 The Pharma Digital Maturity Framework (PDMF)</w:t>
      </w:r>
    </w:p>
    <w:p>
      <w:pPr>
        <w:spacing w:after="120"/>
      </w:pPr>
      <w:r>
        <w:rPr>
          <w:i w:val="false"/>
          <w:iCs w:val="false"/>
          <w:color w:val="1C2333"/>
          <w:sz w:val="21"/>
          <w:szCs w:val="21"/>
        </w:rPr>
        <w:t xml:space="preserve">The PDMF is organized across five levels and seven dimensions. The five levels describe the progression from digital infancy to digital leadership. The seven dimensions describe the domains in which maturity is assessed independently, enabling an organization to generate a maturity profile — a radar chart showing relative strengths and gaps — rather than a single composite score that obscures as much as it reveals.</w:t>
      </w:r>
    </w:p>
    <w:p>
      <w:pPr>
        <w:spacing w:after="120"/>
      </w:pPr>
      <w:r>
        <w:rPr>
          <w:i w:val="false"/>
          <w:iCs w:val="false"/>
          <w:color w:val="1C2333"/>
          <w:sz w:val="21"/>
          <w:szCs w:val="21"/>
        </w:rPr>
        <w:t xml:space="preserve">The Five Levels</w:t>
      </w:r>
    </w:p>
    <w:p>
      <w:pPr>
        <w:spacing w:after="120"/>
      </w:pPr>
      <w:r>
        <w:rPr>
          <w:i w:val="false"/>
          <w:iCs w:val="false"/>
          <w:color w:val="1C2333"/>
          <w:sz w:val="21"/>
          <w:szCs w:val="21"/>
        </w:rPr>
        <w:t xml:space="preserve">At Level 1: Fragmented, the organization operates primarily on paper or on disconnected legacy systems. Data is siloed by function and rarely flows across departmental boundaries. Digital initiatives exist as isolated pilots with no common architecture or governance. Most decisions are experience-driven rather than data-driven. IT is viewed as a support function rather than a strategic enabler. This level is more common than many organizations will admit — particularly in manufacturing quality, clinical operations at smaller biotechs, and commercial operations in emerging markets.</w:t>
      </w:r>
    </w:p>
    <w:p>
      <w:pPr>
        <w:spacing w:after="120"/>
      </w:pPr>
      <w:r>
        <w:rPr>
          <w:i w:val="false"/>
          <w:iCs w:val="false"/>
          <w:color w:val="1C2333"/>
          <w:sz w:val="21"/>
          <w:szCs w:val="21"/>
        </w:rPr>
        <w:t xml:space="preserve">At Level 2: Foundational, the organization has implemented core enterprise systems — typically an ERP, a quality management system, and perhaps a clinical trial management system — but these systems are not well integrated. Data still moves largely by export-import or manual reconciliation. Cloud migration may have begun, but on-premises systems remain dominant. Analytics capability is limited to standard reporting from these individual systems. The organization is aware of its digital gaps and has begun investing in remediation, but lacks a coherent enterprise digital strategy. This is the most common level among mid-tier global pharma companies.</w:t>
      </w:r>
    </w:p>
    <w:p>
      <w:pPr>
        <w:spacing w:after="120"/>
      </w:pPr>
      <w:r>
        <w:rPr>
          <w:i w:val="false"/>
          <w:iCs w:val="false"/>
          <w:color w:val="1C2333"/>
          <w:sz w:val="21"/>
          <w:szCs w:val="21"/>
        </w:rPr>
        <w:t xml:space="preserve">At Level 3: Connected, enterprise systems are integrated and data flows across the value chain in near-real-time. A unified data platform — whether a cloud-based data lake, data warehouse, or lakehouse architecture — is in place and being actively used. Advanced analytics and business intelligence tools are deployed, enabling descriptive and diagnostic analytics. AI and ML pilots are active in one or more domains, typically R&amp;D or commercial. The organization has established digital governance structures — a Chief Digital Officer or equivalent, a digital leadership forum, and a data governance council. This is the target state for most digital transformation programs at the outset.</w:t>
      </w:r>
    </w:p>
    <w:p>
      <w:pPr>
        <w:spacing w:after="120"/>
      </w:pPr>
      <w:r>
        <w:rPr>
          <w:i w:val="false"/>
          <w:iCs w:val="false"/>
          <w:color w:val="1C2333"/>
          <w:sz w:val="21"/>
          <w:szCs w:val="21"/>
        </w:rPr>
        <w:t xml:space="preserve">At Level 4: Intelligent, AI and ML are embedded into core processes across multiple functional domains. Predictive and prescriptive analytics drive operational decisions in manufacturing (predictive maintenance, process optimization), clinical (patient recruitment prediction, protocol deviation risk scoring), and commercial (next-best-action, demand forecasting). The organization has built reusable AI/ML infrastructure — feature stores, model registries, automated retraining pipelines — that allows new use cases to be deployed at pace. Digital is no longer a separate function; it is integrated into how every team works. Data is treated as a strategic asset with formal valuation, governance, and lifecycle management.</w:t>
      </w:r>
    </w:p>
    <w:p>
      <w:pPr>
        <w:spacing w:after="120"/>
      </w:pPr>
      <w:r>
        <w:rPr>
          <w:i w:val="false"/>
          <w:iCs w:val="false"/>
          <w:color w:val="1C2333"/>
          <w:sz w:val="21"/>
          <w:szCs w:val="21"/>
        </w:rPr>
        <w:t xml:space="preserve">At Level 5: Regenerative, the organization has achieved continuous, self-reinforcing digital capability. AI models learn and improve autonomously. Digital twins of manufacturing processes and clinical trial designs allow systematic simulation of decisions before execution. The organization is generating and sharing real-world data at scale, creating external data assets that enhance payer negotiations, regulatory relationships, and patient trust. Digital capabilities are a recognized source of competitive advantage — new product development cycles are measurably faster, manufacturing costs are measurably lower, and commercial impact is measurably higher than industry peers. The organization actively shapes external standards, regulatory frameworks, and industry platforms rather than simply responding to them. Fewer than 5 percent of pharma organizations globally have achieved this level.</w:t>
      </w:r>
    </w:p>
    <w:p>
      <w:pPr>
        <w:pStyle w:val="Heading2"/>
        <w:spacing w:after="120" w:before="240"/>
      </w:pPr>
      <w:r>
        <w:rPr>
          <w:b/>
          <w:bCs/>
          <w:color w:val="0D2B55"/>
        </w:rPr>
        <w:t xml:space="preserve">2.3 The Seven Dimensions of Pharma Digital Maturity</w:t>
      </w:r>
    </w:p>
    <w:p>
      <w:pPr>
        <w:spacing w:after="120"/>
      </w:pPr>
      <w:r>
        <w:rPr>
          <w:i w:val="false"/>
          <w:iCs w:val="false"/>
          <w:color w:val="1C2333"/>
          <w:sz w:val="21"/>
          <w:szCs w:val="21"/>
        </w:rPr>
        <w:t xml:space="preserve">Dimension 1: Data Infrastructure and Architecture. This dimension assesses the quality, integration, and accessibility of the organization's data foundation. It spans cloud adoption, data lake and warehouse architecture, master data management, data quality frameworks, and the coverage of structured and unstructured data. A Level 1 organization has fragmented, on-premises databases with no enterprise data catalog. A Level 5 organization has a cloud-native, federated data mesh with FAIR (Findable, Accessible, Interoperable, Reusable) data principles embedded across the enterprise.</w:t>
      </w:r>
    </w:p>
    <w:p>
      <w:pPr>
        <w:spacing w:after="120"/>
      </w:pPr>
      <w:r>
        <w:rPr>
          <w:i w:val="false"/>
          <w:iCs w:val="false"/>
          <w:color w:val="1C2333"/>
          <w:sz w:val="21"/>
          <w:szCs w:val="21"/>
        </w:rPr>
        <w:t xml:space="preserve">Dimension 2: Analytics and AI Capability. This dimension assesses the sophistication of analytical tools, the depth of the data science talent base, and the organization's ability to deploy AI models from development into production. It distinguishes between organizations that are doing analytics (reporting on what happened), those doing advanced analytics (explaining why it happened and predicting what will happen), and those doing AI-driven optimization (automatically determining what should happen).</w:t>
      </w:r>
    </w:p>
    <w:p>
      <w:pPr>
        <w:spacing w:after="120"/>
      </w:pPr>
      <w:r>
        <w:rPr>
          <w:i w:val="false"/>
          <w:iCs w:val="false"/>
          <w:color w:val="1C2333"/>
          <w:sz w:val="21"/>
          <w:szCs w:val="21"/>
        </w:rPr>
        <w:t xml:space="preserve">Dimension 3: Digital Operations and GxP Compliance. This dimension is unique to pharma among industry maturity frameworks. It assesses the extent to which manufacturing, quality, clinical, and regulatory operations have been digitized in a way that maintains GxP compliance — including validated systems, electronic records and signatures (21 CFR Part 11 / EU Annex 11), and audit trail completeness. An organization can be highly sophisticated in commercial analytics while remaining at Level 1 in this dimension if its manufacturing quality systems are paper-based.</w:t>
      </w:r>
    </w:p>
    <w:p>
      <w:pPr>
        <w:spacing w:after="120"/>
      </w:pPr>
      <w:r>
        <w:rPr>
          <w:i w:val="false"/>
          <w:iCs w:val="false"/>
          <w:color w:val="1C2333"/>
          <w:sz w:val="21"/>
          <w:szCs w:val="21"/>
        </w:rPr>
        <w:t xml:space="preserve">Dimension 4: Patient and Customer Centricity. This dimension assesses the organization's digital capability in engaging with patients, healthcare providers, and payers. It covers omnichannel engagement platforms, patient support programs, real-world evidence generation from patient interactions, and the use of digital biomarkers and wearables in clinical and commercial settings.</w:t>
      </w:r>
    </w:p>
    <w:p>
      <w:pPr>
        <w:spacing w:after="120"/>
      </w:pPr>
      <w:r>
        <w:rPr>
          <w:i w:val="false"/>
          <w:iCs w:val="false"/>
          <w:color w:val="1C2333"/>
          <w:sz w:val="21"/>
          <w:szCs w:val="21"/>
        </w:rPr>
        <w:t xml:space="preserve">Dimension 5: Regulatory Digital Readiness. This dimension assesses the organization's ability to generate, manage, and submit digital evidence to regulators. It covers eCTD (electronic Common Technical Document) capability, electronic data interchange with regulators, use of real-world evidence in regulatory submissions, and participation in regulatory digital pilot programs.</w:t>
      </w:r>
    </w:p>
    <w:p>
      <w:pPr>
        <w:spacing w:after="120"/>
      </w:pPr>
      <w:r>
        <w:rPr>
          <w:i w:val="false"/>
          <w:iCs w:val="false"/>
          <w:color w:val="1C2333"/>
          <w:sz w:val="21"/>
          <w:szCs w:val="21"/>
        </w:rPr>
        <w:t xml:space="preserve">Dimension 6: Workforce and Culture. Digital tools without digital capability are inert. This dimension assesses the organization's digital literacy across all levels, the depth of data science and digital engineering talent, the incentive structures that reinforce data-driven decision making, and the cultural openness to algorithmic recommendations that may challenge human intuition.</w:t>
      </w:r>
    </w:p>
    <w:p>
      <w:pPr>
        <w:spacing w:after="120"/>
      </w:pPr>
      <w:r>
        <w:rPr>
          <w:i w:val="false"/>
          <w:iCs w:val="false"/>
          <w:color w:val="1C2333"/>
          <w:sz w:val="21"/>
          <w:szCs w:val="21"/>
        </w:rPr>
        <w:t xml:space="preserve">Dimension 7: Digital Ecosystem and Partnerships. No pharma company will build all its digital capabilities internally. This dimension assesses the quality of the organization's relationships with digital health technology vendors, academic AI research centers, data consortia, patient advocacy platforms, and cloud hyperscalers — and the organization's ability to integrate external digital assets into its own operations.</w:t>
      </w:r>
    </w:p>
    <w:p>
      <w:pPr>
        <w:pStyle w:val="Heading2"/>
        <w:spacing w:after="120" w:before="240"/>
      </w:pPr>
      <w:r>
        <w:rPr>
          <w:b/>
          <w:bCs/>
          <w:color w:val="0D2B55"/>
        </w:rPr>
        <w:t xml:space="preserve">2.4 Maturity Archetypes: Five Common Profiles</w:t>
      </w:r>
    </w:p>
    <w:p>
      <w:pPr>
        <w:spacing w:after="120"/>
      </w:pPr>
      <w:r>
        <w:rPr>
          <w:i w:val="false"/>
          <w:iCs w:val="false"/>
          <w:color w:val="1C2333"/>
          <w:sz w:val="21"/>
          <w:szCs w:val="21"/>
        </w:rPr>
        <w:t xml:space="preserve">In applying the PDMF across the industry, five dominant maturity archetypes consistently emerge. Understanding which archetype your organization most closely resembles is the first step to designing a targeted transformation program.</w:t>
      </w:r>
    </w:p>
    <w:p>
      <w:pPr>
        <w:spacing w:after="120"/>
      </w:pPr>
      <w:r>
        <w:rPr>
          <w:i w:val="false"/>
          <w:iCs w:val="false"/>
          <w:color w:val="1C2333"/>
          <w:sz w:val="21"/>
          <w:szCs w:val="21"/>
        </w:rPr>
        <w:t xml:space="preserve">The Digital Laggard (predominantly Level 1–2 across all dimensions) is typically a mid-sized generics company or a regional specialty pharma with limited IT investment history, fragmented enterprise systems, and no central digital governance. The transformation imperative for this archetype is foundational: consolidate ERP systems, move to the cloud, implement a quality management system, and establish a data governance function before attempting AI or advanced analytics.</w:t>
      </w:r>
    </w:p>
    <w:p>
      <w:pPr>
        <w:spacing w:after="120"/>
      </w:pPr>
      <w:r>
        <w:rPr>
          <w:i w:val="false"/>
          <w:iCs w:val="false"/>
          <w:color w:val="1C2333"/>
          <w:sz w:val="21"/>
          <w:szCs w:val="21"/>
        </w:rPr>
        <w:t xml:space="preserve">The Selective Sophisticate (Level 3–4 in one or two dimensions, Level 1–2 elsewhere) is the most common archetype among large multinationals. These organizations have often made significant digital investments in commercial or R&amp;D while leaving manufacturing or regulatory operations behind. The transformation imperative is integration and elevation: use the advanced dimensions as reference models and systematically bring the lagging dimensions up to the same level.</w:t>
      </w:r>
    </w:p>
    <w:p>
      <w:pPr>
        <w:spacing w:after="120"/>
      </w:pPr>
      <w:r>
        <w:rPr>
          <w:i w:val="false"/>
          <w:iCs w:val="false"/>
          <w:color w:val="1C2333"/>
          <w:sz w:val="21"/>
          <w:szCs w:val="21"/>
        </w:rPr>
        <w:t xml:space="preserve">The Compliance-Constrained Innovator (high innovation ambition but Level 1–2 in Digital Operations / GxP compliance) is common among biotech startups and late-stage clinical-stage companies that have built sophisticated R&amp;D analytics platforms but have not yet built the validated systems infrastructure needed for commercial-scale manufacturing and regulatory submission. The transformation imperative is infrastructure scaling: building validation frameworks, 21 CFR Part 11-compliant systems, and quality data lakes before reaching commercialization.</w:t>
      </w:r>
    </w:p>
    <w:p>
      <w:pPr>
        <w:spacing w:after="120"/>
      </w:pPr>
      <w:r>
        <w:rPr>
          <w:i w:val="false"/>
          <w:iCs w:val="false"/>
          <w:color w:val="1C2333"/>
          <w:sz w:val="21"/>
          <w:szCs w:val="21"/>
        </w:rPr>
        <w:t xml:space="preserve">The Data-Rich, Insight-Poor organization (Level 3+ in Data Infrastructure but Level 1–2 in Analytics) has invested heavily in cloud migration and data consolidation but lacks the analytics talent, governance, and tooling to extract value from its data. This archetype is increasingly common among large multinationals that have completed their SAP S/4HANA or Veeva migrations but have not yet built the analytics and AI layer. The transformation imperative is analytics acceleration: hiring or developing data science talent, deploying analytics platforms, and establishing use-case-driven AI programs with business ownership.</w:t>
      </w:r>
    </w:p>
    <w:p>
      <w:pPr>
        <w:spacing w:after="120"/>
      </w:pPr>
      <w:r>
        <w:rPr>
          <w:i w:val="false"/>
          <w:iCs w:val="false"/>
          <w:color w:val="1C2333"/>
          <w:sz w:val="21"/>
          <w:szCs w:val="21"/>
        </w:rPr>
        <w:t xml:space="preserve">The Digital Leader (Level 4–5 across most dimensions) is the archetype to which all others aspire. These organizations — a small cohort that includes Roche/Genentech, Novartis, Johnson &amp; Johnson, and a handful of digitally native biotechs — have built genuine enterprise-wide digital capability and are beginning to treat it as an external competitive moat. The transformation imperative for these organizations is continuous innovation and external platform leadership: contributing to industry data consortia, co-creating regulatory standards, and using digital capability to accelerate the next wave of scientific innovation.</w:t>
      </w:r>
    </w:p>
    <w:p>
      <w:pPr>
        <w:pStyle w:val="Heading2"/>
        <w:spacing w:after="120" w:before="240"/>
      </w:pPr>
      <w:r>
        <w:rPr>
          <w:b/>
          <w:bCs/>
          <w:color w:val="0D2B55"/>
        </w:rPr>
        <w:t xml:space="preserve">2.5 Conducting a PDMF Assessment</w:t>
      </w:r>
    </w:p>
    <w:p>
      <w:pPr>
        <w:spacing w:after="120"/>
      </w:pPr>
      <w:r>
        <w:rPr>
          <w:i w:val="false"/>
          <w:iCs w:val="false"/>
          <w:color w:val="1C2333"/>
          <w:sz w:val="21"/>
          <w:szCs w:val="21"/>
        </w:rPr>
        <w:t xml:space="preserve">The PDMF assessment is a structured diagnostic process that typically takes four to six weeks to complete at an enterprise level and two to three weeks for a divisional or functional assessment. The process has four phases.</w:t>
      </w:r>
    </w:p>
    <w:p>
      <w:pPr>
        <w:spacing w:after="120"/>
      </w:pPr>
      <w:r>
        <w:rPr>
          <w:i w:val="false"/>
          <w:iCs w:val="false"/>
          <w:color w:val="1C2333"/>
          <w:sz w:val="21"/>
          <w:szCs w:val="21"/>
        </w:rPr>
        <w:t xml:space="preserve">The first phase is stakeholder mapping and data collection: identifying the key informants in each dimension (e.g., the Chief Manufacturing Officer and Head of Quality for Dimension 3; the Chief Data Officer and data science leadership for Dimension 2) and conducting structured interviews and system reviews.</w:t>
      </w:r>
    </w:p>
    <w:p>
      <w:pPr>
        <w:spacing w:after="120"/>
      </w:pPr>
      <w:r>
        <w:rPr>
          <w:i w:val="false"/>
          <w:iCs w:val="false"/>
          <w:color w:val="1C2333"/>
          <w:sz w:val="21"/>
          <w:szCs w:val="21"/>
        </w:rPr>
        <w:t xml:space="preserve">The second phase is evidence scoring: rating each of the seven dimensions against the five-level criteria using a documented evidence base. The goal is not to achieve a high score but to generate an honest and defensible assessment that leadership can act on.</w:t>
      </w:r>
    </w:p>
    <w:p>
      <w:pPr>
        <w:spacing w:after="120"/>
      </w:pPr>
      <w:r>
        <w:rPr>
          <w:i w:val="false"/>
          <w:iCs w:val="false"/>
          <w:color w:val="1C2333"/>
          <w:sz w:val="21"/>
          <w:szCs w:val="21"/>
        </w:rPr>
        <w:t xml:space="preserve">The third phase is profile synthesis: producing the maturity radar chart and identifying the three to five highest-priority gaps based on both current score and strategic importance. A company focused on launching a precision medicine in oncology will weight Dimension 1 (data infrastructure), Dimension 4 (patient centricity), and Dimension 5 (regulatory readiness) more heavily than a generics manufacturer, which will weight Dimension 3 (digital operations) and Dimension 2 (analytics for process optimization) most heavily.</w:t>
      </w:r>
    </w:p>
    <w:p>
      <w:pPr>
        <w:spacing w:after="120"/>
      </w:pPr>
      <w:r>
        <w:rPr>
          <w:i w:val="false"/>
          <w:iCs w:val="false"/>
          <w:color w:val="1C2333"/>
          <w:sz w:val="21"/>
          <w:szCs w:val="21"/>
        </w:rPr>
        <w:t xml:space="preserve">The fourth phase is transformation planning: translating the gap analysis into a prioritized digital transformation roadmap with defined initiatives, timelines, investment requirements, and accountable owners. Chapter 13 provides the detailed framework for this planning process.</w:t>
      </w:r>
    </w:p>
    <w:p>
      <w:pPr>
        <w:pStyle w:val="Heading2"/>
        <w:spacing w:after="120" w:before="240"/>
      </w:pPr>
      <w:r>
        <w:rPr>
          <w:b/>
          <w:bCs/>
          <w:color w:val="0D2B55"/>
        </w:rPr>
        <w:t xml:space="preserve">2.6 Maturity Assessment Diagnostic: Quick Reference</w:t>
      </w:r>
    </w:p>
    <w:p>
      <w:pPr>
        <w:spacing w:after="120"/>
      </w:pPr>
      <w:r>
        <w:rPr>
          <w:i w:val="false"/>
          <w:iCs w:val="false"/>
          <w:color w:val="1C2333"/>
          <w:sz w:val="21"/>
          <w:szCs w:val="21"/>
        </w:rPr>
        <w:t xml:space="preserve">The table below provides a condensed diagnostic that leadership teams can use as a starting point for self-assessment before engaging in a full PDMF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D2B55" w:color="auto" w:val="clear"/>
          </w:tcPr>
          <w:p>
            <w:pPr>
              <w:spacing w:after="40" w:before="40"/>
            </w:pPr>
            <w:r>
              <w:rPr>
                <w:b/>
                <w:bCs/>
                <w:color w:val="FFFFFF"/>
                <w:sz w:val="17"/>
                <w:szCs w:val="17"/>
              </w:rPr>
              <w:t xml:space="preserve">DIMENSION</w:t>
            </w:r>
          </w:p>
        </w:tc>
        <w:tc>
          <w:tcPr>
            <w:tcW w:type="dxa" w:w="2340"/>
            <w:shd w:fill="0D2B55" w:color="auto" w:val="clear"/>
          </w:tcPr>
          <w:p>
            <w:pPr>
              <w:spacing w:after="40" w:before="40"/>
            </w:pPr>
            <w:r>
              <w:rPr>
                <w:b/>
                <w:bCs/>
                <w:color w:val="FFFFFF"/>
                <w:sz w:val="17"/>
                <w:szCs w:val="17"/>
              </w:rPr>
              <w:t xml:space="preserve">LEVEL 1 INDICATOR</w:t>
            </w:r>
          </w:p>
        </w:tc>
        <w:tc>
          <w:tcPr>
            <w:tcW w:type="dxa" w:w="2340"/>
            <w:shd w:fill="0D2B55" w:color="auto" w:val="clear"/>
          </w:tcPr>
          <w:p>
            <w:pPr>
              <w:spacing w:after="40" w:before="40"/>
            </w:pPr>
            <w:r>
              <w:rPr>
                <w:b/>
                <w:bCs/>
                <w:color w:val="FFFFFF"/>
                <w:sz w:val="17"/>
                <w:szCs w:val="17"/>
              </w:rPr>
              <w:t xml:space="preserve">LEVEL 3 INDICATOR</w:t>
            </w:r>
          </w:p>
        </w:tc>
        <w:tc>
          <w:tcPr>
            <w:tcW w:type="dxa" w:w="2340"/>
            <w:shd w:fill="0D2B55" w:color="auto" w:val="clear"/>
          </w:tcPr>
          <w:p>
            <w:pPr>
              <w:spacing w:after="40" w:before="40"/>
            </w:pPr>
            <w:r>
              <w:rPr>
                <w:b/>
                <w:bCs/>
                <w:color w:val="FFFFFF"/>
                <w:sz w:val="17"/>
                <w:szCs w:val="17"/>
              </w:rPr>
              <w:t xml:space="preserve">LEVEL 5 INDICATOR</w:t>
            </w:r>
          </w:p>
        </w:tc>
      </w:tr>
      <w:tr>
        <w:trPr>
          <w:tblHeader w:val="false"/>
        </w:trPr>
        <w:tc>
          <w:tcPr>
            <w:tcW w:type="dxa" w:w="2340"/>
            <w:shd w:fill="F4F7FB" w:color="auto" w:val="clear"/>
          </w:tcPr>
          <w:p>
            <w:pPr>
              <w:spacing w:after="40" w:before="40"/>
            </w:pPr>
            <w:r>
              <w:rPr>
                <w:b w:val="false"/>
                <w:bCs w:val="false"/>
                <w:color w:val="1C2333"/>
                <w:sz w:val="17"/>
                <w:szCs w:val="17"/>
              </w:rPr>
              <w:t xml:space="preserve">Data Infrastructure</w:t>
            </w:r>
          </w:p>
        </w:tc>
        <w:tc>
          <w:tcPr>
            <w:tcW w:type="dxa" w:w="2340"/>
            <w:shd w:fill="F4F7FB" w:color="auto" w:val="clear"/>
          </w:tcPr>
          <w:p>
            <w:pPr>
              <w:spacing w:after="40" w:before="40"/>
            </w:pPr>
            <w:r>
              <w:rPr>
                <w:b w:val="false"/>
                <w:bCs w:val="false"/>
                <w:color w:val="1C2333"/>
                <w:sz w:val="17"/>
                <w:szCs w:val="17"/>
              </w:rPr>
              <w:t xml:space="preserve">Siloed on-prem databases; no data catalog</w:t>
            </w:r>
          </w:p>
        </w:tc>
        <w:tc>
          <w:tcPr>
            <w:tcW w:type="dxa" w:w="2340"/>
            <w:shd w:fill="F4F7FB" w:color="auto" w:val="clear"/>
          </w:tcPr>
          <w:p>
            <w:pPr>
              <w:spacing w:after="40" w:before="40"/>
            </w:pPr>
            <w:r>
              <w:rPr>
                <w:b w:val="false"/>
                <w:bCs w:val="false"/>
                <w:color w:val="1C2333"/>
                <w:sz w:val="17"/>
                <w:szCs w:val="17"/>
              </w:rPr>
              <w:t xml:space="preserve">Unified cloud data lake; active data governance council</w:t>
            </w:r>
          </w:p>
        </w:tc>
        <w:tc>
          <w:tcPr>
            <w:tcW w:type="dxa" w:w="2340"/>
            <w:shd w:fill="F4F7FB" w:color="auto" w:val="clear"/>
          </w:tcPr>
          <w:p>
            <w:pPr>
              <w:spacing w:after="40" w:before="40"/>
            </w:pPr>
            <w:r>
              <w:rPr>
                <w:b w:val="false"/>
                <w:bCs w:val="false"/>
                <w:color w:val="1C2333"/>
                <w:sz w:val="17"/>
                <w:szCs w:val="17"/>
              </w:rPr>
              <w:t xml:space="preserve">Federated data mesh; FAIR principles; real-time data fabric</w:t>
            </w:r>
          </w:p>
        </w:tc>
      </w:tr>
      <w:tr>
        <w:trPr>
          <w:tblHeader w:val="false"/>
        </w:trPr>
        <w:tc>
          <w:tcPr>
            <w:tcW w:type="dxa" w:w="2340"/>
            <w:shd w:fill="FFFFFF" w:color="auto" w:val="clear"/>
          </w:tcPr>
          <w:p>
            <w:pPr>
              <w:spacing w:after="40" w:before="40"/>
            </w:pPr>
            <w:r>
              <w:rPr>
                <w:b w:val="false"/>
                <w:bCs w:val="false"/>
                <w:color w:val="1C2333"/>
                <w:sz w:val="17"/>
                <w:szCs w:val="17"/>
              </w:rPr>
              <w:t xml:space="preserve">Analytics &amp; AI</w:t>
            </w:r>
          </w:p>
        </w:tc>
        <w:tc>
          <w:tcPr>
            <w:tcW w:type="dxa" w:w="2340"/>
            <w:shd w:fill="FFFFFF" w:color="auto" w:val="clear"/>
          </w:tcPr>
          <w:p>
            <w:pPr>
              <w:spacing w:after="40" w:before="40"/>
            </w:pPr>
            <w:r>
              <w:rPr>
                <w:b w:val="false"/>
                <w:bCs w:val="false"/>
                <w:color w:val="1C2333"/>
                <w:sz w:val="17"/>
                <w:szCs w:val="17"/>
              </w:rPr>
              <w:t xml:space="preserve">Excel reports; no data science team</w:t>
            </w:r>
          </w:p>
        </w:tc>
        <w:tc>
          <w:tcPr>
            <w:tcW w:type="dxa" w:w="2340"/>
            <w:shd w:fill="FFFFFF" w:color="auto" w:val="clear"/>
          </w:tcPr>
          <w:p>
            <w:pPr>
              <w:spacing w:after="40" w:before="40"/>
            </w:pPr>
            <w:r>
              <w:rPr>
                <w:b w:val="false"/>
                <w:bCs w:val="false"/>
                <w:color w:val="1C2333"/>
                <w:sz w:val="17"/>
                <w:szCs w:val="17"/>
              </w:rPr>
              <w:t xml:space="preserve">BI platform deployed; AI pilots active in 2+ domains</w:t>
            </w:r>
          </w:p>
        </w:tc>
        <w:tc>
          <w:tcPr>
            <w:tcW w:type="dxa" w:w="2340"/>
            <w:shd w:fill="FFFFFF" w:color="auto" w:val="clear"/>
          </w:tcPr>
          <w:p>
            <w:pPr>
              <w:spacing w:after="40" w:before="40"/>
            </w:pPr>
            <w:r>
              <w:rPr>
                <w:b w:val="false"/>
                <w:bCs w:val="false"/>
                <w:color w:val="1C2333"/>
                <w:sz w:val="17"/>
                <w:szCs w:val="17"/>
              </w:rPr>
              <w:t xml:space="preserve">AI embedded in core processes; automated model lifecycle</w:t>
            </w:r>
          </w:p>
        </w:tc>
      </w:tr>
      <w:tr>
        <w:trPr>
          <w:tblHeader w:val="false"/>
        </w:trPr>
        <w:tc>
          <w:tcPr>
            <w:tcW w:type="dxa" w:w="2340"/>
            <w:shd w:fill="F4F7FB" w:color="auto" w:val="clear"/>
          </w:tcPr>
          <w:p>
            <w:pPr>
              <w:spacing w:after="40" w:before="40"/>
            </w:pPr>
            <w:r>
              <w:rPr>
                <w:b w:val="false"/>
                <w:bCs w:val="false"/>
                <w:color w:val="1C2333"/>
                <w:sz w:val="17"/>
                <w:szCs w:val="17"/>
              </w:rPr>
              <w:t xml:space="preserve">Digital Operations / GxP</w:t>
            </w:r>
          </w:p>
        </w:tc>
        <w:tc>
          <w:tcPr>
            <w:tcW w:type="dxa" w:w="2340"/>
            <w:shd w:fill="F4F7FB" w:color="auto" w:val="clear"/>
          </w:tcPr>
          <w:p>
            <w:pPr>
              <w:spacing w:after="40" w:before="40"/>
            </w:pPr>
            <w:r>
              <w:rPr>
                <w:b w:val="false"/>
                <w:bCs w:val="false"/>
                <w:color w:val="1C2333"/>
                <w:sz w:val="17"/>
                <w:szCs w:val="17"/>
              </w:rPr>
              <w:t xml:space="preserve">Paper batch records; manual deviation management</w:t>
            </w:r>
          </w:p>
        </w:tc>
        <w:tc>
          <w:tcPr>
            <w:tcW w:type="dxa" w:w="2340"/>
            <w:shd w:fill="F4F7FB" w:color="auto" w:val="clear"/>
          </w:tcPr>
          <w:p>
            <w:pPr>
              <w:spacing w:after="40" w:before="40"/>
            </w:pPr>
            <w:r>
              <w:rPr>
                <w:b w:val="false"/>
                <w:bCs w:val="false"/>
                <w:color w:val="1C2333"/>
                <w:sz w:val="17"/>
                <w:szCs w:val="17"/>
              </w:rPr>
              <w:t xml:space="preserve">Electronic QMS; validated systems for core GxP processes</w:t>
            </w:r>
          </w:p>
        </w:tc>
        <w:tc>
          <w:tcPr>
            <w:tcW w:type="dxa" w:w="2340"/>
            <w:shd w:fill="F4F7FB" w:color="auto" w:val="clear"/>
          </w:tcPr>
          <w:p>
            <w:pPr>
              <w:spacing w:after="40" w:before="40"/>
            </w:pPr>
            <w:r>
              <w:rPr>
                <w:b w:val="false"/>
                <w:bCs w:val="false"/>
                <w:color w:val="1C2333"/>
                <w:sz w:val="17"/>
                <w:szCs w:val="17"/>
              </w:rPr>
              <w:t xml:space="preserve">Digital twin of manufacturing; real-time release testing</w:t>
            </w:r>
          </w:p>
        </w:tc>
      </w:tr>
      <w:tr>
        <w:trPr>
          <w:tblHeader w:val="false"/>
        </w:trPr>
        <w:tc>
          <w:tcPr>
            <w:tcW w:type="dxa" w:w="2340"/>
            <w:shd w:fill="FFFFFF" w:color="auto" w:val="clear"/>
          </w:tcPr>
          <w:p>
            <w:pPr>
              <w:spacing w:after="40" w:before="40"/>
            </w:pPr>
            <w:r>
              <w:rPr>
                <w:b w:val="false"/>
                <w:bCs w:val="false"/>
                <w:color w:val="1C2333"/>
                <w:sz w:val="17"/>
                <w:szCs w:val="17"/>
              </w:rPr>
              <w:t xml:space="preserve">Patient &amp; Customer Centricity</w:t>
            </w:r>
          </w:p>
        </w:tc>
        <w:tc>
          <w:tcPr>
            <w:tcW w:type="dxa" w:w="2340"/>
            <w:shd w:fill="FFFFFF" w:color="auto" w:val="clear"/>
          </w:tcPr>
          <w:p>
            <w:pPr>
              <w:spacing w:after="40" w:before="40"/>
            </w:pPr>
            <w:r>
              <w:rPr>
                <w:b w:val="false"/>
                <w:bCs w:val="false"/>
                <w:color w:val="1C2333"/>
                <w:sz w:val="17"/>
                <w:szCs w:val="17"/>
              </w:rPr>
              <w:t xml:space="preserve">Rep-only engagement; no digital channels</w:t>
            </w:r>
          </w:p>
        </w:tc>
        <w:tc>
          <w:tcPr>
            <w:tcW w:type="dxa" w:w="2340"/>
            <w:shd w:fill="FFFFFF" w:color="auto" w:val="clear"/>
          </w:tcPr>
          <w:p>
            <w:pPr>
              <w:spacing w:after="40" w:before="40"/>
            </w:pPr>
            <w:r>
              <w:rPr>
                <w:b w:val="false"/>
                <w:bCs w:val="false"/>
                <w:color w:val="1C2333"/>
                <w:sz w:val="17"/>
                <w:szCs w:val="17"/>
              </w:rPr>
              <w:t xml:space="preserve">Omnichannel platform; patient support apps deployed</w:t>
            </w:r>
          </w:p>
        </w:tc>
        <w:tc>
          <w:tcPr>
            <w:tcW w:type="dxa" w:w="2340"/>
            <w:shd w:fill="FFFFFF" w:color="auto" w:val="clear"/>
          </w:tcPr>
          <w:p>
            <w:pPr>
              <w:spacing w:after="40" w:before="40"/>
            </w:pPr>
            <w:r>
              <w:rPr>
                <w:b w:val="false"/>
                <w:bCs w:val="false"/>
                <w:color w:val="1C2333"/>
                <w:sz w:val="17"/>
                <w:szCs w:val="17"/>
              </w:rPr>
              <w:t xml:space="preserve">AI-driven personalized engagement; digital biomarker integration</w:t>
            </w:r>
          </w:p>
        </w:tc>
      </w:tr>
      <w:tr>
        <w:trPr>
          <w:tblHeader w:val="false"/>
        </w:trPr>
        <w:tc>
          <w:tcPr>
            <w:tcW w:type="dxa" w:w="2340"/>
            <w:shd w:fill="F4F7FB" w:color="auto" w:val="clear"/>
          </w:tcPr>
          <w:p>
            <w:pPr>
              <w:spacing w:after="40" w:before="40"/>
            </w:pPr>
            <w:r>
              <w:rPr>
                <w:b w:val="false"/>
                <w:bCs w:val="false"/>
                <w:color w:val="1C2333"/>
                <w:sz w:val="17"/>
                <w:szCs w:val="17"/>
              </w:rPr>
              <w:t xml:space="preserve">Regulatory Digital Readiness</w:t>
            </w:r>
          </w:p>
        </w:tc>
        <w:tc>
          <w:tcPr>
            <w:tcW w:type="dxa" w:w="2340"/>
            <w:shd w:fill="F4F7FB" w:color="auto" w:val="clear"/>
          </w:tcPr>
          <w:p>
            <w:pPr>
              <w:spacing w:after="40" w:before="40"/>
            </w:pPr>
            <w:r>
              <w:rPr>
                <w:b w:val="false"/>
                <w:bCs w:val="false"/>
                <w:color w:val="1C2333"/>
                <w:sz w:val="17"/>
                <w:szCs w:val="17"/>
              </w:rPr>
              <w:t xml:space="preserve">Paper submissions; no real-world data program</w:t>
            </w:r>
          </w:p>
        </w:tc>
        <w:tc>
          <w:tcPr>
            <w:tcW w:type="dxa" w:w="2340"/>
            <w:shd w:fill="F4F7FB" w:color="auto" w:val="clear"/>
          </w:tcPr>
          <w:p>
            <w:pPr>
              <w:spacing w:after="40" w:before="40"/>
            </w:pPr>
            <w:r>
              <w:rPr>
                <w:b w:val="false"/>
                <w:bCs w:val="false"/>
                <w:color w:val="1C2333"/>
                <w:sz w:val="17"/>
                <w:szCs w:val="17"/>
              </w:rPr>
              <w:t xml:space="preserve">eCTD submissions; RWE strategy in development</w:t>
            </w:r>
          </w:p>
        </w:tc>
        <w:tc>
          <w:tcPr>
            <w:tcW w:type="dxa" w:w="2340"/>
            <w:shd w:fill="F4F7FB" w:color="auto" w:val="clear"/>
          </w:tcPr>
          <w:p>
            <w:pPr>
              <w:spacing w:after="40" w:before="40"/>
            </w:pPr>
            <w:r>
              <w:rPr>
                <w:b w:val="false"/>
                <w:bCs w:val="false"/>
                <w:color w:val="1C2333"/>
                <w:sz w:val="17"/>
                <w:szCs w:val="17"/>
              </w:rPr>
              <w:t xml:space="preserve">Real-world data driving label expansions; regulatory sandbox participation</w:t>
            </w:r>
          </w:p>
        </w:tc>
      </w:tr>
      <w:tr>
        <w:trPr>
          <w:tblHeader w:val="false"/>
        </w:trPr>
        <w:tc>
          <w:tcPr>
            <w:tcW w:type="dxa" w:w="2340"/>
            <w:shd w:fill="FFFFFF" w:color="auto" w:val="clear"/>
          </w:tcPr>
          <w:p>
            <w:pPr>
              <w:spacing w:after="40" w:before="40"/>
            </w:pPr>
            <w:r>
              <w:rPr>
                <w:b w:val="false"/>
                <w:bCs w:val="false"/>
                <w:color w:val="1C2333"/>
                <w:sz w:val="17"/>
                <w:szCs w:val="17"/>
              </w:rPr>
              <w:t xml:space="preserve">Workforce &amp; Culture</w:t>
            </w:r>
          </w:p>
        </w:tc>
        <w:tc>
          <w:tcPr>
            <w:tcW w:type="dxa" w:w="2340"/>
            <w:shd w:fill="FFFFFF" w:color="auto" w:val="clear"/>
          </w:tcPr>
          <w:p>
            <w:pPr>
              <w:spacing w:after="40" w:before="40"/>
            </w:pPr>
            <w:r>
              <w:rPr>
                <w:b w:val="false"/>
                <w:bCs w:val="false"/>
                <w:color w:val="1C2333"/>
                <w:sz w:val="17"/>
                <w:szCs w:val="17"/>
              </w:rPr>
              <w:t xml:space="preserve">No digital literacy programs; IT as support function</w:t>
            </w:r>
          </w:p>
        </w:tc>
        <w:tc>
          <w:tcPr>
            <w:tcW w:type="dxa" w:w="2340"/>
            <w:shd w:fill="FFFFFF" w:color="auto" w:val="clear"/>
          </w:tcPr>
          <w:p>
            <w:pPr>
              <w:spacing w:after="40" w:before="40"/>
            </w:pPr>
            <w:r>
              <w:rPr>
                <w:b w:val="false"/>
                <w:bCs w:val="false"/>
                <w:color w:val="1C2333"/>
                <w:sz w:val="17"/>
                <w:szCs w:val="17"/>
              </w:rPr>
              <w:t xml:space="preserve">Digital academy launched; data literacy KPIs in place</w:t>
            </w:r>
          </w:p>
        </w:tc>
        <w:tc>
          <w:tcPr>
            <w:tcW w:type="dxa" w:w="2340"/>
            <w:shd w:fill="FFFFFF" w:color="auto" w:val="clear"/>
          </w:tcPr>
          <w:p>
            <w:pPr>
              <w:spacing w:after="40" w:before="40"/>
            </w:pPr>
            <w:r>
              <w:rPr>
                <w:b w:val="false"/>
                <w:bCs w:val="false"/>
                <w:color w:val="1C2333"/>
                <w:sz w:val="17"/>
                <w:szCs w:val="17"/>
              </w:rPr>
              <w:t xml:space="preserve">AI-augmented decision making normalized; digital-native talent majority</w:t>
            </w:r>
          </w:p>
        </w:tc>
      </w:tr>
      <w:tr>
        <w:trPr>
          <w:tblHeader w:val="false"/>
        </w:trPr>
        <w:tc>
          <w:tcPr>
            <w:tcW w:type="dxa" w:w="2340"/>
            <w:shd w:fill="F4F7FB" w:color="auto" w:val="clear"/>
          </w:tcPr>
          <w:p>
            <w:pPr>
              <w:spacing w:after="40" w:before="40"/>
            </w:pPr>
            <w:r>
              <w:rPr>
                <w:b w:val="false"/>
                <w:bCs w:val="false"/>
                <w:color w:val="1C2333"/>
                <w:sz w:val="17"/>
                <w:szCs w:val="17"/>
              </w:rPr>
              <w:t xml:space="preserve">Digital Ecosystem</w:t>
            </w:r>
          </w:p>
        </w:tc>
        <w:tc>
          <w:tcPr>
            <w:tcW w:type="dxa" w:w="2340"/>
            <w:shd w:fill="F4F7FB" w:color="auto" w:val="clear"/>
          </w:tcPr>
          <w:p>
            <w:pPr>
              <w:spacing w:after="40" w:before="40"/>
            </w:pPr>
            <w:r>
              <w:rPr>
                <w:b w:val="false"/>
                <w:bCs w:val="false"/>
                <w:color w:val="1C2333"/>
                <w:sz w:val="17"/>
                <w:szCs w:val="17"/>
              </w:rPr>
              <w:t xml:space="preserve">Vendor-managed individual tools; no partnerships</w:t>
            </w:r>
          </w:p>
        </w:tc>
        <w:tc>
          <w:tcPr>
            <w:tcW w:type="dxa" w:w="2340"/>
            <w:shd w:fill="F4F7FB" w:color="auto" w:val="clear"/>
          </w:tcPr>
          <w:p>
            <w:pPr>
              <w:spacing w:after="40" w:before="40"/>
            </w:pPr>
            <w:r>
              <w:rPr>
                <w:b w:val="false"/>
                <w:bCs w:val="false"/>
                <w:color w:val="1C2333"/>
                <w:sz w:val="17"/>
                <w:szCs w:val="17"/>
              </w:rPr>
              <w:t xml:space="preserve">2–3 strategic digital health partnerships; cloud hyperscaler contract</w:t>
            </w:r>
          </w:p>
        </w:tc>
        <w:tc>
          <w:tcPr>
            <w:tcW w:type="dxa" w:w="2340"/>
            <w:shd w:fill="F4F7FB" w:color="auto" w:val="clear"/>
          </w:tcPr>
          <w:p>
            <w:pPr>
              <w:spacing w:after="40" w:before="40"/>
            </w:pPr>
            <w:r>
              <w:rPr>
                <w:b w:val="false"/>
                <w:bCs w:val="false"/>
                <w:color w:val="1C2333"/>
                <w:sz w:val="17"/>
                <w:szCs w:val="17"/>
              </w:rPr>
              <w:t xml:space="preserve">Active participant in industry data consortia; regulatory co-creation</w:t>
            </w:r>
          </w:p>
        </w:tc>
      </w:tr>
    </w:tbl>
    <w:p>
      <w:pPr>
        <w:spacing w:after="160"/>
      </w:pPr>
    </w:p>
    <w:p>
      <w:pPr>
        <w:pBdr>
          <w:left w:val="single" w:color="C9A84C" w:sz="18" w:space="8"/>
        </w:pBdr>
        <w:shd w:fill="FBF6E9" w:color="auto" w:val="clear"/>
        <w:spacing w:after="120"/>
        <w:ind w:left="240"/>
      </w:pPr>
      <w:r>
        <w:rPr>
          <w:i/>
          <w:iCs/>
          <w:color w:val="1C2333"/>
          <w:sz w:val="21"/>
          <w:szCs w:val="21"/>
        </w:rPr>
        <w:t xml:space="preserve">🌍 REGIONAL SPOTLIGHT: MATURITY VARIATIONS ACROSS GEOGRAPHIES</w:t>
      </w:r>
    </w:p>
    <w:p>
      <w:pPr>
        <w:pBdr>
          <w:left w:val="single" w:color="C9A84C" w:sz="18" w:space="8"/>
        </w:pBdr>
        <w:shd w:fill="FBF6E9" w:color="auto" w:val="clear"/>
        <w:spacing w:after="120"/>
        <w:ind w:left="240"/>
      </w:pPr>
      <w:r>
        <w:rPr>
          <w:i/>
          <w:iCs/>
          <w:color w:val="1C2333"/>
          <w:sz w:val="21"/>
          <w:szCs w:val="21"/>
        </w:rPr>
        <w:t xml:space="preserve">Applying the PDMF across geographies reveals distinct regional patterns that transformation leaders must account for in their planning. In the United States, maturity is highest in commercial and clinical dimensions, with large multinationals scoring Level 3–4 in analytics and patient centricity but often remaining at Level 2 in manufacturing digital operations — reflecting decades of underinvestment in factory-floor digitalization relative to front-office transformation. In the European Union, regulatory digital readiness is a relative strength, driven by the EMA's progressive adoption of digital evidence standards and the GDPR-driven investment in data governance. However, workforce digital culture and ecosystem partnership maturity are often lower than in the US, reflecting more conservative organizational cultures and more fragmented digital health startup ecosystems outside the UK and Germany.</w:t>
      </w:r>
    </w:p>
    <w:p>
      <w:pPr>
        <w:spacing w:after="120"/>
      </w:pPr>
      <w:r>
        <w:rPr>
          <w:i w:val="false"/>
          <w:iCs w:val="false"/>
          <w:color w:val="1C2333"/>
          <w:sz w:val="21"/>
          <w:szCs w:val="21"/>
        </w:rPr>
        <w:t xml:space="preserve">In India, the most striking pattern is the coexistence of exceptional software engineering talent with legacy manufacturing and quality infrastructure. Indian pharma companies frequently score Level 4–5 in data engineering capability (thanks to the deep IT talent pool) while scoring Level 1–2 in validated digital operations (because manufacturing sites have not yet received the investment to implement electronic batch records and PAT). Bridging this gap — leveraging India's IT capability to modernize its manufacturing digital operations — is one of the most significant near-term digital transformation opportunities in global pharma.</w:t>
      </w:r>
    </w:p>
    <w:p>
      <w:pPr>
        <w:pStyle w:val="Heading2"/>
        <w:spacing w:after="120" w:before="240"/>
      </w:pPr>
      <w:r>
        <w:rPr>
          <w:b/>
          <w:bCs/>
          <w:color w:val="0D2B55"/>
        </w:rPr>
        <w:t xml:space="preserve">2.7 Digital Maturity Assessment Toolkit — Practical Implementation</w:t>
      </w:r>
    </w:p>
    <w:p>
      <w:pPr>
        <w:spacing w:after="120"/>
      </w:pPr>
      <w:r>
        <w:rPr>
          <w:i w:val="false"/>
          <w:iCs w:val="false"/>
          <w:color w:val="1C2333"/>
          <w:sz w:val="21"/>
          <w:szCs w:val="21"/>
        </w:rPr>
        <w:t xml:space="preserve">Conducting a rigorous PDMF assessment requires structured methodology rather than informal judgment. The following toolkit provides the diagnostic instruments that assessment teams can use to generate a defensible, evidence-based maturity score.</w:t>
      </w:r>
    </w:p>
    <w:p>
      <w:pPr>
        <w:spacing w:after="120"/>
      </w:pPr>
      <w:r>
        <w:rPr>
          <w:i w:val="false"/>
          <w:iCs w:val="false"/>
          <w:color w:val="1C2333"/>
          <w:sz w:val="21"/>
          <w:szCs w:val="21"/>
        </w:rPr>
        <w:t xml:space="preserve">Structured interview guide. Each of the seven PDMF dimensions should be assessed through structured interviews with 3–5 key informants who have direct operational knowledge of the dimension in question. For the Data Infrastructure dimension, appropriate informants include the Chief Data Officer (or equivalent), the enterprise data architect, the head of data engineering, and the business intelligence lead. For the Digital Operations/GxP dimension, appropriate informants include the Head of Quality, the Head of Manufacturing Technology, and the IT lead responsible for validated systems.</w:t>
      </w:r>
    </w:p>
    <w:p>
      <w:pPr>
        <w:spacing w:after="120"/>
      </w:pPr>
      <w:r>
        <w:rPr>
          <w:i w:val="false"/>
          <w:iCs w:val="false"/>
          <w:color w:val="1C2333"/>
          <w:sz w:val="21"/>
          <w:szCs w:val="21"/>
        </w:rPr>
        <w:t xml:space="preserve">Interview questions should probe for concrete evidence rather than aspirational descriptions. "Do you have a unified enterprise data platform?" is a weak question because the answer is almost always yes regardless of reality. "Can a scientist search for all experimental data on a specific biological target across all internal programs in a single query, and receive results in under five minutes?" is a strong question because it tests a specific, verifiable operational capability.</w:t>
      </w:r>
    </w:p>
    <w:p>
      <w:pPr>
        <w:spacing w:after="120"/>
      </w:pPr>
      <w:r>
        <w:rPr>
          <w:i w:val="false"/>
          <w:iCs w:val="false"/>
          <w:color w:val="1C2333"/>
          <w:sz w:val="21"/>
          <w:szCs w:val="21"/>
        </w:rPr>
        <w:t xml:space="preserve">System inventory and evidence review. Beyond interviews, the assessment team should review a system inventory — a documented list of all digital systems in use across the enterprise, with their integration status, data standards compliance, validation status, and operational health. Gaps in the system inventory (systems that exist but are not documented) and fragmentation patterns (the same function being served by multiple incompatible systems in different geographies or business units) are themselves maturity indicators.</w:t>
      </w:r>
    </w:p>
    <w:p>
      <w:pPr>
        <w:spacing w:after="120"/>
      </w:pPr>
      <w:r>
        <w:rPr>
          <w:i w:val="false"/>
          <w:iCs w:val="false"/>
          <w:color w:val="1C2333"/>
          <w:sz w:val="21"/>
          <w:szCs w:val="21"/>
        </w:rPr>
        <w:t xml:space="preserve">Benchmark calibration. To ensure that maturity scores are calibrated against industry reality rather than internal aspiration, assessment teams should use published benchmarking data. The Deloitte Digital Pharma Index, the BCG Digital Acceleration Index for Pharma, and the KPMG Connected Healthcare Survey all provide benchmark maturity data for the pharmaceutical sector. Internal assessment scores should be explicitly compared to these external benchmarks to prevent score inflation and to identify where the organisation is genuinely ahead of or behind the industry.</w:t>
      </w:r>
    </w:p>
    <w:p>
      <w:pPr>
        <w:pStyle w:val="Heading2"/>
        <w:spacing w:after="120" w:before="240"/>
      </w:pPr>
      <w:r>
        <w:rPr>
          <w:b/>
          <w:bCs/>
          <w:color w:val="0D2B55"/>
        </w:rPr>
        <w:t xml:space="preserve">2.8 Digital Maturity and Financial Performance: The Evidence</w:t>
      </w:r>
    </w:p>
    <w:p>
      <w:pPr>
        <w:spacing w:after="120"/>
      </w:pPr>
      <w:r>
        <w:rPr>
          <w:i w:val="false"/>
          <w:iCs w:val="false"/>
          <w:color w:val="1C2333"/>
          <w:sz w:val="21"/>
          <w:szCs w:val="21"/>
        </w:rPr>
        <w:t xml:space="preserve">A growing body of evidence links pharmaceutical digital maturity to financial performance, providing the business case data that boards and CFOs require for sustained digital investment.</w:t>
      </w:r>
    </w:p>
    <w:p>
      <w:pPr>
        <w:spacing w:after="120"/>
      </w:pPr>
      <w:r>
        <w:rPr>
          <w:i w:val="false"/>
          <w:iCs w:val="false"/>
          <w:color w:val="1C2333"/>
          <w:sz w:val="21"/>
          <w:szCs w:val="21"/>
        </w:rPr>
        <w:t xml:space="preserve">R&amp;D productivity. Companies in the top quartile of digital maturity for R&amp;D — with integrated data platforms, AI-assisted drug discovery tools, and digital clinical development capabilities — demonstrate statistically significantly higher drug development productivity as measured by the number of new molecular entities (NMEs) approved per billion dollars of R&amp;D investment. While the causal direction of this relationship is partially confounded (larger, more successful companies have more resources to invest in digital), longitudinal analysis of companies that have made specific digital investments shows improvement in R&amp;D productivity metrics within 3–5 years of major platform deployments.</w:t>
      </w:r>
    </w:p>
    <w:p>
      <w:pPr>
        <w:spacing w:after="120"/>
      </w:pPr>
      <w:r>
        <w:rPr>
          <w:i w:val="false"/>
          <w:iCs w:val="false"/>
          <w:color w:val="1C2333"/>
          <w:sz w:val="21"/>
          <w:szCs w:val="21"/>
        </w:rPr>
        <w:t xml:space="preserve">Manufacturing efficiency. The McKinsey Global Institute's research on advanced manufacturing — including pharmaceutical manufacturing — consistently shows that companies deploying Industry 4.0 digital tools demonstrate 10–15% lower manufacturing cost per unit, 20–30% improvement in overall equipment effectiveness, and 15–25% reduction in quality-related costs compared to conventional manufacturers. These improvements translate directly into margin expansion — a particularly important lever for generics manufacturers competing on cost, and a meaningful operational efficiency gain for branded manufacturers whose manufacturing margins are already strong.</w:t>
      </w:r>
    </w:p>
    <w:p>
      <w:pPr>
        <w:spacing w:after="120"/>
      </w:pPr>
      <w:r>
        <w:rPr>
          <w:i w:val="false"/>
          <w:iCs w:val="false"/>
          <w:color w:val="1C2333"/>
          <w:sz w:val="21"/>
          <w:szCs w:val="21"/>
        </w:rPr>
        <w:t xml:space="preserve">Commercial effectiveness. Digital maturity in commercial operations correlates with commercial performance across multiple metrics. Companies with AI-powered commercial analytics platforms demonstrate higher market share in competitive therapeutic areas, higher sales force productivity, and faster achievement of peak market penetration for new product launches compared to companies using conventional commercial approaches. The Deloitte Insights data shows that pharmaceutical companies in the top digital maturity quartile achieve 1.5–2× higher revenue growth in the 3 years following a major digital investment compared to bottom-quartile peers.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2.1: Pharma Digital Maturity Framework — Five Levels with Industry Distribution</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2.2: PDMF Seven-Dimension Maturity Radar — Industry Average vs. Digital Leader</w:t>
      </w:r>
    </w:p>
    <w:p>
      <w:r>
        <w:br w:type="page"/>
      </w:r>
    </w:p>
    <w:p>
      <w:pPr>
        <w:pStyle w:val="Heading1"/>
        <w:spacing w:after="120" w:before="240"/>
      </w:pPr>
      <w:r>
        <w:rPr>
          <w:b/>
          <w:bCs/>
          <w:color w:val="0D2B55"/>
        </w:rPr>
        <w:t xml:space="preserve">Chapter 3: Transformation Governance &amp; Operating Model</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Digital transformations fail more often because of governance deficits than technology failures. This chapter establishes the governance architecture — structures, roles, decision rights, and operating rhythms — that pharma organizations need to drive, sustain, and scale digital transformation. It addresses the unique governance challenges of the pharmaceutical context: the need to balance innovation speed with GxP compliance, to align digital investment with portfolio strategy, and to build enterprise digital capability without replicating the organizational silos that digital transformation is meant to dissolve. A robust governance model is not bureaucracy; it is the connective tissue that turns individual digital initiatives into enterprise transformation.</w:t>
      </w:r>
    </w:p>
    <w:p>
      <w:pPr>
        <w:pStyle w:val="Heading2"/>
        <w:spacing w:after="120" w:before="240"/>
      </w:pPr>
      <w:r>
        <w:rPr>
          <w:b/>
          <w:bCs/>
          <w:color w:val="0D2B55"/>
        </w:rPr>
        <w:t xml:space="preserve">3.1 The Governance Gap: Why Digital Transformations Stall</w:t>
      </w:r>
    </w:p>
    <w:p>
      <w:pPr>
        <w:spacing w:after="120"/>
      </w:pPr>
      <w:r>
        <w:rPr>
          <w:i w:val="false"/>
          <w:iCs w:val="false"/>
          <w:color w:val="1C2333"/>
          <w:sz w:val="21"/>
          <w:szCs w:val="21"/>
        </w:rPr>
        <w:t xml:space="preserve">Industry research consistently shows that the primary cause of digital transformation stall is not technology selection, not implementation complexity, and not cost overrun — it is governance failure. The pattern is recognizable: a pharma company announces an ambitious digital strategy, deploys a significant initial investment, launches a wave of pilots, and then watches as those pilots succeed individually but fail to scale. The pilots live in PowerPoint presentations long after their value has been demonstrated. The data team and the business team argue about data ownership. The IT function and the digital function fight over architecture standards. The Chief Digital Officer has accountability without authority. The transformation loses momentum, leadership attention moves on, and within eighteen months the organization is back to asking why digital is not delivering results.</w:t>
      </w:r>
    </w:p>
    <w:p>
      <w:pPr>
        <w:spacing w:after="120"/>
      </w:pPr>
      <w:r>
        <w:rPr>
          <w:i w:val="false"/>
          <w:iCs w:val="false"/>
          <w:color w:val="1C2333"/>
          <w:sz w:val="21"/>
          <w:szCs w:val="21"/>
        </w:rPr>
        <w:t xml:space="preserve">The root cause of this pattern is almost always the same: the organization has launched a digital transformation without designing a governance model that clearly defines who decides what, who owns what, who funds what, and how the entire enterprise aligns around a shared digital agenda. Governance design is not a secondary concern — it is the primary enabler of everything that follows.</w:t>
      </w:r>
    </w:p>
    <w:p>
      <w:pPr>
        <w:pStyle w:val="Heading2"/>
        <w:spacing w:after="120" w:before="240"/>
      </w:pPr>
      <w:r>
        <w:rPr>
          <w:b/>
          <w:bCs/>
          <w:color w:val="0D2B55"/>
        </w:rPr>
        <w:t xml:space="preserve">3.2 The Pharma Digital Governance Architecture</w:t>
      </w:r>
    </w:p>
    <w:p>
      <w:pPr>
        <w:spacing w:after="120"/>
      </w:pPr>
      <w:r>
        <w:rPr>
          <w:i w:val="false"/>
          <w:iCs w:val="false"/>
          <w:color w:val="1C2333"/>
          <w:sz w:val="21"/>
          <w:szCs w:val="21"/>
        </w:rPr>
        <w:t xml:space="preserve">Effective digital governance in pharma operates across three levels: strategic, operational, and execution. These three levels must be explicitly designed, staffed, and connected to function as an integrated system rather than three separate layers of meetings.</w:t>
      </w:r>
    </w:p>
    <w:p>
      <w:pPr>
        <w:spacing w:after="120"/>
      </w:pPr>
      <w:r>
        <w:rPr>
          <w:i w:val="false"/>
          <w:iCs w:val="false"/>
          <w:color w:val="1C2333"/>
          <w:sz w:val="21"/>
          <w:szCs w:val="21"/>
        </w:rPr>
        <w:t xml:space="preserve">Strategic Level: The Digital Leadership Council</w:t>
      </w:r>
    </w:p>
    <w:p>
      <w:pPr>
        <w:spacing w:after="120"/>
      </w:pPr>
      <w:r>
        <w:rPr>
          <w:i w:val="false"/>
          <w:iCs w:val="false"/>
          <w:color w:val="1C2333"/>
          <w:sz w:val="21"/>
          <w:szCs w:val="21"/>
        </w:rPr>
        <w:t xml:space="preserve">The Digital Leadership Council (DLC) is the apex governance body for the digital transformation program. It is chaired by the CEO or COO and includes the Chief Digital Officer (or equivalent), the Chief Information Officer, the Chief Scientific Officer, the Chief Medical Officer, the Chief Manufacturing Officer, the Chief Commercial Officer, the Chief Financial Officer, and the Chief People Officer. The composition reflects a critical design principle: digital governance must be owned by business leaders, not delegated to technology functions.</w:t>
      </w:r>
    </w:p>
    <w:p>
      <w:pPr>
        <w:spacing w:after="120"/>
      </w:pPr>
      <w:r>
        <w:rPr>
          <w:i w:val="false"/>
          <w:iCs w:val="false"/>
          <w:color w:val="1C2333"/>
          <w:sz w:val="21"/>
          <w:szCs w:val="21"/>
        </w:rPr>
        <w:t xml:space="preserve">The DLC meets monthly and fulfills four functions. It approves and periodically revalidates the enterprise digital strategy. It allocates digital investment across the portfolio based on business value and strategic priority. It monitors transformation progress against a dashboard of leading and lagging indicators. And it resolves cross-functional conflicts and escalated decisions that cannot be resolved at the operational level.</w:t>
      </w:r>
    </w:p>
    <w:p>
      <w:pPr>
        <w:spacing w:after="120"/>
      </w:pPr>
      <w:r>
        <w:rPr>
          <w:i w:val="false"/>
          <w:iCs w:val="false"/>
          <w:color w:val="1C2333"/>
          <w:sz w:val="21"/>
          <w:szCs w:val="21"/>
        </w:rPr>
        <w:t xml:space="preserve">The DLC should not manage the day-to-day transformation program; that is the function of the operational level. What it must do is provide visible, consistent executive sponsorship — without which no transformation program will sustain organizational energy through the inevitable setbacks of a multi-year journey.</w:t>
      </w:r>
    </w:p>
    <w:p>
      <w:pPr>
        <w:spacing w:after="120"/>
      </w:pPr>
      <w:r>
        <w:rPr>
          <w:i w:val="false"/>
          <w:iCs w:val="false"/>
          <w:color w:val="1C2333"/>
          <w:sz w:val="21"/>
          <w:szCs w:val="21"/>
        </w:rPr>
        <w:t xml:space="preserve">Operational Level: The Digital Transformation Office</w:t>
      </w:r>
    </w:p>
    <w:p>
      <w:pPr>
        <w:spacing w:after="120"/>
      </w:pPr>
      <w:r>
        <w:rPr>
          <w:i w:val="false"/>
          <w:iCs w:val="false"/>
          <w:color w:val="1C2333"/>
          <w:sz w:val="21"/>
          <w:szCs w:val="21"/>
        </w:rPr>
        <w:t xml:space="preserve">The Digital Transformation Office (DTO) is the program management and capability-building hub of the transformation. It is led by the Chief Digital Officer (or Chief Data and Digital Officer, or equivalent) and staffed by a team of transformation leads, digital architects, data officers, change management specialists, and business relationship managers. The DTO is typically a relatively small team — 15 to 40 people depending on company size — but it operates as an enterprise function that works across all business units and functions, not as a silo.</w:t>
      </w:r>
    </w:p>
    <w:p>
      <w:pPr>
        <w:spacing w:after="120"/>
      </w:pPr>
      <w:r>
        <w:rPr>
          <w:i w:val="false"/>
          <w:iCs w:val="false"/>
          <w:color w:val="1C2333"/>
          <w:sz w:val="21"/>
          <w:szCs w:val="21"/>
        </w:rPr>
        <w:t xml:space="preserve">The DTO's core responsibilities are strategic portfolio management (maintaining the pipeline of digital initiatives, ensuring they are sequenced and resourced appropriately), architecture governance (ensuring that individual digital investments conform to the enterprise technology architecture and data standards), talent and capability development (running the digital academy, managing digital talent pipelines, and building the internal community of practice), and reporting and transparency (maintaining the transformation dashboard that the DLC uses to track progress).</w:t>
      </w:r>
    </w:p>
    <w:p>
      <w:pPr>
        <w:spacing w:after="120"/>
      </w:pPr>
      <w:r>
        <w:rPr>
          <w:i w:val="false"/>
          <w:iCs w:val="false"/>
          <w:color w:val="1C2333"/>
          <w:sz w:val="21"/>
          <w:szCs w:val="21"/>
        </w:rPr>
        <w:t xml:space="preserve">The DTO does not build everything. It establishes standards, selects platforms, and builds reusable components — then enables business-embedded digital teams to use them. This distinction between DTO-led platform capability and business-led solution delivery is the key to avoiding the two failure modes that commonly afflict transformation programs: the centralized model (where IT builds everything slowly and without business context) and the decentralized model (where every business unit builds its own solution and the enterprise ends up with 47 incompatible data platforms).</w:t>
      </w:r>
    </w:p>
    <w:p>
      <w:pPr>
        <w:spacing w:after="120"/>
      </w:pPr>
      <w:r>
        <w:rPr>
          <w:i w:val="false"/>
          <w:iCs w:val="false"/>
          <w:color w:val="1C2333"/>
          <w:sz w:val="21"/>
          <w:szCs w:val="21"/>
        </w:rPr>
        <w:t xml:space="preserve">Execution Level: Digital Embedded Teams</w:t>
      </w:r>
    </w:p>
    <w:p>
      <w:pPr>
        <w:spacing w:after="120"/>
      </w:pPr>
      <w:r>
        <w:rPr>
          <w:i w:val="false"/>
          <w:iCs w:val="false"/>
          <w:color w:val="1C2333"/>
          <w:sz w:val="21"/>
          <w:szCs w:val="21"/>
        </w:rPr>
        <w:t xml:space="preserve">In each major function — R&amp;D, clinical operations, manufacturing, commercial, regulatory — a Digital Lead (or Digital Business Partner) sits embedded in the business leadership team. This person is not an IT generalist; they are a domain expert in the function's operations who also has digital and data fluency. Their role is to identify, prioritize, and sponsor digital use cases within their function; to ensure that digital investments in their domain align with the DTO's architecture standards; and to serve as the bridge between business needs and digital solutions.</w:t>
      </w:r>
    </w:p>
    <w:p>
      <w:pPr>
        <w:spacing w:after="120"/>
      </w:pPr>
      <w:r>
        <w:rPr>
          <w:i w:val="false"/>
          <w:iCs w:val="false"/>
          <w:color w:val="1C2333"/>
          <w:sz w:val="21"/>
          <w:szCs w:val="21"/>
        </w:rPr>
        <w:t xml:space="preserve">The embedded Digital Leads form a cross-functional Digital Council at the operational level, convening biweekly to share progress, resolve integration challenges, and coordinate initiatives that cross functional boundaries. This council is the primary mechanism for preventing the re-siloing of digital capability — ensuring that a manufacturing AI initiative and a clinical data platform initiative are being built on compatible data models and integration standards.</w:t>
      </w:r>
    </w:p>
    <w:p>
      <w:pPr>
        <w:pStyle w:val="Heading2"/>
        <w:spacing w:after="120" w:before="240"/>
      </w:pPr>
      <w:r>
        <w:rPr>
          <w:b/>
          <w:bCs/>
          <w:color w:val="0D2B55"/>
        </w:rPr>
        <w:t xml:space="preserve">3.3 Decision Rights Architecture</w:t>
      </w:r>
    </w:p>
    <w:p>
      <w:pPr>
        <w:spacing w:after="120"/>
      </w:pPr>
      <w:r>
        <w:rPr>
          <w:i w:val="false"/>
          <w:iCs w:val="false"/>
          <w:color w:val="1C2333"/>
          <w:sz w:val="21"/>
          <w:szCs w:val="21"/>
        </w:rPr>
        <w:t xml:space="preserve">One of the most common sources of governance friction is ambiguity about decision rights — specifically, who has the right to make which decisions in the digital domain. In pharma, this ambiguity is particularly acute because digital decisions intersect with quality obligations (requiring sign-off from Quality and Regulatory Affairs), scientific strategy (requiring engagement from R&amp;D leadership), and commercial priorities (which are often the most urgent but not always the most strategically important).</w:t>
      </w:r>
    </w:p>
    <w:p>
      <w:pPr>
        <w:spacing w:after="120"/>
      </w:pPr>
      <w:r>
        <w:rPr>
          <w:i w:val="false"/>
          <w:iCs w:val="false"/>
          <w:color w:val="1C2333"/>
          <w:sz w:val="21"/>
          <w:szCs w:val="21"/>
        </w:rPr>
        <w:t xml:space="preserve">A clear decision rights architecture maps decisions against the RACI framework (Responsible, Accountable, Consulted, Informed) across four decision categories.</w:t>
      </w:r>
    </w:p>
    <w:p>
      <w:pPr>
        <w:spacing w:after="120"/>
      </w:pPr>
      <w:r>
        <w:rPr>
          <w:i w:val="false"/>
          <w:iCs w:val="false"/>
          <w:color w:val="1C2333"/>
          <w:sz w:val="21"/>
          <w:szCs w:val="21"/>
        </w:rPr>
        <w:t xml:space="preserve">Strategic decisions — enterprise digital architecture selection, major platform investments above a defined threshold, digital operating model changes, and enterprise data governance policies — are Accountable to the DLC, Responsible to the CDO/DTO, and Consulted with relevant business unit leaders.</w:t>
      </w:r>
    </w:p>
    <w:p>
      <w:pPr>
        <w:spacing w:after="120"/>
      </w:pPr>
      <w:r>
        <w:rPr>
          <w:i w:val="false"/>
          <w:iCs w:val="false"/>
          <w:color w:val="1C2333"/>
          <w:sz w:val="21"/>
          <w:szCs w:val="21"/>
        </w:rPr>
        <w:t xml:space="preserve">Investment decisions — prioritization of use cases within a function, allocation of digital resources at the program level, and build-versus-buy-versus-partner choices within the approved architecture — are Accountable to the DLC for investments above threshold, Accountable to functional leadership for investments below threshold, and Responsible to the DTO.</w:t>
      </w:r>
    </w:p>
    <w:p>
      <w:pPr>
        <w:spacing w:after="120"/>
      </w:pPr>
      <w:r>
        <w:rPr>
          <w:i w:val="false"/>
          <w:iCs w:val="false"/>
          <w:color w:val="1C2333"/>
          <w:sz w:val="21"/>
          <w:szCs w:val="21"/>
        </w:rPr>
        <w:t xml:space="preserve">Architecture and standards decisions — selection of specific technologies, data standards, integration patterns, and validation frameworks — are Accountable to the CDO/DTO and Responsible to the digital architecture team, with Quality and Regulatory Affairs Consulted for GxP-impacted decisions.</w:t>
      </w:r>
    </w:p>
    <w:p>
      <w:pPr>
        <w:spacing w:after="120"/>
      </w:pPr>
      <w:r>
        <w:rPr>
          <w:i w:val="false"/>
          <w:iCs w:val="false"/>
          <w:color w:val="1C2333"/>
          <w:sz w:val="21"/>
          <w:szCs w:val="21"/>
        </w:rPr>
        <w:t xml:space="preserve">Operational decisions — day-to-day prioritization within an approved program, sprint planning, user acceptance testing decisions, and model deployment decisions — are Accountable to the embedded Digital Lead in partnership with the business owner, with the DTO Informed.</w:t>
      </w:r>
    </w:p>
    <w:p>
      <w:pPr>
        <w:pStyle w:val="Heading2"/>
        <w:spacing w:after="120" w:before="240"/>
      </w:pPr>
      <w:r>
        <w:rPr>
          <w:b/>
          <w:bCs/>
          <w:color w:val="0D2B55"/>
        </w:rPr>
        <w:t xml:space="preserve">3.4 Funding and Investment Architecture</w:t>
      </w:r>
    </w:p>
    <w:p>
      <w:pPr>
        <w:spacing w:after="120"/>
      </w:pPr>
      <w:r>
        <w:rPr>
          <w:i w:val="false"/>
          <w:iCs w:val="false"/>
          <w:color w:val="1C2333"/>
          <w:sz w:val="21"/>
          <w:szCs w:val="21"/>
        </w:rPr>
        <w:t xml:space="preserve">The question of how digital transformation is funded is not merely a finance question — it is a governance question. The funding model determines incentives, accountability, and the ability to pursue cross-functional initiatives that do not naturally belong to any single budget owner.</w:t>
      </w:r>
    </w:p>
    <w:p>
      <w:pPr>
        <w:spacing w:after="120"/>
      </w:pPr>
      <w:r>
        <w:rPr>
          <w:i w:val="false"/>
          <w:iCs w:val="false"/>
          <w:color w:val="1C2333"/>
          <w:sz w:val="21"/>
          <w:szCs w:val="21"/>
        </w:rPr>
        <w:t xml:space="preserve">Pharmaceutical companies have tried three broad funding models for digital transformation, each with distinct strengths and weaknesses.</w:t>
      </w:r>
    </w:p>
    <w:p>
      <w:pPr>
        <w:spacing w:after="120"/>
      </w:pPr>
      <w:r>
        <w:rPr>
          <w:i w:val="false"/>
          <w:iCs w:val="false"/>
          <w:color w:val="1C2333"/>
          <w:sz w:val="21"/>
          <w:szCs w:val="21"/>
        </w:rPr>
        <w:t xml:space="preserve">The centralized model funds all digital transformation through a central IT or digital budget, with business units receiving digital services as shared infrastructure. This model is excellent for driving architectural coherence and avoiding redundant investment but consistently generates the complaint that digital does not understand business needs and moves too slowly to respond to them.</w:t>
      </w:r>
    </w:p>
    <w:p>
      <w:pPr>
        <w:spacing w:after="120"/>
      </w:pPr>
      <w:r>
        <w:rPr>
          <w:i w:val="false"/>
          <w:iCs w:val="false"/>
          <w:color w:val="1C2333"/>
          <w:sz w:val="21"/>
          <w:szCs w:val="21"/>
        </w:rPr>
        <w:t xml:space="preserve">The decentralized model pushes digital investment budgets to individual business units, which fund their own digital teams and programs. This model generates high business engagement and fast local decision-making but almost always results in architectural fragmentation and duplicated investment — every commercial market building its own CRM customization, every manufacturing site acquiring different sensor platforms, and the enterprise ending up with an integration nightmare.</w:t>
      </w:r>
    </w:p>
    <w:p>
      <w:pPr>
        <w:spacing w:after="120"/>
      </w:pPr>
      <w:r>
        <w:rPr>
          <w:i w:val="false"/>
          <w:iCs w:val="false"/>
          <w:color w:val="1C2333"/>
          <w:sz w:val="21"/>
          <w:szCs w:val="21"/>
        </w:rPr>
        <w:t xml:space="preserve">The federated model combines central platform investment (funded through a central budget controlled by the CDO) with business-unit digital investment (funded through individual business budgets for use-case development on top of the central platform). This model requires discipline and negotiation to maintain but is the most effective architecture for enterprises above a certain scale. The central budget funds the data platform, the integration layer, the AI/ML infrastructure, and the enterprise standards. Business unit budgets fund the use cases, the change management, and the business-domain-specific tools.</w:t>
      </w:r>
    </w:p>
    <w:p>
      <w:pPr>
        <w:spacing w:after="120"/>
      </w:pPr>
      <w:r>
        <w:rPr>
          <w:i w:val="false"/>
          <w:iCs w:val="false"/>
          <w:color w:val="1C2333"/>
          <w:sz w:val="21"/>
          <w:szCs w:val="21"/>
        </w:rPr>
        <w:t xml:space="preserve">Most large pharma companies that have achieved Level 3+ maturity on the PDMF have adopted a federated model, though the precise balance between central and distributed investment varies significantly based on organizational structure and culture. A highly decentralized company like Johnson &amp; Johnson will run a more distributed model than a highly centralized company like Roche.</w:t>
      </w:r>
    </w:p>
    <w:p>
      <w:pPr>
        <w:pStyle w:val="Heading2"/>
        <w:spacing w:after="120" w:before="240"/>
      </w:pPr>
      <w:r>
        <w:rPr>
          <w:b/>
          <w:bCs/>
          <w:color w:val="0D2B55"/>
        </w:rPr>
        <w:t xml:space="preserve">3.5 The Digital Operating Model</w:t>
      </w:r>
    </w:p>
    <w:p>
      <w:pPr>
        <w:spacing w:after="120"/>
      </w:pPr>
      <w:r>
        <w:rPr>
          <w:i w:val="false"/>
          <w:iCs w:val="false"/>
          <w:color w:val="1C2333"/>
          <w:sz w:val="21"/>
          <w:szCs w:val="21"/>
        </w:rPr>
        <w:t xml:space="preserve">The governance structures described above are the skeleton. The digital operating model is the musculature — the ways of working, decision cycles, and delivery methodologies that bring the skeleton to life.</w:t>
      </w:r>
    </w:p>
    <w:p>
      <w:pPr>
        <w:spacing w:after="120"/>
      </w:pPr>
      <w:r>
        <w:rPr>
          <w:i w:val="false"/>
          <w:iCs w:val="false"/>
          <w:color w:val="1C2333"/>
          <w:sz w:val="21"/>
          <w:szCs w:val="21"/>
        </w:rPr>
        <w:t xml:space="preserve">Effective pharma digital operating models are characterized by four features. The first is hybrid agile delivery: digital initiatives are delivered using agile methodologies (sprint-based delivery, product ownership, iterative user testing) adapted for the pharma context, which adds validation requirements, change control processes, and regulatory documentation to the sprint workflow. The adaptation is non-trivial but well-understood — numerous pharma companies have developed validated agile frameworks that satisfy both GxP requirements and modern delivery speed expectations.</w:t>
      </w:r>
    </w:p>
    <w:p>
      <w:pPr>
        <w:spacing w:after="120"/>
      </w:pPr>
      <w:r>
        <w:rPr>
          <w:i w:val="false"/>
          <w:iCs w:val="false"/>
          <w:color w:val="1C2333"/>
          <w:sz w:val="21"/>
          <w:szCs w:val="21"/>
        </w:rPr>
        <w:t xml:space="preserve">The second is platform thinking: rather than treating each digital initiative as a standalone project, the operating model builds reusable platforms (data platforms, AI/ML infrastructure, integration platforms, digital engagement platforms) on which multiple use cases can be rapidly developed and deployed. This shift from project thinking to product and platform thinking is one of the most culturally significant transformations the operating model must drive.</w:t>
      </w:r>
    </w:p>
    <w:p>
      <w:pPr>
        <w:spacing w:after="120"/>
      </w:pPr>
      <w:r>
        <w:rPr>
          <w:i w:val="false"/>
          <w:iCs w:val="false"/>
          <w:color w:val="1C2333"/>
          <w:sz w:val="21"/>
          <w:szCs w:val="21"/>
        </w:rPr>
        <w:t xml:space="preserve">The third is outcome-based performance management: digital investments are tracked against business outcomes (reduction in batch cycle time, increase in clinical trial recruitment rate, improvement in field force call quality) rather than technology delivery milestones (system go-live, number of users onboarded). This shift prevents the pathology of digital programs that "deliver" systems but never demonstrate business value.</w:t>
      </w:r>
    </w:p>
    <w:p>
      <w:pPr>
        <w:spacing w:after="120"/>
      </w:pPr>
      <w:r>
        <w:rPr>
          <w:i w:val="false"/>
          <w:iCs w:val="false"/>
          <w:color w:val="1C2333"/>
          <w:sz w:val="21"/>
          <w:szCs w:val="21"/>
        </w:rPr>
        <w:t xml:space="preserve">The fourth is continuous learning and adaptation: the operating model includes explicit mechanisms for capturing what is working and what is not across the transformation portfolio, sharing insights across functions and geographies, and adjusting the strategy and portfolio in response to evidence. This is not natural to most pharma organizations, which have planning cycles measured in years and a cultural discomfort with the admission that a prior plan needs revision.</w:t>
      </w:r>
    </w:p>
    <w:p>
      <w:pPr>
        <w:pStyle w:val="Heading2"/>
        <w:spacing w:after="120" w:before="240"/>
      </w:pPr>
      <w:r>
        <w:rPr>
          <w:b/>
          <w:bCs/>
          <w:color w:val="0D2B55"/>
        </w:rPr>
        <w:t xml:space="preserve">3.6 Change Management and the Human Dimension</w:t>
      </w:r>
    </w:p>
    <w:p>
      <w:pPr>
        <w:spacing w:after="120"/>
      </w:pPr>
      <w:r>
        <w:rPr>
          <w:i w:val="false"/>
          <w:iCs w:val="false"/>
          <w:color w:val="1C2333"/>
          <w:sz w:val="21"/>
          <w:szCs w:val="21"/>
        </w:rPr>
        <w:t xml:space="preserve">No governance structure works without the people operating within it being willing and able to change how they work. The human dimension of digital transformation deserves its own chapter (Chapter 13 addresses it fully in the context of the transformation roadmap), but several governance-level principles are worth establishing here.</w:t>
      </w:r>
    </w:p>
    <w:p>
      <w:pPr>
        <w:spacing w:after="120"/>
      </w:pPr>
      <w:r>
        <w:rPr>
          <w:i w:val="false"/>
          <w:iCs w:val="false"/>
          <w:color w:val="1C2333"/>
          <w:sz w:val="21"/>
          <w:szCs w:val="21"/>
        </w:rPr>
        <w:t xml:space="preserve">Leadership alignment is the irreducible prerequisite. If the C-suite does not visibly and consistently model digital decision-making — if the CEO makes key portfolio decisions based on gut instinct while the analytics team's recommendations sit unread in a dashboard — the transformation will not move beyond the pilot stage regardless of how sophisticated the governance structures on paper may be.</w:t>
      </w:r>
    </w:p>
    <w:p>
      <w:pPr>
        <w:spacing w:after="120"/>
      </w:pPr>
      <w:r>
        <w:rPr>
          <w:i w:val="false"/>
          <w:iCs w:val="false"/>
          <w:color w:val="1C2333"/>
          <w:sz w:val="21"/>
          <w:szCs w:val="21"/>
        </w:rPr>
        <w:t xml:space="preserve">Change management must be built into the governance architecture rather than treated as a parallel stream that runs alongside the technology program. Each digital initiative in the portfolio should have an explicitly designated change champion — a business leader who is personally invested in the adoption of the new capability and is accountable for measuring and reporting user adoption alongside the technical delivery team.</w:t>
      </w:r>
    </w:p>
    <w:p>
      <w:pPr>
        <w:pStyle w:val="Heading2"/>
        <w:spacing w:after="120" w:before="240"/>
      </w:pPr>
      <w:r>
        <w:rPr>
          <w:b/>
          <w:bCs/>
          <w:color w:val="0D2B55"/>
        </w:rPr>
        <w:t xml:space="preserve">3.7 GxP Governance in the Digital Context</w:t>
      </w:r>
    </w:p>
    <w:p>
      <w:pPr>
        <w:spacing w:after="120"/>
      </w:pPr>
      <w:r>
        <w:rPr>
          <w:i w:val="false"/>
          <w:iCs w:val="false"/>
          <w:color w:val="1C2333"/>
          <w:sz w:val="21"/>
          <w:szCs w:val="21"/>
        </w:rPr>
        <w:t xml:space="preserve">Pharma digital governance has a dimension that has no equivalent in any other industry: the requirement to maintain GxP compliance as systems evolve. This creates a governance challenge that is sometimes used as an excuse to slow or block digital transformation — "we can't move to cloud AI because we don't know how to validate it" — but that properly understood should accelerate digital transformation by providing a framework for sustainable change.</w:t>
      </w:r>
    </w:p>
    <w:p>
      <w:pPr>
        <w:spacing w:after="120"/>
      </w:pPr>
      <w:r>
        <w:rPr>
          <w:i w:val="false"/>
          <w:iCs w:val="false"/>
          <w:color w:val="1C2333"/>
          <w:sz w:val="21"/>
          <w:szCs w:val="21"/>
        </w:rPr>
        <w:t xml:space="preserve">The key principle is that GxP governance and digital transformation governance must be integrated, not sequential. It is a common mistake to run digital transformation as a technology program and then hand the outputs to Quality for validation after the fact — an approach that routinely produces systems that need to be substantially redesigned to pass validation, with all the cost and delay that implies. The correct model is to embed quality risk management and computer system validation (CSV) planning into the digital program from the outset, with a dedicated GxP Digital Validation function within the DTO that provides validation expertise as a service to business-embedded digital teams.</w:t>
      </w:r>
    </w:p>
    <w:p>
      <w:pPr>
        <w:spacing w:after="120"/>
      </w:pPr>
      <w:r>
        <w:rPr>
          <w:i w:val="false"/>
          <w:iCs w:val="false"/>
          <w:color w:val="1C2333"/>
          <w:sz w:val="21"/>
          <w:szCs w:val="21"/>
        </w:rPr>
        <w:t xml:space="preserve">The emergence of risk-based Computer System Validation (CSV), now articulated in GAMP5 Second Edition (2022), and the FDA's guidance on computer software assurance (CSA) have reduced the validation burden for lower-risk digital systems while maintaining appropriate rigor for critical GxP applications. A mature pharma digital governance model leverages these frameworks to enable faster digital deployment without compromising quality and regulatory integrity.</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The board's governance oversight role requires clarity on who owns digital transformation, how it is resourced, and how performance is being measured. Leadership should be able to articulate clearly the organizational model and reporting structure for the CDO and DTO; the total annual investment in digital transformation and its expected business returns; how the organization is managing the intersection of digital innovation speed and GxP validation requirements; and what the top three governance risks to the transformation program currently are and how they are being mitigated.</w:t>
      </w:r>
    </w:p>
    <w:p>
      <w:pPr>
        <w:pBdr>
          <w:left w:val="single" w:color="C9A84C" w:sz="18" w:space="8"/>
        </w:pBdr>
        <w:shd w:fill="FBF6E9" w:color="auto" w:val="clear"/>
        <w:spacing w:after="120"/>
        <w:ind w:left="240"/>
      </w:pPr>
      <w:r>
        <w:rPr>
          <w:i/>
          <w:iCs/>
          <w:color w:val="1C2333"/>
          <w:sz w:val="21"/>
          <w:szCs w:val="21"/>
        </w:rPr>
        <w:t xml:space="preserve">🌍 REGIONAL SPOTLIGHT: GOVERNANCE ADAPTATIONS ACROSS MARKETS</w:t>
      </w:r>
    </w:p>
    <w:p>
      <w:pPr>
        <w:pBdr>
          <w:left w:val="single" w:color="C9A84C" w:sz="18" w:space="8"/>
        </w:pBdr>
        <w:shd w:fill="FBF6E9" w:color="auto" w:val="clear"/>
        <w:spacing w:after="120"/>
        <w:ind w:left="240"/>
      </w:pPr>
      <w:r>
        <w:rPr>
          <w:i/>
          <w:iCs/>
          <w:color w:val="1C2333"/>
          <w:sz w:val="21"/>
          <w:szCs w:val="21"/>
        </w:rPr>
        <w:t xml:space="preserve">In the United States, pharma digital governance tends to be most advanced in large multinationals, driven by the pressure of quarterly earnings reporting and the FDA's increasingly explicit expectations around digital quality systems. The challenge in the US context is the gap between the governance sophistication of large multinationals and the governance immaturity of the mid-tier specialty pharma companies that represent the bulk of the sector by count. US mid-tier pharma companies often have no CDO, no enterprise data governance, and digital programs managed entirely within individual functions with no cross-functional coordination. In the European Union, governance models are shaped by the dual requirements of GDPR (which mandates explicit data governance for personal data) and EMA's evolving expectations around digital evidence. European pharma companies tend to have stronger formal governance structures — data protection officers are legally mandated — but these structures are often compliance-focused rather than value-creation-focused. The transformation challenge is to evolve from compliance-driven governance to innovation-enabling governance without creating regulatory risk.</w:t>
      </w:r>
    </w:p>
    <w:p>
      <w:pPr>
        <w:spacing w:after="120"/>
      </w:pPr>
      <w:r>
        <w:rPr>
          <w:i w:val="false"/>
          <w:iCs w:val="false"/>
          <w:color w:val="1C2333"/>
          <w:sz w:val="21"/>
          <w:szCs w:val="21"/>
        </w:rPr>
        <w:t xml:space="preserve">In India, governance for digital transformation in pharma is an emerging practice. Most Indian pharma companies have CIOs but not CDOs. Digital governance structures where they exist are often nested within IT rather than positioned as enterprise business functions. As Indian pharma companies increase their digital ambition — driven by competition for global manufacturing contracts that increasingly require digital quality standards — the governance maturity gap is becoming a strategic liability that the most forward-thinking companies are beginning to address.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3.1: Digital Transformation Governance Architecture — Three-Tier Model</w:t>
      </w:r>
    </w:p>
    <w:p>
      <w:pPr>
        <w:spacing w:after="120"/>
      </w:pPr>
      <w:r>
        <w:rPr>
          <w:color w:val="1C2333"/>
          <w:sz w:val="21"/>
          <w:szCs w:val="21"/>
        </w:rPr>
        <w:t xml:space="preserve">PART II</w:t>
      </w:r>
    </w:p>
    <w:p>
      <w:pPr>
        <w:spacing w:after="120"/>
      </w:pPr>
      <w:r>
        <w:rPr>
          <w:color w:val="1C2333"/>
          <w:sz w:val="21"/>
          <w:szCs w:val="21"/>
        </w:rPr>
        <w:t xml:space="preserve">PART II — VALUE CHAIN TRANSFORMATION</w:t>
      </w:r>
    </w:p>
    <w:p>
      <w:r>
        <w:br w:type="page"/>
      </w:r>
    </w:p>
    <w:p>
      <w:pPr>
        <w:pStyle w:val="Heading1"/>
        <w:spacing w:after="120" w:before="240"/>
      </w:pPr>
      <w:r>
        <w:rPr>
          <w:b/>
          <w:bCs/>
          <w:color w:val="0D2B55"/>
        </w:rPr>
        <w:t xml:space="preserve">Chapter 4: R&amp;D &amp; Drug Discovery — Digital Transformation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Drug discovery is being fundamentally reimagined. What was once a largely artisanal process — scientists following intuition through years of iterative hypothesis testing — is evolving into a data-intensive, AI-augmented discipline where computational models, biological datasets, and automated laboratories collaborate at a pace and scale no human team could match alone. This chapter explores the digital transformation of pharmaceutical R&amp;D across the full discovery continuum: target identification, hit-to-lead, lead optimization, preclinical development, and the early translational science that bridges discovery to clinical programs. It examines the technologies, the organizational models, the case studies, and the governance considerations that define a digitally transformed R&amp;D engine — and offers a clear-eyed assessment of where AI hype ends and genuine, deployable value begins.</w:t>
      </w:r>
    </w:p>
    <w:p>
      <w:pPr>
        <w:pStyle w:val="Heading2"/>
        <w:spacing w:after="120" w:before="240"/>
      </w:pPr>
      <w:r>
        <w:rPr>
          <w:b/>
          <w:bCs/>
          <w:color w:val="0D2B55"/>
        </w:rPr>
        <w:t xml:space="preserve">4.1 The Discovery Productivity Crisis — and Digital's Response</w:t>
      </w:r>
    </w:p>
    <w:p>
      <w:pPr>
        <w:spacing w:after="120"/>
      </w:pPr>
      <w:r>
        <w:rPr>
          <w:i w:val="false"/>
          <w:iCs w:val="false"/>
          <w:color w:val="1C2333"/>
          <w:sz w:val="21"/>
          <w:szCs w:val="21"/>
        </w:rPr>
        <w:t xml:space="preserve">The productivity of pharmaceutical R&amp;D has declined measurably over decades. Eroom's Law — the empirical observation that the number of new drugs approved per billion dollars of R&amp;D spending has halved roughly every nine years — captures a trend that has held remarkably steady despite technological waves from combinatorial chemistry to high-throughput screening to genomics. The cost of discovering and developing a new molecular entity now exceeds USD 2.6 billion on a capitalized basis, with most of that cost driven by late-stage clinical failures that could in principle have been predicted earlier in the development process.</w:t>
      </w:r>
    </w:p>
    <w:p>
      <w:pPr>
        <w:spacing w:after="120"/>
      </w:pPr>
      <w:r>
        <w:rPr>
          <w:i w:val="false"/>
          <w:iCs w:val="false"/>
          <w:color w:val="1C2333"/>
          <w:sz w:val="21"/>
          <w:szCs w:val="21"/>
        </w:rPr>
        <w:t xml:space="preserve">The digital response to this productivity crisis is attacking it at multiple points simultaneously. AI-driven target identification aims to find better biological targets — ones more causally linked to disease — before expensive clinical investment begins. Generative AI for molecular design explores chemical space orders of magnitude more efficiently than traditional medicinal chemistry. Digital laboratory automation reduces the cycle time and cost of experimental validation. Integrated data platforms eliminate the information silos that cause organizations to rediscover what they already know. And computational toxicology and ADME (absorption, distribution, metabolism, excretion) prediction reduces the attrition from safety and pharmacokinetic failures that has historically consumed a large fraction of preclinical and early clinical budgets.</w:t>
      </w:r>
    </w:p>
    <w:p>
      <w:pPr>
        <w:spacing w:after="120"/>
      </w:pPr>
      <w:r>
        <w:rPr>
          <w:i w:val="false"/>
          <w:iCs w:val="false"/>
          <w:color w:val="1C2333"/>
          <w:sz w:val="21"/>
          <w:szCs w:val="21"/>
        </w:rPr>
        <w:t xml:space="preserve">None of these technologies is a silver bullet. But deployed systematically, as parts of an integrated digital R&amp;D capability rather than as isolated pilots, they are demonstrating the ability to meaningfully compress the discovery timeline, improve the quality of molecules entering clinical development, and reduce the cost of early R&amp;D.</w:t>
      </w:r>
    </w:p>
    <w:p>
      <w:pPr>
        <w:pStyle w:val="Heading2"/>
        <w:spacing w:after="120" w:before="240"/>
      </w:pPr>
      <w:r>
        <w:rPr>
          <w:b/>
          <w:bCs/>
          <w:color w:val="0D2B55"/>
        </w:rPr>
        <w:t xml:space="preserve">4.2 Target Identification and Validation: AI at the Frontier</w:t>
      </w:r>
    </w:p>
    <w:p>
      <w:pPr>
        <w:spacing w:after="120"/>
      </w:pPr>
      <w:r>
        <w:rPr>
          <w:i w:val="false"/>
          <w:iCs w:val="false"/>
          <w:color w:val="1C2333"/>
          <w:sz w:val="21"/>
          <w:szCs w:val="21"/>
        </w:rPr>
        <w:t xml:space="preserve">The identification of a druggable biological target is the single highest-leverage decision in the drug discovery process. If the target is wrong — if the protein, pathway, or gene being modulated is not causally linked to the disease in humans — then no amount of excellent chemistry or clinical execution will save the program. It is estimated that 50 to 60 percent of late-stage clinical failures are attributable to insufficient target validation: the biology was not as well understood as it appeared to be from preclinical models.</w:t>
      </w:r>
    </w:p>
    <w:p>
      <w:pPr>
        <w:spacing w:after="120"/>
      </w:pPr>
      <w:r>
        <w:rPr>
          <w:i w:val="false"/>
          <w:iCs w:val="false"/>
          <w:color w:val="1C2333"/>
          <w:sz w:val="21"/>
          <w:szCs w:val="21"/>
        </w:rPr>
        <w:t xml:space="preserve">AI is changing target identification in several important ways. Large-scale integration of multi-omics data — genomics, transcriptomics, proteomics, metabolomics — with clinical outcome data from biobanks and electronic health records is enabling computational identification of target-disease associations that would not emerge from any single data type in isolation. Causal AI approaches that go beyond correlation to identify the directionality and strength of biological relationships are improving the confidence with which targets can be prioritized. And network biology models that map the connectivity of biological pathways are enabling the identification of targets whose modulation will have the desired therapeutic effect without the off-target toxicity that derails clinical programs.</w:t>
      </w:r>
    </w:p>
    <w:p>
      <w:pPr>
        <w:spacing w:after="120"/>
      </w:pPr>
      <w:r>
        <w:rPr>
          <w:i w:val="false"/>
          <w:iCs w:val="false"/>
          <w:color w:val="1C2333"/>
          <w:sz w:val="21"/>
          <w:szCs w:val="21"/>
        </w:rPr>
        <w:t xml:space="preserve">Companies at the frontier of AI-driven target identification — including BenevolentAI and Recursion Pharmaceuticals (now incorporating Exscientia) — have built proprietary biological knowledge graphs that integrate tens of millions of data points from scientific literature, clinical databases, and experimental data. These knowledge graphs are traversed by machine learning models that score target-disease associations, predict druggability, and prioritize targets for experimental validation. The output is not a target list — it is a ranked, evidence-backed prioritization that helps scientific leadership make faster, better-informed decisions about where to focus early R&amp;D investment.</w:t>
      </w:r>
    </w:p>
    <w:p>
      <w:pPr>
        <w:pBdr>
          <w:left w:val="single" w:color="C9A84C" w:sz="18" w:space="8"/>
        </w:pBdr>
        <w:shd w:fill="FBF6E9" w:color="auto" w:val="clear"/>
        <w:spacing w:after="120"/>
        <w:ind w:left="240"/>
      </w:pPr>
      <w:r>
        <w:rPr>
          <w:i/>
          <w:iCs/>
          <w:color w:val="1C2333"/>
          <w:sz w:val="21"/>
          <w:szCs w:val="21"/>
        </w:rPr>
        <w:t xml:space="preserve">📋 CASE STUDY: ILLUSTRATIVE CASE STUDY: AI-ACCELERATED TARGET IDENTIFICATION IN CNS DISEASE</w:t>
      </w:r>
    </w:p>
    <w:p>
      <w:pPr>
        <w:pBdr>
          <w:left w:val="single" w:color="C9A84C" w:sz="18" w:space="8"/>
        </w:pBdr>
        <w:shd w:fill="FBF6E9" w:color="auto" w:val="clear"/>
        <w:spacing w:after="120"/>
        <w:ind w:left="240"/>
      </w:pPr>
      <w:r>
        <w:rPr>
          <w:i/>
          <w:iCs/>
          <w:color w:val="1C2333"/>
          <w:sz w:val="21"/>
          <w:szCs w:val="21"/>
        </w:rPr>
        <w:t xml:space="preserve">A mid-sized pharma company with a neuroscience focus had historically relied on a manual literature review and expert panel process for target identification, a process that typically took 12 to 18 months and produced target shortlists of 10 to 15 candidates for further evaluation. Working with an AI-driven biology platform, the company integrated 15 years of internal experimental data with public genomics databases, EHR-derived genetic association studies, and protein interaction networks. The AI platform identified 47 high-confidence target-disease associations in CNS conditions within 8 weeks, including 12 that the internal expert panel had not previously considered. Four of these 12 were advanced to experimental validation, and two have since progressed to hit identification campaigns. The end-to-end cycle time for target identification was reduced from 14 months to 11 weeks.</w:t>
      </w:r>
    </w:p>
    <w:p>
      <w:pPr>
        <w:pStyle w:val="Heading2"/>
        <w:spacing w:after="120" w:before="240"/>
      </w:pPr>
      <w:r>
        <w:rPr>
          <w:b/>
          <w:bCs/>
          <w:color w:val="0D2B55"/>
        </w:rPr>
        <w:t xml:space="preserve">4.3 Structure-Based Drug Design and AlphaFold's Impact</w:t>
      </w:r>
    </w:p>
    <w:p>
      <w:pPr>
        <w:spacing w:after="120"/>
      </w:pPr>
      <w:r>
        <w:rPr>
          <w:i w:val="false"/>
          <w:iCs w:val="false"/>
          <w:color w:val="1C2333"/>
          <w:sz w:val="21"/>
          <w:szCs w:val="21"/>
        </w:rPr>
        <w:t xml:space="preserve">The ability to predict the three-dimensional structure of proteins with high accuracy — a capability that DeepMind's AlphaFold transformed almost overnight in 2021 — has fundamentally changed structural biology's role in drug discovery. Previously, determining the structure of a target protein required X-ray crystallography or cryo-electron microscopy, processes that could take months or years and sometimes never yielded a usable structure. Today, high-confidence structural predictions for virtually any protein can be generated within hours using AlphaFold2 or its successors.</w:t>
      </w:r>
    </w:p>
    <w:p>
      <w:pPr>
        <w:spacing w:after="120"/>
      </w:pPr>
      <w:r>
        <w:rPr>
          <w:i w:val="false"/>
          <w:iCs w:val="false"/>
          <w:color w:val="1C2333"/>
          <w:sz w:val="21"/>
          <w:szCs w:val="21"/>
        </w:rPr>
        <w:t xml:space="preserve">The implications for structure-based drug design are profound. Medicinal chemists can now design compounds against protein structures they previously could not access experimentally. Protein-protein interaction inhibitors — a class of targets long considered undruggable because of the shallow, featureless nature of their binding interfaces — are being approached with new confidence. And the combination of AlphaFold structures with molecular dynamics simulations is enabling prediction of how proteins move and how that movement creates transient binding pockets that can be targeted.</w:t>
      </w:r>
    </w:p>
    <w:p>
      <w:pPr>
        <w:spacing w:after="120"/>
      </w:pPr>
      <w:r>
        <w:rPr>
          <w:i w:val="false"/>
          <w:iCs w:val="false"/>
          <w:color w:val="1C2333"/>
          <w:sz w:val="21"/>
          <w:szCs w:val="21"/>
        </w:rPr>
        <w:t xml:space="preserve">Pharma companies with strong computational chemistry capabilities are integrating AlphaFold into their structure-based design workflows as a standard tool. The practical impact — shorter design cycles, better compound quality entering lead optimization, reduced dependence on expensive experimental structural biology for routine programs — is becoming visible in the speed and quality of early discovery programs.</w:t>
      </w:r>
    </w:p>
    <w:p>
      <w:pPr>
        <w:pStyle w:val="Heading2"/>
        <w:spacing w:after="120" w:before="240"/>
      </w:pPr>
      <w:r>
        <w:rPr>
          <w:b/>
          <w:bCs/>
          <w:color w:val="0D2B55"/>
        </w:rPr>
        <w:t xml:space="preserve">4.4 Generative AI for Molecular Design</w:t>
      </w:r>
    </w:p>
    <w:p>
      <w:pPr>
        <w:spacing w:after="120"/>
      </w:pPr>
      <w:r>
        <w:rPr>
          <w:i w:val="false"/>
          <w:iCs w:val="false"/>
          <w:color w:val="1C2333"/>
          <w:sz w:val="21"/>
          <w:szCs w:val="21"/>
        </w:rPr>
        <w:t xml:space="preserve">Beyond analyzing existing chemical space, generative AI models are now designing novel molecules de novo — proposing chemical structures that satisfy multiple simultaneous constraints on potency, selectivity, solubility, metabolic stability, and synthetic accessibility. This represents a qualitative shift in the role of AI in medicinal chemistry: from a tool that helps chemists navigate known chemical space to a collaborator that proposes structures the human chemist might not have conceived.</w:t>
      </w:r>
    </w:p>
    <w:p>
      <w:pPr>
        <w:spacing w:after="120"/>
      </w:pPr>
      <w:r>
        <w:rPr>
          <w:i w:val="false"/>
          <w:iCs w:val="false"/>
          <w:color w:val="1C2333"/>
          <w:sz w:val="21"/>
          <w:szCs w:val="21"/>
        </w:rPr>
        <w:t xml:space="preserve">The most mature approaches combine deep generative models — variational autoencoders, diffusion models, and transformer-based architectures trained on large chemical datasets — with reinforcement learning that rewards the model for generating molecules that score well against multi-parameter optimization objectives. The result is a model that can be prompted with a target protein structure and a set of property constraints and will propose hundreds of candidate molecules in hours, ranked by predicted potency, selectivity, and drug-likeness.</w:t>
      </w:r>
    </w:p>
    <w:p>
      <w:pPr>
        <w:spacing w:after="120"/>
      </w:pPr>
      <w:r>
        <w:rPr>
          <w:i w:val="false"/>
          <w:iCs w:val="false"/>
          <w:color w:val="1C2333"/>
          <w:sz w:val="21"/>
          <w:szCs w:val="21"/>
        </w:rPr>
        <w:t xml:space="preserve">Critically, these models are trained not just on chemical structure but on synthesis routes — ensuring that the molecules they propose can actually be made. This integration of generative design with retrosynthesis prediction (AI that designs the synthetic route to a novel compound) is beginning to close the loop between molecule design and molecule synthesis in ways that will dramatically accelerate the design-make-test cycle.</w:t>
      </w:r>
    </w:p>
    <w:p>
      <w:pPr>
        <w:pBdr>
          <w:left w:val="single" w:color="C9A84C" w:sz="18" w:space="8"/>
        </w:pBdr>
        <w:shd w:fill="FBF6E9" w:color="auto" w:val="clear"/>
        <w:spacing w:after="120"/>
        <w:ind w:left="240"/>
      </w:pPr>
      <w:r>
        <w:rPr>
          <w:i/>
          <w:iCs/>
          <w:color w:val="1C2333"/>
          <w:sz w:val="21"/>
          <w:szCs w:val="21"/>
        </w:rPr>
        <w:t xml:space="preserve">📋 CASE STUDY: REAL-WORLD CASE STUDY: INSILICO MEDICINE AND THE FIRST AI-DISCOVERED CLINICAL CANDIDATE</w:t>
      </w:r>
    </w:p>
    <w:p>
      <w:pPr>
        <w:pBdr>
          <w:left w:val="single" w:color="C9A84C" w:sz="18" w:space="8"/>
        </w:pBdr>
        <w:shd w:fill="FBF6E9" w:color="auto" w:val="clear"/>
        <w:spacing w:after="120"/>
        <w:ind w:left="240"/>
      </w:pPr>
      <w:r>
        <w:rPr>
          <w:i/>
          <w:iCs/>
          <w:color w:val="1C2333"/>
          <w:sz w:val="21"/>
          <w:szCs w:val="21"/>
        </w:rPr>
        <w:t xml:space="preserve">Insilico Medicine achieved a landmark in 2023 when it progressed INS018_055, a novel TNIK inhibitor for idiopathic pulmonary fibrosis, into Phase II clinical trials. The drug candidate was identified entirely through AI-driven processes — from target identification through generative molecular design — in approximately 18 months, compared to an industry average of 4 to 5 years for the same discovery phase. While Phase II results will ultimately determine clinical value, the milestone demonstrates that AI-driven discovery pipelines are capable of producing viable clinical candidates, not just interesting computational outputs.</w:t>
      </w:r>
    </w:p>
    <w:p>
      <w:pPr>
        <w:pStyle w:val="Heading2"/>
        <w:spacing w:after="120" w:before="240"/>
      </w:pPr>
      <w:r>
        <w:rPr>
          <w:b/>
          <w:bCs/>
          <w:color w:val="0D2B55"/>
        </w:rPr>
        <w:t xml:space="preserve">4.5 High-Throughput Screening and Laboratory Automation</w:t>
      </w:r>
    </w:p>
    <w:p>
      <w:pPr>
        <w:spacing w:after="120"/>
      </w:pPr>
      <w:r>
        <w:rPr>
          <w:i w:val="false"/>
          <w:iCs w:val="false"/>
          <w:color w:val="1C2333"/>
          <w:sz w:val="21"/>
          <w:szCs w:val="21"/>
        </w:rPr>
        <w:t xml:space="preserve">The experimental validation of computationally generated hypotheses requires physical laboratory work — synthesizing compounds, testing them in biological assays, and measuring the results. This experimental cycle is a major bottleneck in discovery programs: even with AI generating novel compound designs rapidly, if the wet lab cycle takes six to eight weeks per iteration, the overall discovery cycle remains slow.</w:t>
      </w:r>
    </w:p>
    <w:p>
      <w:pPr>
        <w:spacing w:after="120"/>
      </w:pPr>
      <w:r>
        <w:rPr>
          <w:i w:val="false"/>
          <w:iCs w:val="false"/>
          <w:color w:val="1C2333"/>
          <w:sz w:val="21"/>
          <w:szCs w:val="21"/>
        </w:rPr>
        <w:t xml:space="preserve">The digital transformation of the discovery laboratory is addressing this bottleneck through three converging trends. Laboratory automation — robotic synthesis platforms, automated assay execution, and AI-guided liquid handling systems — is reducing the time and cost of experimental cycles. Miniaturization and high-throughput technology — particularly DNA-encoded chemical libraries (DELs) that can screen billions of compounds simultaneously — is dramatically expanding the scope of experimental screening. And the integration of laboratory execution systems (LIMS, Electronic Lab Notebooks) with analytical platforms and compound management systems is ensuring that every experimental result is captured, structured, and immediately available for model training.</w:t>
      </w:r>
    </w:p>
    <w:p>
      <w:pPr>
        <w:spacing w:after="120"/>
      </w:pPr>
      <w:r>
        <w:rPr>
          <w:i w:val="false"/>
          <w:iCs w:val="false"/>
          <w:color w:val="1C2333"/>
          <w:sz w:val="21"/>
          <w:szCs w:val="21"/>
        </w:rPr>
        <w:t xml:space="preserve">The concept of the self-driving laboratory — a fully automated experimental platform that designs its own experiments, executes them robotically, analyzes the results through AI, and designs the next experiment without human intervention — is moving from academic demonstration to pharmaceutical deployment. Pfizer, Merck, and AstraZeneca have all invested in automated chemistry platforms that dramatically reduce the human effort required per design-make-test-analyze cycle. The result is a discovery engine that can run more experiments, learn faster, and converge on optimized lead compounds in a fraction of the time that manual discovery required.</w:t>
      </w:r>
    </w:p>
    <w:p>
      <w:pPr>
        <w:pStyle w:val="Heading2"/>
        <w:spacing w:after="120" w:before="240"/>
      </w:pPr>
      <w:r>
        <w:rPr>
          <w:b/>
          <w:bCs/>
          <w:color w:val="0D2B55"/>
        </w:rPr>
        <w:t xml:space="preserve">4.6 Computational ADMET and Predictive Toxicology</w:t>
      </w:r>
    </w:p>
    <w:p>
      <w:pPr>
        <w:spacing w:after="120"/>
      </w:pPr>
      <w:r>
        <w:rPr>
          <w:i w:val="false"/>
          <w:iCs w:val="false"/>
          <w:color w:val="1C2333"/>
          <w:sz w:val="21"/>
          <w:szCs w:val="21"/>
        </w:rPr>
        <w:t xml:space="preserve">One of the largest contributors to drug development failure is poor pharmacokinetics and unanticipated toxicity — failures that are typically discovered late in development, when the cost of failure is highest. A compound that fails in a Phase II clinical trial because of liver toxicity represents not just the cost of that trial but the full cost of the years of preclinical and Phase I work that preceded it.</w:t>
      </w:r>
    </w:p>
    <w:p>
      <w:pPr>
        <w:spacing w:after="120"/>
      </w:pPr>
      <w:r>
        <w:rPr>
          <w:i w:val="false"/>
          <w:iCs w:val="false"/>
          <w:color w:val="1C2333"/>
          <w:sz w:val="21"/>
          <w:szCs w:val="21"/>
        </w:rPr>
        <w:t xml:space="preserve">Computational ADMET prediction — AI models that predict how a compound will be absorbed, distributed, metabolized, and excreted, and whether it will exhibit organ toxicity, genotoxicity, or other safety liabilities — has advanced to the point where it can meaningfully de-risk lead compounds earlier in the discovery process. These models are trained on datasets of tens of thousands of compounds with experimentally measured ADMET properties, and they can predict key parameters — human oral bioavailability, plasma protein binding, CYP enzyme inhibition, hERG cardiac toxicity liability — with sufficient accuracy to use as filters in the early selection and optimization of lead series.</w:t>
      </w:r>
    </w:p>
    <w:p>
      <w:pPr>
        <w:spacing w:after="120"/>
      </w:pPr>
      <w:r>
        <w:rPr>
          <w:i w:val="false"/>
          <w:iCs w:val="false"/>
          <w:color w:val="1C2333"/>
          <w:sz w:val="21"/>
          <w:szCs w:val="21"/>
        </w:rPr>
        <w:t xml:space="preserve">The practical implication is a shift in how lead optimization is designed: rather than optimizing for potency first and discovering ADMET liabilities in dedicated follow-on studies, integrated optimization strategies simultaneously target potency, selectivity, and ADMET properties from the outset. This approach — multi-parameter lead optimization (MPLO) supported by AI — is now standard practice at the most digitally advanced discovery organizations and is delivering measurably better candidate quality into development.</w:t>
      </w:r>
    </w:p>
    <w:p>
      <w:pPr>
        <w:pStyle w:val="Heading2"/>
        <w:spacing w:after="120" w:before="240"/>
      </w:pPr>
      <w:r>
        <w:rPr>
          <w:b/>
          <w:bCs/>
          <w:color w:val="0D2B55"/>
        </w:rPr>
        <w:t xml:space="preserve">4.7 Integrated R&amp;D Data Platform: The Foundation for AI-Driven Discovery</w:t>
      </w:r>
    </w:p>
    <w:p>
      <w:pPr>
        <w:spacing w:after="120"/>
      </w:pPr>
      <w:r>
        <w:rPr>
          <w:i w:val="false"/>
          <w:iCs w:val="false"/>
          <w:color w:val="1C2333"/>
          <w:sz w:val="21"/>
          <w:szCs w:val="21"/>
        </w:rPr>
        <w:t xml:space="preserve">The technologies described in this chapter — AI target identification, generative molecular design, automated laboratories, computational ADMET — all depend on a common foundation: an integrated R&amp;D data platform that makes the organization's full body of experimental knowledge accessible, searchable, and machine-readable in real time.</w:t>
      </w:r>
    </w:p>
    <w:p>
      <w:pPr>
        <w:spacing w:after="120"/>
      </w:pPr>
      <w:r>
        <w:rPr>
          <w:i w:val="false"/>
          <w:iCs w:val="false"/>
          <w:color w:val="1C2333"/>
          <w:sz w:val="21"/>
          <w:szCs w:val="21"/>
        </w:rPr>
        <w:t xml:space="preserve">The architecture of a modern R&amp;D data platform has several essential components. An Electronic Lab Notebook (ELN) system captures experimental protocols, raw data, and analytical results in a structured, searchable format. A compound management and registration system maintains the canonical record of every molecule the organization has synthesized or acquired, with its associated biological and physicochemical data. A biological data warehouse integrates data from high-throughput screening systems, in vitro ADMET assays, and in vivo studies into a unified repository. A literature and knowledge management platform captures and structures scientific insights from published literature, patents, and internal documents. And an integrated analytics layer — increasingly built on cloud-based AI/ML platforms — enables the application of machine learning models to the full body of integrated R&amp;D data.</w:t>
      </w:r>
    </w:p>
    <w:p>
      <w:pPr>
        <w:spacing w:after="120"/>
      </w:pPr>
      <w:r>
        <w:rPr>
          <w:i w:val="false"/>
          <w:iCs w:val="false"/>
          <w:color w:val="1C2333"/>
          <w:sz w:val="21"/>
          <w:szCs w:val="21"/>
        </w:rPr>
        <w:t xml:space="preserve">Maintaining this platform in a GxP-compliant manner for data that will be used in regulatory submissions requires particular attention to data integrity: the ALCOA+ principles (Attributable, Legible, Contemporaneous, Original, Accurate, plus Complete, Consistent, Enduring, and Available) that govern GxP data apply to electronic data as fully as to paper records. Validation of ELN and laboratory information management systems (LIMS) to 21 CFR Part 11 standards is a prerequisite for using them in GxP contexts.</w:t>
      </w:r>
    </w:p>
    <w:p>
      <w:pPr>
        <w:pStyle w:val="Heading2"/>
        <w:spacing w:after="120" w:before="240"/>
      </w:pPr>
      <w:r>
        <w:rPr>
          <w:b/>
          <w:bCs/>
          <w:color w:val="0D2B55"/>
        </w:rPr>
        <w:t xml:space="preserve">4.8 Organizational Model for Digital R&amp;D</w:t>
      </w:r>
    </w:p>
    <w:p>
      <w:pPr>
        <w:spacing w:after="120"/>
      </w:pPr>
      <w:r>
        <w:rPr>
          <w:i w:val="false"/>
          <w:iCs w:val="false"/>
          <w:color w:val="1C2333"/>
          <w:sz w:val="21"/>
          <w:szCs w:val="21"/>
        </w:rPr>
        <w:t xml:space="preserve">The organizational model for a digitally transformed R&amp;D function is fundamentally different from the traditional structure of separate computational and experimental groups working in loosely coupled teams. The digitally mature R&amp;D organization is characterized by deeply integrated teams in which computational scientists, data scientists, medicinal chemists, biologists, and automation engineers work in the same sprint cycles, on the same data platforms, and toward the same program milestones.</w:t>
      </w:r>
    </w:p>
    <w:p>
      <w:pPr>
        <w:spacing w:after="120"/>
      </w:pPr>
      <w:r>
        <w:rPr>
          <w:i w:val="false"/>
          <w:iCs w:val="false"/>
          <w:color w:val="1C2333"/>
          <w:sz w:val="21"/>
          <w:szCs w:val="21"/>
        </w:rPr>
        <w:t xml:space="preserve">The role of the Chief Scientific Officer must evolve to include explicit accountability for the data and digital strategy of the R&amp;D function — not just the scientific strategy. The best CSOs in the next decade will be scientists who understand AI well enough to make investment decisions about computational platforms and to hold scientific teams accountable for AI adoption. They will also be business leaders who understand that scientific productivity in the modern context is inseparable from digital capability.</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Has the organization conducted an honest assessment of how its discovery cycle time and candidate quality metrics compare to AI-enabled peers and competitor biotechs? What fraction of the R&amp;D budget is allocated to digital and computational capabilities, and how does this compare to the investment level at organizations like Roche, AstraZeneca, and the leading AI-first biotechs? Does the R&amp;D data platform allow a scientist to retrieve all historical data on a biological target — across every program, every assay, every experiment — in a single search? How is the organization managing the intellectual property and data governance implications of AI-generated molecular designs and computationally derived scientific insights?</w:t>
      </w:r>
    </w:p>
    <w:p>
      <w:pPr>
        <w:pBdr>
          <w:left w:val="single" w:color="C9A84C" w:sz="18" w:space="8"/>
        </w:pBdr>
        <w:shd w:fill="FBF6E9" w:color="auto" w:val="clear"/>
        <w:spacing w:after="120"/>
        <w:ind w:left="240"/>
      </w:pPr>
      <w:r>
        <w:rPr>
          <w:i/>
          <w:iCs/>
          <w:color w:val="1C2333"/>
          <w:sz w:val="21"/>
          <w:szCs w:val="21"/>
        </w:rPr>
        <w:t xml:space="preserve">🌍 REGIONAL SPOTLIGHT: R&amp;D DIGITAL TRANSFORMATION BY GEOGRAPHY</w:t>
      </w:r>
    </w:p>
    <w:p>
      <w:pPr>
        <w:pBdr>
          <w:left w:val="single" w:color="C9A84C" w:sz="18" w:space="8"/>
        </w:pBdr>
        <w:shd w:fill="FBF6E9" w:color="auto" w:val="clear"/>
        <w:spacing w:after="120"/>
        <w:ind w:left="240"/>
      </w:pPr>
      <w:r>
        <w:rPr>
          <w:i/>
          <w:iCs/>
          <w:color w:val="1C2333"/>
          <w:sz w:val="21"/>
          <w:szCs w:val="21"/>
        </w:rPr>
        <w:t xml:space="preserve">In the United States, R&amp;D digital transformation is being driven by two distinct organizational populations: the large multinationals (Pfizer, Merck, AstraZeneca US, J&amp;J) investing hundreds of millions of dollars in enterprise AI programs, and a vibrant cohort of AI-first biotechs (Recursion — which absorbed Exscientia in 2024 — Insilico, Schrödinger, Relay Therapeutics) that were born digital and are competing on discovery speed and pipeline density. The interaction between these populations — through partnerships, acquisitions, and talent flows — is accelerating digital transformation across the sector. In the European Union, the digital R&amp;D landscape is anchored by Roche/Genentech (which has arguably the most mature pharmaceutical AI capability in the world), Novartis (which transformed its AI and data science organization significantly after its 2019 hire of global CDO Bertram Schulze), and Bayer (which has made significant investments in agricultural and pharmaceutical AI through its data science organization). The EU's investment in shared biological data infrastructure — including ELIXIR (the European life science data infrastructure) and the 1 Million Genomes initiative — creates unique opportunities for European companies to leverage public data assets in AI-driven target identification.</w:t>
      </w:r>
    </w:p>
    <w:p>
      <w:pPr>
        <w:spacing w:after="120"/>
      </w:pPr>
      <w:r>
        <w:rPr>
          <w:i w:val="false"/>
          <w:iCs w:val="false"/>
          <w:color w:val="1C2333"/>
          <w:sz w:val="21"/>
          <w:szCs w:val="21"/>
        </w:rPr>
        <w:t xml:space="preserve">In India, R&amp;D digital transformation is at an earlier stage in domestic pharma companies, but there is a significant and growing base of CRO and CDMO (contract research and development and manufacturing) digital capability. Organizations like Syngene (a subsidiary of Biocon), Lambda Therapeutics, and the R&amp;D divisions of Sun Pharma and Dr. Reddy's are investing in computational chemistry platforms, ELN systems, and integrated data platforms. India's deep software engineering talent, combined with its growing capability in bioinformatics and cheminformatics, positions it to build world-class R&amp;D digital capabilities faster than most observers expect.</w:t>
      </w:r>
    </w:p>
    <w:p>
      <w:pPr>
        <w:pStyle w:val="Heading2"/>
        <w:spacing w:after="120" w:before="240"/>
      </w:pPr>
      <w:r>
        <w:rPr>
          <w:b/>
          <w:bCs/>
          <w:color w:val="0D2B55"/>
        </w:rPr>
        <w:t xml:space="preserve">4.10 Open Science, Data Consortia and Pre-Competitive Collaboration</w:t>
      </w:r>
    </w:p>
    <w:p>
      <w:pPr>
        <w:spacing w:after="120"/>
      </w:pPr>
      <w:r>
        <w:rPr>
          <w:i w:val="false"/>
          <w:iCs w:val="false"/>
          <w:color w:val="1C2333"/>
          <w:sz w:val="21"/>
          <w:szCs w:val="21"/>
        </w:rPr>
        <w:t xml:space="preserve">One of the most significant structural shifts in pharmaceutical R&amp;D digitalization is the growing willingness of competing companies to share data pre-competitively — pooling information that benefits the entire industry without creating direct competitive disadvantage, because no single company's proprietary IP is exposed.</w:t>
      </w:r>
    </w:p>
    <w:p>
      <w:pPr>
        <w:spacing w:after="120"/>
      </w:pPr>
      <w:r>
        <w:rPr>
          <w:i w:val="false"/>
          <w:iCs w:val="false"/>
          <w:color w:val="1C2333"/>
          <w:sz w:val="21"/>
          <w:szCs w:val="21"/>
        </w:rPr>
        <w:t xml:space="preserve">MELLODDY (Machine Learning Ledger Orchestration for Drug Discovery). MELLODDY is a landmark consortium of ten major pharmaceutical companies — Bayer, Boehringer Ingelheim, GSK, Janssen, Novo Nordisk, Novartis, Pfizer, Sanofi, Servier, and UCB — that have used federated machine learning to train shared ADMET and bioactivity prediction models across the combined compound libraries of all participating companies, without any company sharing its underlying structures with the others. The federated approach uses secure multi-party computation: each company trains local models on its own data, and only model weight updates (not data) are shared with a central aggregation server. The resulting models — trained on an order of magnitude more data than any single company's library — demonstrate meaningfully better predictive accuracy than company-specific models for ADMET endpoints, particularly for rare structural classes that are well-represented in some company libraries but not others.</w:t>
      </w:r>
    </w:p>
    <w:p>
      <w:pPr>
        <w:spacing w:after="120"/>
      </w:pPr>
      <w:r>
        <w:rPr>
          <w:i w:val="false"/>
          <w:iCs w:val="false"/>
          <w:color w:val="1C2333"/>
          <w:sz w:val="21"/>
          <w:szCs w:val="21"/>
        </w:rPr>
        <w:t xml:space="preserve">IMI (Innovative Medicines Initiative) and EFPIA consortia. The Innovative Medicines Initiative — a public-private partnership between the European Commission and the European pharmaceutical industry federation EFPIA — has funded over €5 billion in collaborative research since 2008, much of it focused on building the shared data infrastructure and computational tools that accelerate drug discovery across the industry. IMI projects including eTRIKS (translational research data platform), EMIF (European Medical Information Framework), and HARMONY (haematology data platform) have created shared data assets and analytical tools that are used by both academic and industry researchers.</w:t>
      </w:r>
    </w:p>
    <w:p>
      <w:pPr>
        <w:spacing w:after="120"/>
      </w:pPr>
      <w:r>
        <w:rPr>
          <w:i w:val="false"/>
          <w:iCs w:val="false"/>
          <w:color w:val="1C2333"/>
          <w:sz w:val="21"/>
          <w:szCs w:val="21"/>
        </w:rPr>
        <w:t xml:space="preserve">Open Targets. Established by GSK, the Wellcome Sanger Institute, the EMBL-European Bioinformatics Institute, and partners, Open Targets is an open-source platform that integrates genetic, genomic, and functional data to identify and prioritise drug targets. The platform covers over 60,000 human genes and scores their evidence as drug targets across 26,000 diseases, using evidence from GWAS studies, rare variant associations, somatic mutations in cancer, and drug target information from approved medicines. By making this target prioritisation intelligence freely available, Open Targets democratises access to the biological evidence that was previously available only to companies with the largest genetics databases.</w:t>
      </w:r>
    </w:p>
    <w:p>
      <w:pPr>
        <w:pStyle w:val="Heading2"/>
        <w:spacing w:after="120" w:before="240"/>
      </w:pPr>
      <w:r>
        <w:rPr>
          <w:b/>
          <w:bCs/>
          <w:color w:val="0D2B55"/>
        </w:rPr>
        <w:t xml:space="preserve">4.11 Biomarker Discovery and Precision Medicine Digital Infrastructure</w:t>
      </w:r>
    </w:p>
    <w:p>
      <w:pPr>
        <w:spacing w:after="120"/>
      </w:pPr>
      <w:r>
        <w:rPr>
          <w:i w:val="false"/>
          <w:iCs w:val="false"/>
          <w:color w:val="1C2333"/>
          <w:sz w:val="21"/>
          <w:szCs w:val="21"/>
        </w:rPr>
        <w:t xml:space="preserve">The emergence of precision medicine — treating patients based on the specific molecular characteristics of their disease rather than the average response of a population — fundamentally changes the digital requirements of pharmaceutical R&amp;D. Building a precision medicine pipeline requires not just better molecules but better patient selection tools, better biomarker measurement capabilities, and better data infrastructure for integrating molecular and clinical data at scale.</w:t>
      </w:r>
    </w:p>
    <w:p>
      <w:pPr>
        <w:spacing w:after="120"/>
      </w:pPr>
      <w:r>
        <w:rPr>
          <w:i w:val="false"/>
          <w:iCs w:val="false"/>
          <w:color w:val="1C2333"/>
          <w:sz w:val="21"/>
          <w:szCs w:val="21"/>
        </w:rPr>
        <w:t xml:space="preserve">Companion diagnostic co-development. Most precision medicine drugs require a companion diagnostic — a test that identifies patients whose tumours (or immune systems, or metabolic profiles) have the specific molecular characteristic that predicts response to the targeted therapy. Co-developing a drug and its companion diagnostic requires deep digital integration between the molecular biology data (sequencing results, protein expression data, metabolomic profiles) and the clinical outcome data (response rates, progression-free survival, overall survival). Building this integrated analytical capability — a biomarker data lake that connects biological measurements with clinical outcomes across multiple studies — is one of the most technically demanding digital challenges in pharmaceutical R&amp;D.</w:t>
      </w:r>
    </w:p>
    <w:p>
      <w:pPr>
        <w:spacing w:after="120"/>
      </w:pPr>
      <w:r>
        <w:rPr>
          <w:i w:val="false"/>
          <w:iCs w:val="false"/>
          <w:color w:val="1C2333"/>
          <w:sz w:val="21"/>
          <w:szCs w:val="21"/>
        </w:rPr>
        <w:t xml:space="preserve">Liquid biopsy and circulating biomarkers. Liquid biopsy — the detection of circulating tumour DNA (ctDNA), circulating tumour cells (CTCs), and exosomes from simple blood draws — is transforming the ability to monitor treatment response and detect disease recurrence without invasive tissue sampling. Pharmaceutical companies are building liquid biopsy analytics platforms that can detect the emergence of resistance mutations in ctDNA before they become clinically apparent — enabling adaptive treatment strategies that could dramatically extend the effectiveness of targeted therapies. The computational challenge is substantial: ctDNA is present at vanishingly small concentrations, requiring extremely sensitive sequencing assays and sophisticated signal extraction algorithms to distinguish true mutation signals from sequencing noise.</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4.1: AI-Augmented Drug Discovery Pipeline — Target to Preclinical Candidate</w:t>
      </w:r>
    </w:p>
    <w:p>
      <w:r>
        <w:br w:type="page"/>
      </w:r>
    </w:p>
    <w:p>
      <w:pPr>
        <w:pStyle w:val="Heading1"/>
        <w:spacing w:after="120" w:before="240"/>
      </w:pPr>
      <w:r>
        <w:rPr>
          <w:b/>
          <w:bCs/>
          <w:color w:val="0D2B55"/>
        </w:rPr>
        <w:t xml:space="preserve">Chapter 5: Clinical Trials — Digital Transformation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Clinical development is the most resource-intensive phase of the pharmaceutical value chain — consuming over 60 percent of total R&amp;D expenditure and driving the vast majority of the industry's risk-adjusted losses. A single Phase III failure can destroy USD 500 million to USD 2 billion of invested capital and set a therapeutic program back by a decade. Digital transformation of clinical operations does not eliminate this risk, but it materially changes the probability distribution: better patient selection, smarter trial designs, faster recruitment, real-time risk detection, and richer data packages delivered to regulators more efficiently. This chapter explores the full architecture of the digitally enabled clinical trial — from protocol design through data submission — and examines how the pandemic-accelerated shift to decentralized trials is permanently reshaping how evidence is generated in medicine.</w:t>
      </w:r>
    </w:p>
    <w:p>
      <w:pPr>
        <w:pStyle w:val="Heading2"/>
        <w:spacing w:after="120" w:before="240"/>
      </w:pPr>
      <w:r>
        <w:rPr>
          <w:b/>
          <w:bCs/>
          <w:color w:val="0D2B55"/>
        </w:rPr>
        <w:t xml:space="preserve">5.1 The Clinical Trial Crisis: Recruitment, Cost, and Complexity</w:t>
      </w:r>
    </w:p>
    <w:p>
      <w:pPr>
        <w:spacing w:after="120"/>
      </w:pPr>
      <w:r>
        <w:rPr>
          <w:i w:val="false"/>
          <w:iCs w:val="false"/>
          <w:color w:val="1C2333"/>
          <w:sz w:val="21"/>
          <w:szCs w:val="21"/>
        </w:rPr>
        <w:t xml:space="preserve">The statistics describing the clinical trial crisis are well known but worth stating plainly because they are the foundation for every digital investment decision in this domain. Over 80 percent of clinical trials fail to meet their enrollment timelines, with the average delay exceeding six months. Each day of delay in a Phase III trial costs a branded pharma company between USD 500,000 and USD 1 million in foregone revenue. Patient dropout rates of 30 percent or higher are common in chronic disease trials, compromising statistical power and inflating sample size requirements. And the complexity of protocol requirements has grown steadily over the past two decades — the number of procedures per trial patient has more than tripled since the 1990s — placing increasing burden on investigators, site staff, and patients alike.</w:t>
      </w:r>
    </w:p>
    <w:p>
      <w:pPr>
        <w:spacing w:after="120"/>
      </w:pPr>
      <w:r>
        <w:rPr>
          <w:i w:val="false"/>
          <w:iCs w:val="false"/>
          <w:color w:val="1C2333"/>
          <w:sz w:val="21"/>
          <w:szCs w:val="21"/>
        </w:rPr>
        <w:t xml:space="preserve">These inefficiencies are not primarily caused by poor execution. They are structural: trials are designed, enrolled, and conducted using systems and processes built for a paper-based world, inefficiently mapped onto electronic systems that do not genuinely communicate with each other or with the healthcare ecosystem from which patients are recruited. The electronic data capture (EDC) system does not talk to the clinical trial management system (CTMS). The CTMS does not feed the risk-based monitoring platform in real time. The patient-reported outcomes platform sends daily reminders but has no connection to the wearable sensor generating passive continuous data. The investigator receives source documents by fax.</w:t>
      </w:r>
    </w:p>
    <w:p>
      <w:pPr>
        <w:spacing w:after="120"/>
      </w:pPr>
      <w:r>
        <w:rPr>
          <w:i w:val="false"/>
          <w:iCs w:val="false"/>
          <w:color w:val="1C2333"/>
          <w:sz w:val="21"/>
          <w:szCs w:val="21"/>
        </w:rPr>
        <w:t xml:space="preserve">Digital transformation of clinical trials is fundamentally about redesigning these information flows — making data liquid, connected, and actionable — so that the enormous amount of clinical intelligence being generated in every trial is available in real time to every stakeholder who needs it.</w:t>
      </w:r>
    </w:p>
    <w:p>
      <w:pPr>
        <w:pStyle w:val="Heading2"/>
        <w:spacing w:after="120" w:before="240"/>
      </w:pPr>
      <w:r>
        <w:rPr>
          <w:b/>
          <w:bCs/>
          <w:color w:val="0D2B55"/>
        </w:rPr>
        <w:t xml:space="preserve">5.2 Protocol Design: Digital Feasibility and AI-Optimized Trial Design</w:t>
      </w:r>
    </w:p>
    <w:p>
      <w:pPr>
        <w:spacing w:after="120"/>
      </w:pPr>
      <w:r>
        <w:rPr>
          <w:i w:val="false"/>
          <w:iCs w:val="false"/>
          <w:color w:val="1C2333"/>
          <w:sz w:val="21"/>
          <w:szCs w:val="21"/>
        </w:rPr>
        <w:t xml:space="preserve">The digital transformation of clinical operations begins before the first patient is enrolled — it begins at protocol design. Protocols that are designed with insufficient regard for real-world patient availability, site operational capacity, and the complexity burden on patients and investigators are the upstream cause of the recruitment, dropout, and quality failures that manifest downstream.</w:t>
      </w:r>
    </w:p>
    <w:p>
      <w:pPr>
        <w:spacing w:after="120"/>
      </w:pPr>
      <w:r>
        <w:rPr>
          <w:i w:val="false"/>
          <w:iCs w:val="false"/>
          <w:color w:val="1C2333"/>
          <w:sz w:val="21"/>
          <w:szCs w:val="21"/>
        </w:rPr>
        <w:t xml:space="preserve">Digital protocol optimization tools leverage multiple data sources — electronic health records, claims data, patient registry data, and historical trial performance data — to predict, before a protocol is finalized, how many patients meeting the eligibility criteria actually exist in accessible healthcare settings, what the expected recruitment rate will be at candidate sites, and which eligibility criteria are creating unnecessary patient burden without adding scientific or regulatory value.</w:t>
      </w:r>
    </w:p>
    <w:p>
      <w:pPr>
        <w:spacing w:after="120"/>
      </w:pPr>
      <w:r>
        <w:rPr>
          <w:i w:val="false"/>
          <w:iCs w:val="false"/>
          <w:color w:val="1C2333"/>
          <w:sz w:val="21"/>
          <w:szCs w:val="21"/>
        </w:rPr>
        <w:t xml:space="preserve">The concept of protocol digitization — converting the protocol document from a PDF into a structured, machine-readable data object — is an important enabling step. When protocol elements (eligibility criteria, assessment schedules, endpoints) are structured data rather than free text, they can be automatically compared against patient-level data to assess feasibility, automatically translated into the clinical systems used at study sites, and automatically tracked for deviation during trial execution. Protocol digitization is a foundational investment that pays dividends across the entire trial lifecycle.</w:t>
      </w:r>
    </w:p>
    <w:p>
      <w:pPr>
        <w:pStyle w:val="Heading2"/>
        <w:spacing w:after="120" w:before="240"/>
      </w:pPr>
      <w:r>
        <w:rPr>
          <w:b/>
          <w:bCs/>
          <w:color w:val="0D2B55"/>
        </w:rPr>
        <w:t xml:space="preserve">5.3 Patient Identification and Recruitment: Precision Enrollment</w:t>
      </w:r>
    </w:p>
    <w:p>
      <w:pPr>
        <w:spacing w:after="120"/>
      </w:pPr>
      <w:r>
        <w:rPr>
          <w:i w:val="false"/>
          <w:iCs w:val="false"/>
          <w:color w:val="1C2333"/>
          <w:sz w:val="21"/>
          <w:szCs w:val="21"/>
        </w:rPr>
        <w:t xml:space="preserve">Patient recruitment is consistently cited as the clinical development function with the greatest unmet need for digital transformation. It is also one where the evidence of digital impact is clearest and most quantifiable.</w:t>
      </w:r>
    </w:p>
    <w:p>
      <w:pPr>
        <w:spacing w:after="120"/>
      </w:pPr>
      <w:r>
        <w:rPr>
          <w:i w:val="false"/>
          <w:iCs w:val="false"/>
          <w:color w:val="1C2333"/>
          <w:sz w:val="21"/>
          <w:szCs w:val="21"/>
        </w:rPr>
        <w:t xml:space="preserve">Traditional recruitment relies on investigator networks, patient registries, and disease advocacy group outreach — effective but slow and often geographically concentrated. Digital recruitment platforms add several new dimensions. Electronic health record analytics — searching aggregated, de-identified patient data from health system EHR networks to identify patients who match trial eligibility criteria and who are being seen at sites capable of conducting the trial — has demonstrated recruitment acceleration of 30 to 60 percent in multiple published studies. Social media and digital patient community platforms allow sponsors to reach patients directly, with regulatory-approved messaging, in the channels where patients with specific diseases congregate online. And AI-driven site selection tools — analyzing historical site performance data, patient density maps, investigator experience scores, and site operational metrics — are improving the predictive accuracy of site selection decisions and reducing the proportion of enrolled sites that underperform.</w:t>
      </w:r>
    </w:p>
    <w:p>
      <w:pPr>
        <w:spacing w:after="120"/>
      </w:pPr>
      <w:r>
        <w:rPr>
          <w:i w:val="false"/>
          <w:iCs w:val="false"/>
          <w:color w:val="1C2333"/>
          <w:sz w:val="21"/>
          <w:szCs w:val="21"/>
        </w:rPr>
        <w:t xml:space="preserve">The most advanced organizations are building patient recruitment as a continuous, analytics-driven capability rather than a reactive scramble. This means maintaining a digital patient registry infrastructure that is continuously updated with data from partner health systems and patient advocacy platforms, running predictive models that identify recruitment risks several weeks before they materialize, and deploying operational response protocols — adding sites, adjusting eligibility criteria, activating backup communication channels — based on early warning signals rather than after enrollment targets have been missed.</w:t>
      </w:r>
    </w:p>
    <w:p>
      <w:pPr>
        <w:pBdr>
          <w:left w:val="single" w:color="C9A84C" w:sz="18" w:space="8"/>
        </w:pBdr>
        <w:shd w:fill="FBF6E9" w:color="auto" w:val="clear"/>
        <w:spacing w:after="120"/>
        <w:ind w:left="240"/>
      </w:pPr>
      <w:r>
        <w:rPr>
          <w:i/>
          <w:iCs/>
          <w:color w:val="1C2333"/>
          <w:sz w:val="21"/>
          <w:szCs w:val="21"/>
        </w:rPr>
        <w:t xml:space="preserve">📋 CASE STUDY: REAL-WORLD CASE STUDY: PFIZER'S COVID-19 VACCINE TRIAL RECRUITMENT</w:t>
      </w:r>
    </w:p>
    <w:p>
      <w:pPr>
        <w:pBdr>
          <w:left w:val="single" w:color="C9A84C" w:sz="18" w:space="8"/>
        </w:pBdr>
        <w:shd w:fill="FBF6E9" w:color="auto" w:val="clear"/>
        <w:spacing w:after="120"/>
        <w:ind w:left="240"/>
      </w:pPr>
      <w:r>
        <w:rPr>
          <w:i/>
          <w:iCs/>
          <w:color w:val="1C2333"/>
          <w:sz w:val="21"/>
          <w:szCs w:val="21"/>
        </w:rPr>
        <w:t xml:space="preserve">The COMIRNATY BNT162b2 (COVID-19 vaccine) Phase III trial, conducted in partnership with BioNTech, enrolled approximately 43,000 participants across multiple countries in under four months — a recruitment pace that would have been inconceivable in a conventional trial. The recruitment was enabled by a combination of digital outreach, centralized screening through a digital participant portal, and protocol simplification. The trial demonstrated that with the right digital infrastructure and organizational will, recruitment at scale can be compressed dramatically. Many of the digital tools piloted in COVID vaccine trials are now being systematically deployed in oncology and rare disease programs.</w:t>
      </w:r>
    </w:p>
    <w:p>
      <w:pPr>
        <w:pStyle w:val="Heading2"/>
        <w:spacing w:after="120" w:before="240"/>
      </w:pPr>
      <w:r>
        <w:rPr>
          <w:b/>
          <w:bCs/>
          <w:color w:val="0D2B55"/>
        </w:rPr>
        <w:t xml:space="preserve">5.4 Decentralized and Hybrid Clinical Trials</w:t>
      </w:r>
    </w:p>
    <w:p>
      <w:pPr>
        <w:spacing w:after="120"/>
      </w:pPr>
      <w:r>
        <w:rPr>
          <w:i w:val="false"/>
          <w:iCs w:val="false"/>
          <w:color w:val="1C2333"/>
          <w:sz w:val="21"/>
          <w:szCs w:val="21"/>
        </w:rPr>
        <w:t xml:space="preserve">The shift from fully site-based to decentralized or hybrid clinical trials represents the single most transformative change in clinical development methodology in at least two decades. Driven initially by patient convenience advocacy and practical site access challenges, the transition was dramatically accelerated by COVID-19, which forced the industry to implement remote assessments, electronic consent, direct-to-patient drug delivery, and home nursing visits at scale and pace — and to discover that regulators would accept the resulting data.</w:t>
      </w:r>
    </w:p>
    <w:p>
      <w:pPr>
        <w:spacing w:after="120"/>
      </w:pPr>
      <w:r>
        <w:rPr>
          <w:i w:val="false"/>
          <w:iCs w:val="false"/>
          <w:color w:val="1C2333"/>
          <w:sz w:val="21"/>
          <w:szCs w:val="21"/>
        </w:rPr>
        <w:t xml:space="preserve">A decentralized clinical trial (DCT) replaces some or all of the traditional investigator site visits with remote interactions: video-based clinical assessments, wearable sensor-based outcome measurement, electronic patient-reported outcomes (ePRO) collected continuously on smartphones, at-home sample collection (blood, saliva, urine) with local laboratory processing, and telemedicine consultations. In a fully decentralized trial, the patient may complete the entire trial from home. In a hybrid trial — the dominant model for complex interventional studies — site visits are reserved for procedures that genuinely require them (imaging, infusions, complex examinations), while all other assessments are conducted remotely.</w:t>
      </w:r>
    </w:p>
    <w:p>
      <w:pPr>
        <w:spacing w:after="120"/>
      </w:pPr>
      <w:r>
        <w:rPr>
          <w:i w:val="false"/>
          <w:iCs w:val="false"/>
          <w:color w:val="1C2333"/>
          <w:sz w:val="21"/>
          <w:szCs w:val="21"/>
        </w:rPr>
        <w:t xml:space="preserve">The digital technology stack enabling decentralized trials spans electronic consent platforms (eConsent), remote patient monitoring (RPM) platforms, wearables and biosensors, electronic patient diaries, direct-to-patient drug delivery and temperature monitoring logistics, and teleconsultation platforms compliant with telehealth regulations in each jurisdiction. Integrating these components into a coherent patient experience — and ensuring the resulting data meets regulatory standards for clinical trial data quality — requires sophisticated system integration and data governance.</w:t>
      </w:r>
    </w:p>
    <w:p>
      <w:pPr>
        <w:spacing w:after="120"/>
      </w:pPr>
      <w:r>
        <w:rPr>
          <w:i w:val="false"/>
          <w:iCs w:val="false"/>
          <w:color w:val="1C2333"/>
          <w:sz w:val="21"/>
          <w:szCs w:val="21"/>
        </w:rPr>
        <w:t xml:space="preserve">The regulatory framework for DCTs has matured significantly. The FDA's 2023 guidance on decentralized trials, the EMA's DCT pilot results, and the ICH E6 (R3) GCP revision (finalizing in 2025) all provide clearer frameworks for acceptable DCT evidence — removing a major source of regulatory uncertainty that previously constrained adoption.</w:t>
      </w:r>
    </w:p>
    <w:p>
      <w:pPr>
        <w:pStyle w:val="Heading2"/>
        <w:spacing w:after="120" w:before="240"/>
      </w:pPr>
      <w:r>
        <w:rPr>
          <w:b/>
          <w:bCs/>
          <w:color w:val="0D2B55"/>
        </w:rPr>
        <w:t xml:space="preserve">5.5 Real-Time Data Quality and Risk-Based Monitoring</w:t>
      </w:r>
    </w:p>
    <w:p>
      <w:pPr>
        <w:spacing w:after="120"/>
      </w:pPr>
      <w:r>
        <w:rPr>
          <w:i w:val="false"/>
          <w:iCs w:val="false"/>
          <w:color w:val="1C2333"/>
          <w:sz w:val="21"/>
          <w:szCs w:val="21"/>
        </w:rPr>
        <w:t xml:space="preserve">Traditional clinical trial monitoring — the 100 percent source data verification model where monitors visit sites to compare every data entry against the source document — is simultaneously the largest single operational cost in clinical trials and the least effective safeguard against data quality problems. Numerous analyses have demonstrated that on-site monitoring finds fewer critical errors than a comparable investment in centralized statistical surveillance of trial data streams, while costing five to ten times as much per detected issue.</w:t>
      </w:r>
    </w:p>
    <w:p>
      <w:pPr>
        <w:spacing w:after="120"/>
      </w:pPr>
      <w:r>
        <w:rPr>
          <w:i w:val="false"/>
          <w:iCs w:val="false"/>
          <w:color w:val="1C2333"/>
          <w:sz w:val="21"/>
          <w:szCs w:val="21"/>
        </w:rPr>
        <w:t xml:space="preserve">Risk-based monitoring (RBM), as defined in FDA and ICH guidance, replaces the reflexive 100 percent SDV model with a targeted approach that concentrates monitoring effort on the data elements, sites, and time periods where the risk of quality failure is highest — informed by real-time central statistical review of incoming trial data. Implementing RBM effectively requires a clinical data management platform that delivers trial data in near-real-time (rather than the batch uploads typical of legacy EDC systems), statistical models that can detect anomalous data patterns indicative of entry error, fabrication, or protocol non-compliance, and a monitoring operations platform that translates risk signals into specific monitoring actions.</w:t>
      </w:r>
    </w:p>
    <w:p>
      <w:pPr>
        <w:spacing w:after="120"/>
      </w:pPr>
      <w:r>
        <w:rPr>
          <w:i w:val="false"/>
          <w:iCs w:val="false"/>
          <w:color w:val="1C2333"/>
          <w:sz w:val="21"/>
          <w:szCs w:val="21"/>
        </w:rPr>
        <w:t xml:space="preserve">The most advanced clinical operations organizations are moving beyond RBM to continuous quality management — an operating model in which the trial data is under permanent analytical surveillance, every risk signal generates an automated workflow, and the monitoring and data management teams operate in an integrated data operations center that has real-time visibility into every active trial. This operating model is ambitious but achievable, and several large CROs and pharma companies have implemented versions of it.</w:t>
      </w:r>
    </w:p>
    <w:p>
      <w:pPr>
        <w:pStyle w:val="Heading2"/>
        <w:spacing w:after="120" w:before="240"/>
      </w:pPr>
      <w:r>
        <w:rPr>
          <w:b/>
          <w:bCs/>
          <w:color w:val="0D2B55"/>
        </w:rPr>
        <w:t xml:space="preserve">5.6 Digital Biomarkers and Wearable Technologies in Clinical Endpoints</w:t>
      </w:r>
    </w:p>
    <w:p>
      <w:pPr>
        <w:spacing w:after="120"/>
      </w:pPr>
      <w:r>
        <w:rPr>
          <w:i w:val="false"/>
          <w:iCs w:val="false"/>
          <w:color w:val="1C2333"/>
          <w:sz w:val="21"/>
          <w:szCs w:val="21"/>
        </w:rPr>
        <w:t xml:space="preserve">One of the most scientifically significant dimensions of clinical trial digitalization is the use of continuous, wearable sensor data to generate novel clinical endpoints. Traditional clinical outcomes — physician-rated scales, periodic laboratory measurements, survival and hospitalization — capture the patient's status at isolated moments in time and are subject to regression to the mean, rater variability, and recall bias. Wearable sensors generate continuous, objective measurements of physiological and behavioral parameters that provide a richer, more granular picture of patient status and treatment response.</w:t>
      </w:r>
    </w:p>
    <w:p>
      <w:pPr>
        <w:spacing w:after="120"/>
      </w:pPr>
      <w:r>
        <w:rPr>
          <w:i w:val="false"/>
          <w:iCs w:val="false"/>
          <w:color w:val="1C2333"/>
          <w:sz w:val="21"/>
          <w:szCs w:val="21"/>
        </w:rPr>
        <w:t xml:space="preserve">In neurology, accelerometer-based wrist and ankle sensors are generating digital biomarkers of Parkinson's disease progression that are more sensitive and more reproducible than standard clinical rating scales. In cardiology, FDA-approved consumer wearables are detecting atrial fibrillation episodes in clinical trials with accuracy comparable to Holter monitors. In oncology, sleep quality, activity levels, and resting heart rate variability — all captured by consumer wearables — are emerging as meaningful indicators of patient-reported outcomes like fatigue and quality of life. In rare diseases, where trial populations are small and traditional statistical power is limited, the higher information density of continuous sensor data is enabling the demonstration of treatment effects that would be statistically invisible in point-in-time assessments.</w:t>
      </w:r>
    </w:p>
    <w:p>
      <w:pPr>
        <w:spacing w:after="120"/>
      </w:pPr>
      <w:r>
        <w:rPr>
          <w:i w:val="false"/>
          <w:iCs w:val="false"/>
          <w:color w:val="1C2333"/>
          <w:sz w:val="21"/>
          <w:szCs w:val="21"/>
        </w:rPr>
        <w:t xml:space="preserve">The path from wearable data to regulatory-accepted endpoint is a governance and validation challenge. Digital endpoint qualification — the process of establishing that a sensor-derived measure is a valid representation of a meaningful clinical concept — requires a structured evidentiary program that most organizations are still building. The DDT Biomarker Qualification programs at the FDA, EMA, and the Digital Medicine Society (DiMe)'s V3 framework for digital endpoints are providing the regulatory and methodological scaffolding for this qualification process.</w:t>
      </w:r>
    </w:p>
    <w:p>
      <w:pPr>
        <w:pStyle w:val="Heading2"/>
        <w:spacing w:after="120" w:before="240"/>
      </w:pPr>
      <w:r>
        <w:rPr>
          <w:b/>
          <w:bCs/>
          <w:color w:val="0D2B55"/>
        </w:rPr>
        <w:t xml:space="preserve">5.7 Clinical Data Management and eCTD Submission</w:t>
      </w:r>
    </w:p>
    <w:p>
      <w:pPr>
        <w:spacing w:after="120"/>
      </w:pPr>
      <w:r>
        <w:rPr>
          <w:i w:val="false"/>
          <w:iCs w:val="false"/>
          <w:color w:val="1C2333"/>
          <w:sz w:val="21"/>
          <w:szCs w:val="21"/>
        </w:rPr>
        <w:t xml:space="preserve">The endpoint of clinical data management is a regulatory submission package — the evidence dossier that regulators review to determine whether a drug is safe and effective enough to approve. The digital transformation of this process — from data collection through integrated clinical study reports and electronic Common Technical Document (eCTD) compilation — has been underway for two decades but remains incomplete.</w:t>
      </w:r>
    </w:p>
    <w:p>
      <w:pPr>
        <w:spacing w:after="120"/>
      </w:pPr>
      <w:r>
        <w:rPr>
          <w:i w:val="false"/>
          <w:iCs w:val="false"/>
          <w:color w:val="1C2333"/>
          <w:sz w:val="21"/>
          <w:szCs w:val="21"/>
        </w:rPr>
        <w:t xml:space="preserve">Modern clinical data management platforms (CDMPs) integrate EDC, CTMS, medical coding, safety data management, and statistical programming environments into a unified, audit-trailed workflow. The goal is a single authoritative source of clinical data — the clinical data repository — from which all downstream analyses, reports, and regulatory documents are derived. This single-source architecture eliminates the version control and data provenance nightmares that have historically made regulatory submission preparation an error-prone, multi-month exercise in reconciliation.</w:t>
      </w:r>
    </w:p>
    <w:p>
      <w:pPr>
        <w:spacing w:after="120"/>
      </w:pPr>
      <w:r>
        <w:rPr>
          <w:i w:val="false"/>
          <w:iCs w:val="false"/>
          <w:color w:val="1C2333"/>
          <w:sz w:val="21"/>
          <w:szCs w:val="21"/>
        </w:rPr>
        <w:t xml:space="preserve">The eCTD standard, now required for all major regulatory markets, structures the submission package as a defined hierarchy of documents in a machine-readable format. Organizations with well-integrated clinical data platforms can automate a significant fraction of eCTD compilation — extracting data from validated sources, populating standard templates, and generating linked cross-references within the submission document. The reduction in cycle time and error rate from this automation is substantial: leading organizations report a 40 to 50 percent reduction in submission preparation time compared to legacy processes.</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What is the organization's current clinical trial cycle time — from first patient enrolled to database lock — relative to the industry benchmark for comparable trial types? What fraction of active trials are using risk-based monitoring with real-time central statistical surveillance, and what has been the measured impact on data quality and monitoring costs? Has the organization committed to a decentralized or hybrid trial strategy for appropriate programs, and if not, what is the planned path to DCT capability? How long does it currently take to prepare and submit an eCTD, and what is the plan to reduce this cycle time through automation?</w:t>
      </w:r>
    </w:p>
    <w:p>
      <w:pPr>
        <w:pBdr>
          <w:left w:val="single" w:color="C9A84C" w:sz="18" w:space="8"/>
        </w:pBdr>
        <w:shd w:fill="FBF6E9" w:color="auto" w:val="clear"/>
        <w:spacing w:after="120"/>
        <w:ind w:left="240"/>
      </w:pPr>
      <w:r>
        <w:rPr>
          <w:i/>
          <w:iCs/>
          <w:color w:val="1C2333"/>
          <w:sz w:val="21"/>
          <w:szCs w:val="21"/>
        </w:rPr>
        <w:t xml:space="preserve">🌍 REGIONAL SPOTLIGHT: CLINICAL TRIAL DIGITALIZATION BY GEOGRAPHY</w:t>
      </w:r>
    </w:p>
    <w:p>
      <w:pPr>
        <w:pBdr>
          <w:left w:val="single" w:color="C9A84C" w:sz="18" w:space="8"/>
        </w:pBdr>
        <w:shd w:fill="FBF6E9" w:color="auto" w:val="clear"/>
        <w:spacing w:after="120"/>
        <w:ind w:left="240"/>
      </w:pPr>
      <w:r>
        <w:rPr>
          <w:i/>
          <w:iCs/>
          <w:color w:val="1C2333"/>
          <w:sz w:val="21"/>
          <w:szCs w:val="21"/>
        </w:rPr>
        <w:t xml:space="preserve">The United States is the global leader in DCT adoption, driven by the FDA's progressive regulatory stance on remote assessments and digital endpoints, the maturity of the US telehealth regulatory framework post-COVID, and the density of the US clinical site network. US CROs — including IQVIA, PPD, Covance, and Parexel — have all built DCT service offerings and are driving their pharma clients toward hybrid and fully decentralized designs for appropriate indication areas. The European Union presents a more complex DCT landscape due to the fragmentation of national health system structures and telehealth regulations across member states. A decentralized trial element that is straightforward in Germany may require separate regulatory analysis in France, Poland, and Italy. The EMA's DCT guidance and the In Silico Trials initiative are creating common frameworks, but EU DCT adoption lags the US by 12 to 18 months in most therapeutic areas.</w:t>
      </w:r>
    </w:p>
    <w:p>
      <w:pPr>
        <w:spacing w:after="120"/>
      </w:pPr>
      <w:r>
        <w:rPr>
          <w:i w:val="false"/>
          <w:iCs w:val="false"/>
          <w:color w:val="1C2333"/>
          <w:sz w:val="21"/>
          <w:szCs w:val="21"/>
        </w:rPr>
        <w:t xml:space="preserve">India is an emerging clinical trial market with growing digital capabilities. The CDSCO has been modernizing its clinical trial framework following the 2019 clinical trial regulations revision, and the Ayushman Bharat Digital Mission's electronic health record infrastructure creates a foundation for site identification and patient screening analytics that did not previously exist. India's large, treatment-naive patient populations in therapeutic areas like infectious disease, diabetes, and oncology make it a high-value recruitment geography — and the ability to identify and recruit these patients through digital platforms is a growing capability among Indian CROs such as Syngene, Lambda, and the clinical operations divisions of Indian CROs serving global pharma clients.</w:t>
      </w:r>
    </w:p>
    <w:p>
      <w:pPr>
        <w:pStyle w:val="Heading2"/>
        <w:spacing w:after="120" w:before="240"/>
      </w:pPr>
      <w:r>
        <w:rPr>
          <w:b/>
          <w:bCs/>
          <w:color w:val="0D2B55"/>
        </w:rPr>
        <w:t xml:space="preserve">5.9 Clinical Supply Chain Digitalisation</w:t>
      </w:r>
    </w:p>
    <w:p>
      <w:pPr>
        <w:spacing w:after="120"/>
      </w:pPr>
      <w:r>
        <w:rPr>
          <w:i w:val="false"/>
          <w:iCs w:val="false"/>
          <w:color w:val="1C2333"/>
          <w:sz w:val="21"/>
          <w:szCs w:val="21"/>
        </w:rPr>
        <w:t xml:space="preserve">The management of investigational medicinal product (IMP) supply for clinical trials is one of the most complex logistics challenges in the pharmaceutical industry. A global Phase III trial may require supplying 200+ investigator sites across 30+ countries with temperature-controlled, serialised, randomised drug supplies over a period of 3–5 years — managing expiry, randomisation codes, country-specific labelling requirements, customs documentation, and cold chain integrity simultaneously.</w:t>
      </w:r>
    </w:p>
    <w:p>
      <w:pPr>
        <w:spacing w:after="120"/>
      </w:pPr>
      <w:r>
        <w:rPr>
          <w:i w:val="false"/>
          <w:iCs w:val="false"/>
          <w:color w:val="1C2333"/>
          <w:sz w:val="21"/>
          <w:szCs w:val="21"/>
        </w:rPr>
        <w:t xml:space="preserve">Interactive Response Technology evolution. The Interactive Response Technology (IRT) systems that manage clinical trial randomisation and drug supply — historically called IVRS (Interactive Voice Response Systems) and IWRS (Interactive Web Response Systems) — have evolved into sophisticated supply chain management platforms. Modern IRT systems manage the full lifecycle of clinical supply: predicting site-level demand based on enrolment trajectories, triggering resupply shipments when site inventory falls below safety stock levels, managing drug expiry and relabelling, handling unblinding for safety events, and providing real-time supply status dashboards to clinical supply managers globally.</w:t>
      </w:r>
    </w:p>
    <w:p>
      <w:pPr>
        <w:spacing w:after="120"/>
      </w:pPr>
      <w:r>
        <w:rPr>
          <w:i w:val="false"/>
          <w:iCs w:val="false"/>
          <w:color w:val="1C2333"/>
          <w:sz w:val="21"/>
          <w:szCs w:val="21"/>
        </w:rPr>
        <w:t xml:space="preserve">AI-powered demand forecasting. Clinical supply waste — investigational product manufactured but never used, due to enrolment uncertainty, site closures, or expiry — represents one of the largest categories of clinical trial cost waste. AI-powered demand forecasting models that integrate real-time enrolment data with site-level performance models, historical supply consumption patterns, and patient dropout rates are beginning to demonstrate meaningful reductions in clinical supply waste — estimated at 15–25% reduction in several published case studies. These models are most valuable in the middle and late phases of large global trials, where the combination of high drug cost and high uncertainty creates the largest waste risk.</w:t>
      </w:r>
    </w:p>
    <w:p>
      <w:pPr>
        <w:pStyle w:val="Heading2"/>
        <w:spacing w:after="120" w:before="240"/>
      </w:pPr>
      <w:r>
        <w:rPr>
          <w:b/>
          <w:bCs/>
          <w:color w:val="0D2B55"/>
        </w:rPr>
        <w:t xml:space="preserve">5.10 Diversity and Inclusion in Digital Clinical Trials</w:t>
      </w:r>
    </w:p>
    <w:p>
      <w:pPr>
        <w:spacing w:after="120"/>
      </w:pPr>
      <w:r>
        <w:rPr>
          <w:i w:val="false"/>
          <w:iCs w:val="false"/>
          <w:color w:val="1C2333"/>
          <w:sz w:val="21"/>
          <w:szCs w:val="21"/>
        </w:rPr>
        <w:t xml:space="preserve">The historical underrepresentation of women, older adults, racial and ethnic minorities, and patients from low-income backgrounds in clinical trials has produced a drug development evidence base that is systematically less informative about therapeutic outcomes for these populations. Digital tools are being deployed to address this gap — though with important caveats about the digital access disparities that can make technology-enabled trials more exclusive rather than more inclusive if not designed carefully.</w:t>
      </w:r>
    </w:p>
    <w:p>
      <w:pPr>
        <w:spacing w:after="120"/>
      </w:pPr>
      <w:r>
        <w:rPr>
          <w:i w:val="false"/>
          <w:iCs w:val="false"/>
          <w:color w:val="1C2333"/>
          <w:sz w:val="21"/>
          <w:szCs w:val="21"/>
        </w:rPr>
        <w:t xml:space="preserve">Digital recruitment for diversity. AI-powered patient identification tools that search EHR networks for eligible patients can actively seek populations that are underrepresented in traditional trial recruitment — reaching patients in community health systems that serve minority and low-income populations, identifying patients through federally qualified health centers (FQHCs), and targeting recruitment outreach through channels that reach diverse populations. The FDA's 2022 draft guidance on diversity plans for clinical studies explicitly encourages sponsors to use digital tools for inclusive recruitment, and requires sponsors to submit diversity action plans for Phase III clinical trials.</w:t>
      </w:r>
    </w:p>
    <w:p>
      <w:pPr>
        <w:spacing w:after="120"/>
      </w:pPr>
      <w:r>
        <w:rPr>
          <w:i w:val="false"/>
          <w:iCs w:val="false"/>
          <w:color w:val="1C2333"/>
          <w:sz w:val="21"/>
          <w:szCs w:val="21"/>
        </w:rPr>
        <w:t xml:space="preserve">DCT elements as inclusion tools. Counterintuitively, decentralised trial elements — home visits, telemedicine assessments, direct-to-patient drug delivery — can improve diversity inclusion by removing the geographic and logistical barriers that prevent patients who cannot take time off work, cannot arrange childcare, or cannot travel to academic medical centers from participating in clinical trials. Designing DCT elements specifically for diverse and underserved populations — including language accessibility, community health worker integration, and culturally competent study communications — is emerging as a best practice in trial design.</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5.1: Decentralised Clinical Trial (DCT) Spectrum</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5.2: Clinical Trial Cost Breakdown and Digital Reduction Opportunities</w:t>
      </w:r>
    </w:p>
    <w:p>
      <w:r>
        <w:br w:type="page"/>
      </w:r>
    </w:p>
    <w:p>
      <w:pPr>
        <w:pStyle w:val="Heading1"/>
        <w:spacing w:after="120" w:before="240"/>
      </w:pPr>
      <w:r>
        <w:rPr>
          <w:b/>
          <w:bCs/>
          <w:color w:val="0D2B55"/>
        </w:rPr>
        <w:t xml:space="preserve">Chapter 6: Manufacturing &amp; Supply Chain — Digital Transformation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Pharmaceutical manufacturing occupies a unique position in the digital transformation landscape: it is simultaneously one of the most heavily regulated industrial sectors on earth and one of the least digitally mature relative to its peers. A consumer electronics manufacturer or automotive plant with comparable revenue would have implemented real-time process analytics, predictive maintenance, and digital quality management years ago. Yet the average pharmaceutical manufacturing facility still relies on paper batch records, manual in-process sampling, reactive deviation management, and siloed process data stored in disparate systems that rarely talk to each other. The gap between what is technically possible and what has actually been implemented in pharma manufacturing represents one of the largest untapped value creation opportunities in the entire industry. This chapter provides a comprehensive blueprint for closing that gap — and for building a supply chain that is as digitally intelligent as the science it supports.</w:t>
      </w:r>
    </w:p>
    <w:p>
      <w:pPr>
        <w:pStyle w:val="Heading2"/>
        <w:spacing w:after="120" w:before="240"/>
      </w:pPr>
      <w:r>
        <w:rPr>
          <w:b/>
          <w:bCs/>
          <w:color w:val="0D2B55"/>
        </w:rPr>
        <w:t xml:space="preserve">6.1 The Case for Manufacturing Digitalization</w:t>
      </w:r>
    </w:p>
    <w:p>
      <w:pPr>
        <w:spacing w:after="120"/>
      </w:pPr>
      <w:r>
        <w:rPr>
          <w:i w:val="false"/>
          <w:iCs w:val="false"/>
          <w:color w:val="1C2333"/>
          <w:sz w:val="21"/>
          <w:szCs w:val="21"/>
        </w:rPr>
        <w:t xml:space="preserve">The financial and quality imperatives for pharmaceutical manufacturing digitalization are compelling and well-documented. Studies consistently show that manufacturers operating with advanced digital systems demonstrate 25 to 35 percent faster batch cycle times, 20 to 30 percent reduction in deviation rates, and 15 to 25 percent lower manufacturing cost per unit compared to conventionally managed facilities. These are not theoretical projections; they are outcomes measured at facilities where the transformation has been completed.</w:t>
      </w:r>
    </w:p>
    <w:p>
      <w:pPr>
        <w:spacing w:after="120"/>
      </w:pPr>
      <w:r>
        <w:rPr>
          <w:i w:val="false"/>
          <w:iCs w:val="false"/>
          <w:color w:val="1C2333"/>
          <w:sz w:val="21"/>
          <w:szCs w:val="21"/>
        </w:rPr>
        <w:t xml:space="preserve">The quality imperative is, if anything, more urgent than the financial one. A pharmaceutical product failure — a contaminated batch, an out-of-specification release, a manufacturing deviation that requires a product recall — has consequences that go far beyond financial loss. Patients may be harmed. Regulators may issue warning letters, consent decrees, or import alerts that disrupt the organization's entire commercial supply. The reputational damage from a high-profile manufacturing failure can take years to repair. In this context, the investment in digital manufacturing systems — which demonstrably improve quality consistency, deviation detection speed, and regulatory defensibility — should be viewed not as a discretionary capital expense but as a quality and patient safety obligation.</w:t>
      </w:r>
    </w:p>
    <w:p>
      <w:pPr>
        <w:pStyle w:val="Heading2"/>
        <w:spacing w:after="120" w:before="240"/>
      </w:pPr>
      <w:r>
        <w:rPr>
          <w:b/>
          <w:bCs/>
          <w:color w:val="0D2B55"/>
        </w:rPr>
        <w:t xml:space="preserve">6.2 Industry 4.0 and Pharma 4.0: Redefining the Intelligent Factory</w:t>
      </w:r>
    </w:p>
    <w:p>
      <w:pPr>
        <w:spacing w:after="120"/>
      </w:pPr>
      <w:r>
        <w:rPr>
          <w:i w:val="false"/>
          <w:iCs w:val="false"/>
          <w:color w:val="1C2333"/>
          <w:sz w:val="21"/>
          <w:szCs w:val="21"/>
        </w:rPr>
        <w:t xml:space="preserve">The concept of Industry 4.0 — the fourth industrial revolution, characterized by the integration of cyber-physical systems, the Internet of Things (IoT), cloud computing, and AI into manufacturing operations — has been extensively discussed in the broader manufacturing sector for over a decade. The pharmaceutical adaptation, sometimes called Pharma 4.0, adds the specific quality, regulatory, and data integrity requirements of the GxP environment to the Industry 4.0 framework.</w:t>
      </w:r>
    </w:p>
    <w:p>
      <w:pPr>
        <w:spacing w:after="120"/>
      </w:pPr>
      <w:r>
        <w:rPr>
          <w:i w:val="false"/>
          <w:iCs w:val="false"/>
          <w:color w:val="1C2333"/>
          <w:sz w:val="21"/>
          <w:szCs w:val="21"/>
        </w:rPr>
        <w:t xml:space="preserve">The International Society for Pharmaceutical Engineering (ISPE) has developed the most widely adopted Pharma 4.0 framework, which organizes the digital transformation of pharmaceutical manufacturing around four pillars. The first pillar is a digitalized quality culture — embedding a mindset in which quality is everyone's continuous responsibility, enabled by digital tools that make quality data visible and actionable at every level of the organization. The second is an intelligent plant — a manufacturing facility equipped with sensors, automation, and analytics that can monitor and control processes in real time. The third is an integrated supply chain — end-to-end digital visibility from raw material supplier through patient delivery. The fourth is a digital business — complete integration of manufacturing digital systems with the enterprise ERP, commercial systems, and regulatory platforms.</w:t>
      </w:r>
    </w:p>
    <w:p>
      <w:pPr>
        <w:pStyle w:val="Heading2"/>
        <w:spacing w:after="120" w:before="240"/>
      </w:pPr>
      <w:r>
        <w:rPr>
          <w:b/>
          <w:bCs/>
          <w:color w:val="0D2B55"/>
        </w:rPr>
        <w:t xml:space="preserve">6.3 Process Analytical Technology and Continuous Manufacturing</w:t>
      </w:r>
    </w:p>
    <w:p>
      <w:pPr>
        <w:spacing w:after="120"/>
      </w:pPr>
      <w:r>
        <w:rPr>
          <w:i w:val="false"/>
          <w:iCs w:val="false"/>
          <w:color w:val="1C2333"/>
          <w:sz w:val="21"/>
          <w:szCs w:val="21"/>
        </w:rPr>
        <w:t xml:space="preserve">Process Analytical Technology (PAT) is the technological foundation of the intelligent pharmaceutical plant. PAT refers to the use of inline, atline, or online sensors and analytical instruments to measure critical quality attributes (CQAs) and critical process parameters (CPPs) in real time during manufacturing — rather than taking samples offline and waiting hours or days for laboratory results. When PAT data is integrated with process control systems, it enables real-time process monitoring and control (RTPM/RTC), where the manufacturing process can respond dynamically to deviations before they result in out-of-specification products.</w:t>
      </w:r>
    </w:p>
    <w:p>
      <w:pPr>
        <w:spacing w:after="120"/>
      </w:pPr>
      <w:r>
        <w:rPr>
          <w:i w:val="false"/>
          <w:iCs w:val="false"/>
          <w:color w:val="1C2333"/>
          <w:sz w:val="21"/>
          <w:szCs w:val="21"/>
        </w:rPr>
        <w:t xml:space="preserve">The range of PAT tools deployed in pharmaceutical manufacturing spans near-infrared (NIR) and Raman spectroscopy for in-process blend uniformity and endpoint determination, focused beam reflectance measurement (FBRM) for particle size monitoring in crystallization and granulation, process chromatography for real-time bioprocess monitoring in biologics manufacturing, and multivariate statistical process control (MSPC) models that integrate data from multiple sensors to detect process deviations that would not be visible in any single parameter.</w:t>
      </w:r>
    </w:p>
    <w:p>
      <w:pPr>
        <w:spacing w:after="120"/>
      </w:pPr>
      <w:r>
        <w:rPr>
          <w:i w:val="false"/>
          <w:iCs w:val="false"/>
          <w:color w:val="1C2333"/>
          <w:sz w:val="21"/>
          <w:szCs w:val="21"/>
        </w:rPr>
        <w:t xml:space="preserve">The logical extension of PAT-enabled process control is real-time release testing (RTRT) — the replacement of traditional end-of-process laboratory testing with statistical certainty based on continuous in-process monitoring. RTRT, when implemented in a regulatory-approved quality system, eliminates the weeks of quarantine and laboratory analysis that separate manufacturing completion from product release, directly accelerating supply availability. Both the FDA and EMA have issued supportive guidance for RTRT, and an increasing number of pharmaceutical manufacturers have achieved regulatory approval for RTRT programs.</w:t>
      </w:r>
    </w:p>
    <w:p>
      <w:pPr>
        <w:spacing w:after="120"/>
      </w:pPr>
      <w:r>
        <w:rPr>
          <w:i w:val="false"/>
          <w:iCs w:val="false"/>
          <w:color w:val="1C2333"/>
          <w:sz w:val="21"/>
          <w:szCs w:val="21"/>
        </w:rPr>
        <w:t xml:space="preserve">Continuous manufacturing (CM) takes the PAT and process control logic to its natural conclusion: rather than producing drug product in discrete batches, a continuous manufacturing line produces product in an uninterrupted flow, with incoming materials continuously processed into finished product. The advantages of continuous manufacturing — smaller physical footprint, lower cycle time, greater process control, reduced exposure to human variability, better integration of PAT controls — are well established for small molecule drug products, and the FDA has actively encouraged pharma companies to adopt CM through guidance and expedited regulatory review pathways. Eli Lilly, Vertex, Janssen, and several other manufacturers have received FDA approvals for continuously manufactured drug products, establishing the regulatory pathway clearly.</w:t>
      </w:r>
    </w:p>
    <w:p>
      <w:pPr>
        <w:pStyle w:val="Heading2"/>
        <w:spacing w:after="120" w:before="240"/>
      </w:pPr>
      <w:r>
        <w:rPr>
          <w:b/>
          <w:bCs/>
          <w:color w:val="0D2B55"/>
        </w:rPr>
        <w:t xml:space="preserve">6.4 Digital Batch Records and Electronic Quality Management</w:t>
      </w:r>
    </w:p>
    <w:p>
      <w:pPr>
        <w:spacing w:after="120"/>
      </w:pPr>
      <w:r>
        <w:rPr>
          <w:i w:val="false"/>
          <w:iCs w:val="false"/>
          <w:color w:val="1C2333"/>
          <w:sz w:val="21"/>
          <w:szCs w:val="21"/>
        </w:rPr>
        <w:t xml:space="preserve">The paper batch record — the foundational quality document that records every step of a pharmaceutical manufacturing process — is both a symbol and a cause of manufacturing digital immaturity. In a facility running paper batch records, every process step, every measurement, every operator observation is recorded by hand. Data must be reconciled manually at batch completion, deviations identified through manual review, and exceptions investigated through paper-based workflows. The cycle time from batch completion to batch release, under this model, is typically measured in weeks.</w:t>
      </w:r>
    </w:p>
    <w:p>
      <w:pPr>
        <w:spacing w:after="120"/>
      </w:pPr>
      <w:r>
        <w:rPr>
          <w:i w:val="false"/>
          <w:iCs w:val="false"/>
          <w:color w:val="1C2333"/>
          <w:sz w:val="21"/>
          <w:szCs w:val="21"/>
        </w:rPr>
        <w:t xml:space="preserve">Electronic batch records (EBRs) replace paper with structured digital workflows that guide operators through manufacturing steps, enforce process parameter limits in real time, capture all data electronically with full audit trails, and trigger automated workflows for deviations, out-of-specification results, and process excursions. The investment in EBR implementation is significant — typically requiring integration with manufacturing execution systems (MES), laboratory information management systems (LIMS), and ERP — but the payoff is equally significant: batch cycle times compress dramatically, deviation detection becomes real-time rather than retrospective, and the data quality and completeness of the batch record improves substantially.</w:t>
      </w:r>
    </w:p>
    <w:p>
      <w:pPr>
        <w:spacing w:after="120"/>
      </w:pPr>
      <w:r>
        <w:rPr>
          <w:i w:val="false"/>
          <w:iCs w:val="false"/>
          <w:color w:val="1C2333"/>
          <w:sz w:val="21"/>
          <w:szCs w:val="21"/>
        </w:rPr>
        <w:t xml:space="preserve">An electronic quality management system (eQMS) extends this digital quality logic beyond the batch record to all quality processes: change control, CAPA (corrective and preventive action), risk management, supplier qualification, training records, and audit management. An integrated eQMS — one that connects these quality processes to each other and to the operational data streams from EBR, MES, and LIMS — enables proactive quality risk management. The system can flag when a change is approaching a quality risk threshold, when a CAPA root cause has not been addressed within the committed timeline, or when a supplier qualification has lapsed — enabling quality teams to act preventively rather than reactively.</w:t>
      </w:r>
    </w:p>
    <w:p>
      <w:pPr>
        <w:pStyle w:val="Heading2"/>
        <w:spacing w:after="120" w:before="240"/>
      </w:pPr>
      <w:r>
        <w:rPr>
          <w:b/>
          <w:bCs/>
          <w:color w:val="0D2B55"/>
        </w:rPr>
        <w:t xml:space="preserve">6.5 Digital Twin for Manufacturing</w:t>
      </w:r>
    </w:p>
    <w:p>
      <w:pPr>
        <w:spacing w:after="120"/>
      </w:pPr>
      <w:r>
        <w:rPr>
          <w:i w:val="false"/>
          <w:iCs w:val="false"/>
          <w:color w:val="1C2333"/>
          <w:sz w:val="21"/>
          <w:szCs w:val="21"/>
        </w:rPr>
        <w:t xml:space="preserve">The digital twin — a high-fidelity virtual model of a physical manufacturing system that is continuously updated with real-time operational data — is one of the most transformative technologies available to pharmaceutical manufacturing, and one of the most underdeployed. A manufacturing digital twin can simulate the behavior of a production line or a bioreactor under different process conditions, predict the impact of input variability on product quality, and test process changes in silico before implementing them on the physical line.</w:t>
      </w:r>
    </w:p>
    <w:p>
      <w:pPr>
        <w:spacing w:after="120"/>
      </w:pPr>
      <w:r>
        <w:rPr>
          <w:i w:val="false"/>
          <w:iCs w:val="false"/>
          <w:color w:val="1C2333"/>
          <w:sz w:val="21"/>
          <w:szCs w:val="21"/>
        </w:rPr>
        <w:t xml:space="preserve">For pharmaceutical manufacturers, the digital twin has several high-value applications. In process development, twin models of manufacturing processes can be built during development and used to design the commercial-scale process before first manufacture — replacing some of the physical scale-up experiments that are among the most time-consuming and expensive steps in manufacturing development. In routine operations, digital twins enable model predictive control — using the twin to predict future process states and pre-emptively adjust control parameters to maintain the process within the design space. In deviation investigation, the twin can be used to replay the process conditions that led to a quality event and identify root causes more rapidly and rigorously than traditional manual investigation.</w:t>
      </w:r>
    </w:p>
    <w:p>
      <w:pPr>
        <w:spacing w:after="120"/>
      </w:pPr>
      <w:r>
        <w:rPr>
          <w:i w:val="false"/>
          <w:iCs w:val="false"/>
          <w:color w:val="1C2333"/>
          <w:sz w:val="21"/>
          <w:szCs w:val="21"/>
        </w:rPr>
        <w:t xml:space="preserve">Biopharmaceutical manufacturing — inherently more variable and complex than small molecule manufacturing because of the biological systems involved — has seen particularly rapid growth in digital twin adoption. Cell culture bioreactor twins that model the metabolic behavior of CHO or E. coli expression systems in response to feed, pH, dissolved oxygen, and temperature are enabling process development and optimization at a pace and depth not possible through physical experimentation alone.</w:t>
      </w:r>
    </w:p>
    <w:p>
      <w:pPr>
        <w:pBdr>
          <w:left w:val="single" w:color="C9A84C" w:sz="18" w:space="8"/>
        </w:pBdr>
        <w:shd w:fill="FBF6E9" w:color="auto" w:val="clear"/>
        <w:spacing w:after="120"/>
        <w:ind w:left="240"/>
      </w:pPr>
      <w:r>
        <w:rPr>
          <w:i/>
          <w:iCs/>
          <w:color w:val="1C2333"/>
          <w:sz w:val="21"/>
          <w:szCs w:val="21"/>
        </w:rPr>
        <w:t xml:space="preserve">📋 CASE STUDY: REAL-WORLD CASE STUDY: MERCK KGAA'S DIGITAL TWIN FOR BIOPROCESS DEVELOPMENT</w:t>
      </w:r>
    </w:p>
    <w:p>
      <w:pPr>
        <w:pBdr>
          <w:left w:val="single" w:color="C9A84C" w:sz="18" w:space="8"/>
        </w:pBdr>
        <w:shd w:fill="FBF6E9" w:color="auto" w:val="clear"/>
        <w:spacing w:after="120"/>
        <w:ind w:left="240"/>
      </w:pPr>
      <w:r>
        <w:rPr>
          <w:i/>
          <w:iCs/>
          <w:color w:val="1C2333"/>
          <w:sz w:val="21"/>
          <w:szCs w:val="21"/>
        </w:rPr>
        <w:t xml:space="preserve">Merck KGaA's Life Science business has developed digital twin tools for bioreactor scale-up that have reduced the number of physical scale-up experiments required for a new biologics manufacturing process from an average of 8–12 runs to 3–4 runs. The digital twin models, built on mechanistic process models calibrated with small-scale experimental data, allow the team to simulate scale-up scenarios in silico and identify the optimal operating parameters for commercial-scale manufacture before committing to physical experiments. The result is a 30 to 40 percent reduction in process development cycle time.</w:t>
      </w:r>
    </w:p>
    <w:p>
      <w:pPr>
        <w:pStyle w:val="Heading2"/>
        <w:spacing w:after="120" w:before="240"/>
      </w:pPr>
      <w:r>
        <w:rPr>
          <w:b/>
          <w:bCs/>
          <w:color w:val="0D2B55"/>
        </w:rPr>
        <w:t xml:space="preserve">6.6 Supply Chain Digitalization: End-to-End Visibility</w:t>
      </w:r>
    </w:p>
    <w:p>
      <w:pPr>
        <w:spacing w:after="120"/>
      </w:pPr>
      <w:r>
        <w:rPr>
          <w:i w:val="false"/>
          <w:iCs w:val="false"/>
          <w:color w:val="1C2333"/>
          <w:sz w:val="21"/>
          <w:szCs w:val="21"/>
        </w:rPr>
        <w:t xml:space="preserve">The pharmaceutical supply chain is a complex, globally distributed system that spans API manufacturers in India and China, formulation facilities in Europe and North America, third-party logistics providers, wholesale distributors, and ultimately dispensing pharmacies and hospital systems. Managing this system with the transparency and agility required to prevent stockouts, manage cold chain integrity, respond to demand volatility, and track product serialization is not possible without a comprehensive digital supply chain platform.</w:t>
      </w:r>
    </w:p>
    <w:p>
      <w:pPr>
        <w:spacing w:after="120"/>
      </w:pPr>
      <w:r>
        <w:rPr>
          <w:i w:val="false"/>
          <w:iCs w:val="false"/>
          <w:color w:val="1C2333"/>
          <w:sz w:val="21"/>
          <w:szCs w:val="21"/>
        </w:rPr>
        <w:t xml:space="preserve">The architecture of a digital pharmaceutical supply chain platform integrates several layers of capability. The foundation is supply chain visibility — real-time tracking of inventory positions, material movements, and capacity availability across every node of the network. Above this sits demand sensing and planning — AI-driven forecasting models that integrate commercial demand signals (prescription data, patient support program enrollment, distributor orders) with supply constraints to generate dynamic production and distribution plans. At the execution layer, warehouse management systems, transportation management systems, and cold chain monitoring platforms ensure that products move through the supply network according to plan and within the quality conditions required.</w:t>
      </w:r>
    </w:p>
    <w:p>
      <w:pPr>
        <w:spacing w:after="120"/>
      </w:pPr>
      <w:r>
        <w:rPr>
          <w:i w:val="false"/>
          <w:iCs w:val="false"/>
          <w:color w:val="1C2333"/>
          <w:sz w:val="21"/>
          <w:szCs w:val="21"/>
        </w:rPr>
        <w:t xml:space="preserve">Serialization and track-and-trace — the assignment of unique identifiers to individual pharmaceutical units and the recording of their movement through the supply chain — is both a regulatory requirement and a digital supply chain foundation. The Drug Supply Chain Security Act (DSCSA) in the US, the EU Falsified Medicines Directive (FMD), and India's track-and-trace framework (mandatory under CDSCO regulations since 2018 for export-oriented manufacturers) all require pharmaceutical manufacturers to implement serialization systems. The data generated by serialization systems — billions of track-and-trace events per year for large manufacturers — is increasingly being used for supply chain analytics beyond its primary anti-counterfeiting purpose: understanding actual product movement through distribution channels, detecting unusual diversion patterns, and generating real-world product availability data that informs commercial planning.</w:t>
      </w:r>
    </w:p>
    <w:p>
      <w:pPr>
        <w:pStyle w:val="Heading2"/>
        <w:spacing w:after="120" w:before="240"/>
      </w:pPr>
      <w:r>
        <w:rPr>
          <w:b/>
          <w:bCs/>
          <w:color w:val="0D2B55"/>
        </w:rPr>
        <w:t xml:space="preserve">6.7 Predictive Maintenance and IoT in Manufacturing</w:t>
      </w:r>
    </w:p>
    <w:p>
      <w:pPr>
        <w:spacing w:after="120"/>
      </w:pPr>
      <w:r>
        <w:rPr>
          <w:i w:val="false"/>
          <w:iCs w:val="false"/>
          <w:color w:val="1C2333"/>
          <w:sz w:val="21"/>
          <w:szCs w:val="21"/>
        </w:rPr>
        <w:t xml:space="preserve">Manufacturing equipment downtime is one of the most significant and most avoidable sources of production delay in pharmaceutical manufacturing. Unplanned equipment failure typically costs two to five times more per hour of downtime than planned maintenance, and in a tightly scheduled pharmaceutical production environment, unplanned downtime can cascade into batch failures, out-of-stock situations, and significant financial loss.</w:t>
      </w:r>
    </w:p>
    <w:p>
      <w:pPr>
        <w:spacing w:after="120"/>
      </w:pPr>
      <w:r>
        <w:rPr>
          <w:i w:val="false"/>
          <w:iCs w:val="false"/>
          <w:color w:val="1C2333"/>
          <w:sz w:val="21"/>
          <w:szCs w:val="21"/>
        </w:rPr>
        <w:t xml:space="preserve">Predictive maintenance — the use of sensor data and machine learning models to predict equipment failures before they occur, enabling maintenance to be scheduled during planned production windows rather than responding reactively to unplanned failures — is one of the highest-ROI digital applications in pharmaceutical manufacturing. Vibration analysis sensors, temperature monitors, electrical current signatures, and acoustic emission detectors, combined with ML models trained on historical failure patterns, can identify equipment degradation patterns weeks before they manifest as failures, enabling maintenance teams to replace components on schedule.</w:t>
      </w:r>
    </w:p>
    <w:p>
      <w:pPr>
        <w:spacing w:after="120"/>
      </w:pPr>
      <w:r>
        <w:rPr>
          <w:i w:val="false"/>
          <w:iCs w:val="false"/>
          <w:color w:val="1C2333"/>
          <w:sz w:val="21"/>
          <w:szCs w:val="21"/>
        </w:rPr>
        <w:t xml:space="preserve">The broader IoT infrastructure that enables predictive maintenance also generates the manufacturing operational data that feeds PAT systems, EBR systems, and digital twins. The design of the manufacturing IoT architecture — sensor selection, network topology, data historian configuration, and integration with higher-level enterprise systems — is a critical infrastructure investment that should be made deliberately and with an eye toward the full range of analytics use cases it will enable.</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What is the current state of the organization's manufacturing digital maturity across its major facilities — are batch records electronic, are critical process parameters monitored in real time, and are deviations managed through an electronic QMS? What is the baseline batch cycle time (from manufacturing completion to product release), and what is the target enabled by digital quality management and PAT? Does the organization have end-to-end supply chain visibility — from raw material purchase orders through patient dispensing — and if not, what is the plan and timeline to achieve it? How does manufacturing digital maturity compare across owned sites and contract manufacturing organization (CMO) partners?</w:t>
      </w:r>
    </w:p>
    <w:p>
      <w:pPr>
        <w:pBdr>
          <w:left w:val="single" w:color="C9A84C" w:sz="18" w:space="8"/>
        </w:pBdr>
        <w:shd w:fill="FBF6E9" w:color="auto" w:val="clear"/>
        <w:spacing w:after="120"/>
        <w:ind w:left="240"/>
      </w:pPr>
      <w:r>
        <w:rPr>
          <w:i/>
          <w:iCs/>
          <w:color w:val="1C2333"/>
          <w:sz w:val="21"/>
          <w:szCs w:val="21"/>
        </w:rPr>
        <w:t xml:space="preserve">🌍 REGIONAL SPOTLIGHT: MANUFACTURING DIGITALIZATION BY GEOGRAPHY</w:t>
      </w:r>
    </w:p>
    <w:p>
      <w:pPr>
        <w:pBdr>
          <w:left w:val="single" w:color="C9A84C" w:sz="18" w:space="8"/>
        </w:pBdr>
        <w:shd w:fill="FBF6E9" w:color="auto" w:val="clear"/>
        <w:spacing w:after="120"/>
        <w:ind w:left="240"/>
      </w:pPr>
      <w:r>
        <w:rPr>
          <w:i/>
          <w:iCs/>
          <w:color w:val="1C2333"/>
          <w:sz w:val="21"/>
          <w:szCs w:val="21"/>
        </w:rPr>
        <w:t xml:space="preserve">In the United States, manufacturing digitalization is being driven by FDA expectations — the FDA's Data Integrity guidance and the Agency's published vision for pharmaceutical manufacturing modernization make clear that digitally enabled quality systems are the expected standard for future manufacturing approvals. Large US-based manufacturers (Pfizer, Merck, J&amp;J, Eli Lilly) have made substantial investments in manufacturing digital transformation, with continuous manufacturing and PAT-enabled processes increasingly standard for new product launches. In the European Union, Industrie 4.0 thinking is deeply embedded in the manufacturing culture of German pharmaceutical and medical device manufacturers. Companies like Bayer, Boehringer Ingelheim, and Roche Diagnostics have implemented advanced MES, digital twin, and PAT programs. The EMA's evolving GMP expectations — articulated in the revised Annex 11 (computerized systems) and the PAT guideline — are creating regulatory pull for digital manufacturing investment across EU-based manufacturers.</w:t>
      </w:r>
    </w:p>
    <w:p>
      <w:pPr>
        <w:spacing w:after="120"/>
      </w:pPr>
      <w:r>
        <w:rPr>
          <w:i w:val="false"/>
          <w:iCs w:val="false"/>
          <w:color w:val="1C2333"/>
          <w:sz w:val="21"/>
          <w:szCs w:val="21"/>
        </w:rPr>
        <w:t xml:space="preserve">India is the world's largest manufacturer of generic pharmaceuticals by volume, with over 10,500 registered manufacturing plants. The digital transformation of Indian pharmaceutical manufacturing is a strategic priority for both the industry and the government, given the frequency of US FDA warning letters and import alerts issued against Indian facilities — many of which cite data integrity failures that are fundamentally a symptom of inadequate electronic quality management systems. The government's Production Linked Incentive (PLI) scheme for pharmaceuticals has invested in manufacturing capability building, and industry associations including IDMA and FICCI are actively promoting manufacturing digitalization. The challenge is significant — the median Indian pharmaceutical plant is operating paper-based batch records and manual deviation management — but the solutions are well-understood and the ROI is clearly positive. Indian pharma companies that complete this transformation will not only resolve their regulatory compliance challenges but will gain the productivity and quality advantages that will make them more competitive in global generic markets.</w:t>
      </w:r>
    </w:p>
    <w:p>
      <w:pPr>
        <w:pStyle w:val="Heading2"/>
        <w:spacing w:after="120" w:before="240"/>
      </w:pPr>
      <w:r>
        <w:rPr>
          <w:b/>
          <w:bCs/>
          <w:color w:val="0D2B55"/>
        </w:rPr>
        <w:t xml:space="preserve">6.9 Cold Chain Digitalisation and Serialisation</w:t>
      </w:r>
    </w:p>
    <w:p>
      <w:pPr>
        <w:spacing w:after="120"/>
      </w:pPr>
      <w:r>
        <w:rPr>
          <w:i w:val="false"/>
          <w:iCs w:val="false"/>
          <w:color w:val="1C2333"/>
          <w:sz w:val="21"/>
          <w:szCs w:val="21"/>
        </w:rPr>
        <w:t xml:space="preserve">The cold chain — the temperature-controlled supply chain that maintains pharmaceutical products at specified temperatures throughout storage and distribution — is particularly critical for biologics (most require 2–8°C refrigeration), mRNA vaccines (requiring -70°C deep freeze), and certain small molecule medicines. Digital cold chain management is a regulatory requirement and an operational imperative, given that temperature excursions are among the leading causes of pharmaceutical product waste and quality events in the distribution network.</w:t>
      </w:r>
    </w:p>
    <w:p>
      <w:pPr>
        <w:spacing w:after="120"/>
      </w:pPr>
      <w:r>
        <w:rPr>
          <w:i w:val="false"/>
          <w:iCs w:val="false"/>
          <w:color w:val="1C2333"/>
          <w:sz w:val="21"/>
          <w:szCs w:val="21"/>
        </w:rPr>
        <w:t xml:space="preserve">Real-time cold chain monitoring. IoT-enabled temperature monitoring devices — embedded in shipping containers, storage units, and delivery vehicles — provide continuous temperature data throughout the cold chain journey. These devices transmit temperature readings via cellular or satellite networks to a central monitoring platform, enabling real-time detection of temperature excursions and automated escalation to quality and logistics teams for assessment and response. Companies including Sensitech (a Carrier company), Controlant, and Dickson have built pharmaceutical-specific cold chain monitoring platforms that provide the audit-trailed temperature records required for regulatory compliance.</w:t>
      </w:r>
    </w:p>
    <w:p>
      <w:pPr>
        <w:spacing w:after="120"/>
      </w:pPr>
      <w:r>
        <w:rPr>
          <w:i w:val="false"/>
          <w:iCs w:val="false"/>
          <w:color w:val="1C2333"/>
          <w:sz w:val="21"/>
          <w:szCs w:val="21"/>
        </w:rPr>
        <w:t xml:space="preserve">AI-powered excursion management. When a temperature excursion occurs, the quality decision — whether the product is still fit for use, or whether it must be quarantined and discarded — requires rapid assessment of the excursion duration, magnitude, and the known stability characteristics of the specific product. AI-powered excursion management tools that integrate cold chain monitoring data with product stability databases can automate the initial excursion risk assessment, providing quality teams with a data-driven recommendation that accelerates the decision cycle from days to hours. This acceleration is particularly valuable for vaccines and cell therapies where the time-sensitive nature of the product means that delayed excursion decisions can result in avoidable product loss.</w:t>
      </w:r>
    </w:p>
    <w:p>
      <w:pPr>
        <w:pStyle w:val="Heading2"/>
        <w:spacing w:after="120" w:before="240"/>
      </w:pPr>
      <w:r>
        <w:rPr>
          <w:b/>
          <w:bCs/>
          <w:color w:val="0D2B55"/>
        </w:rPr>
        <w:t xml:space="preserve">6.10 Sustainability and Green Manufacturing Digital Tools</w:t>
      </w:r>
    </w:p>
    <w:p>
      <w:pPr>
        <w:spacing w:after="120"/>
      </w:pPr>
      <w:r>
        <w:rPr>
          <w:i w:val="false"/>
          <w:iCs w:val="false"/>
          <w:color w:val="1C2333"/>
          <w:sz w:val="21"/>
          <w:szCs w:val="21"/>
        </w:rPr>
        <w:t xml:space="preserve">Pharmaceutical manufacturing has a significant environmental footprint — energy-intensive synthesis processes, solvent use and waste generation, water consumption, and packaging waste. Digitalization is enabling pharmaceutical manufacturers to measure, manage, and reduce this footprint with a precision that was previously impossible.</w:t>
      </w:r>
    </w:p>
    <w:p>
      <w:pPr>
        <w:spacing w:after="120"/>
      </w:pPr>
      <w:r>
        <w:rPr>
          <w:i w:val="false"/>
          <w:iCs w:val="false"/>
          <w:color w:val="1C2333"/>
          <w:sz w:val="21"/>
          <w:szCs w:val="21"/>
        </w:rPr>
        <w:t xml:space="preserve">Energy management systems. Building management systems and manufacturing energy management platforms that integrate real-time energy consumption data from all manufacturing utilities — electricity, steam, compressed air, chilled water, HVAC — with production scheduling and environmental monitoring data are enabling pharmaceutical manufacturers to identify and eliminate energy waste at a granularity that manual energy audits cannot achieve. Automated load balancing, predictive demand management, and renewable energy integration are all enabled by this digital energy visibility.</w:t>
      </w:r>
    </w:p>
    <w:p>
      <w:pPr>
        <w:spacing w:after="120"/>
      </w:pPr>
      <w:r>
        <w:rPr>
          <w:i w:val="false"/>
          <w:iCs w:val="false"/>
          <w:color w:val="1C2333"/>
          <w:sz w:val="21"/>
          <w:szCs w:val="21"/>
        </w:rPr>
        <w:t xml:space="preserve">Solvent management and waste reduction. Chemical synthesis processes use large quantities of organic solvents that require careful management, recovery, and disposal. Digital solvent management systems that track solvent usage, recovery yields, and waste streams across all synthesis campaigns enable process chemists to optimise solvent selection and usage, maximise recovery rates, and minimise waste generation. Combined with AI-powered process optimisation tools, digital solvent management programs have demonstrated 20–30% reductions in solvent consumption per unit of API produced in several documented implementations.</w:t>
      </w:r>
    </w:p>
    <w:p>
      <w:pPr>
        <w:spacing w:after="120"/>
      </w:pPr>
      <w:r>
        <w:rPr>
          <w:i w:val="false"/>
          <w:iCs w:val="false"/>
          <w:color w:val="1C2333"/>
          <w:sz w:val="21"/>
          <w:szCs w:val="21"/>
        </w:rPr>
        <w:t xml:space="preserve">Carbon footprint digital tracking. The increasing expectation from investors, regulators (particularly in the EU, under the Corporate Sustainability Reporting Directive), and customers that pharmaceutical companies will measure, report, and reduce their carbon emissions is driving investment in carbon accounting digital platforms. These platforms calculate Scope 1, 2, and 3 emissions from manufacturing operations using activity data from ERP and manufacturing systems, enabling companies to track their emissions reduction progress, identify high-emission processes for targeted abatement, and prepare the external sustainability reporting that investors and regulators require.</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6.1: Pharma 4.0 Smart Factory — Four-Layer Digital Architecture</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6.2: Digital Twin for Pharmaceutical Manufacturing</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6.3: Digital Supply Chain — End-to-End Visibility and Control Tower</w:t>
      </w:r>
    </w:p>
    <w:p>
      <w:r>
        <w:br w:type="page"/>
      </w:r>
    </w:p>
    <w:p>
      <w:pPr>
        <w:pStyle w:val="Heading1"/>
        <w:spacing w:after="120" w:before="240"/>
      </w:pPr>
      <w:r>
        <w:rPr>
          <w:b/>
          <w:bCs/>
          <w:color w:val="0D2B55"/>
        </w:rPr>
        <w:t xml:space="preserve">Chapter 7: Quality Management — Digital Transformation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Quality management is the central nervous system of pharmaceutical operations. It touches every process, every function, and every product decision. Yet it is often one of the most paper-intensive, reactive, and siloed domains in the pharmaceutical enterprise — a paradox that the industry has tolerated because quality compliance has historically been viewed as an obligation to manage, not a capability to optimize. Digital transformation changes this framing entirely. A digitally enabled quality system is not just more compliant — it is more intelligent, more predictive, and more capable of driving continuous improvement. This chapter explores the architecture of a digital quality management system fit for the demands of modern pharmaceutical operations.</w:t>
      </w:r>
    </w:p>
    <w:p>
      <w:pPr>
        <w:pStyle w:val="Heading2"/>
        <w:spacing w:after="120" w:before="240"/>
      </w:pPr>
      <w:r>
        <w:rPr>
          <w:b/>
          <w:bCs/>
          <w:color w:val="0D2B55"/>
        </w:rPr>
        <w:t xml:space="preserve">7.1 The Quality Management Transformation Imperative</w:t>
      </w:r>
    </w:p>
    <w:p>
      <w:pPr>
        <w:spacing w:after="120"/>
      </w:pPr>
      <w:r>
        <w:rPr>
          <w:i w:val="false"/>
          <w:iCs w:val="false"/>
          <w:color w:val="1C2333"/>
          <w:sz w:val="21"/>
          <w:szCs w:val="21"/>
        </w:rPr>
        <w:t xml:space="preserve">Quality failures in pharma carry consequences that no other industry faces in quite the same form. A manufacturing quality failure can result in patient harm, product recall, regulatory action, and in extreme cases, criminal prosecution of company officers. The FDA issued 72 Warning Letters to pharmaceutical manufacturers in 2023 alone, with data integrity — the failure to maintain complete, accurate, and contemporaneous electronic records — cited as a root cause in over 40 percent of cases. This is not primarily a technology problem; it is a culture and process problem. But the solution is digital: replacing paper-based quality processes, which are inherently error-prone and difficult to audit, with electronic systems that enforce data integrity by design.</w:t>
      </w:r>
    </w:p>
    <w:p>
      <w:pPr>
        <w:spacing w:after="120"/>
      </w:pPr>
      <w:r>
        <w:rPr>
          <w:i w:val="false"/>
          <w:iCs w:val="false"/>
          <w:color w:val="1C2333"/>
          <w:sz w:val="21"/>
          <w:szCs w:val="21"/>
        </w:rPr>
        <w:t xml:space="preserve">Beyond compliance, there is a powerful business case for quality management digitalization. The cost of poor quality in pharma — including batch failures, deviations, rework, recalls, regulatory actions, and delayed releases — is estimated at 10 to 15 percent of total manufacturing revenue. Digital quality systems that reduce deviation rates, accelerate root cause investigation, and prevent recurrence through systematic CAPA management directly reduce this cost. Organizations that have fully implemented integrated electronic quality management systems report a 20 to 30 percent reduction in the cost of quality within three years of implementation.</w:t>
      </w:r>
    </w:p>
    <w:p>
      <w:pPr>
        <w:pStyle w:val="Heading2"/>
        <w:spacing w:after="120" w:before="240"/>
      </w:pPr>
      <w:r>
        <w:rPr>
          <w:b/>
          <w:bCs/>
          <w:color w:val="0D2B55"/>
        </w:rPr>
        <w:t xml:space="preserve">7.2 The Electronic Quality Management System Architecture</w:t>
      </w:r>
    </w:p>
    <w:p>
      <w:pPr>
        <w:spacing w:after="120"/>
      </w:pPr>
      <w:r>
        <w:rPr>
          <w:i w:val="false"/>
          <w:iCs w:val="false"/>
          <w:color w:val="1C2333"/>
          <w:sz w:val="21"/>
          <w:szCs w:val="21"/>
        </w:rPr>
        <w:t xml:space="preserve">The core of pharmaceutical quality digitalization is the electronic Quality Management System (eQMS) — an integrated platform that manages all quality processes in a single system with a common data model, an audit trail for every record, and electronic workflows that replace the manual paper-based routing that slows traditional quality operations.</w:t>
      </w:r>
    </w:p>
    <w:p>
      <w:pPr>
        <w:spacing w:after="120"/>
      </w:pPr>
      <w:r>
        <w:rPr>
          <w:i w:val="false"/>
          <w:iCs w:val="false"/>
          <w:color w:val="1C2333"/>
          <w:sz w:val="21"/>
          <w:szCs w:val="21"/>
        </w:rPr>
        <w:t xml:space="preserve">A fully capable pharmaceutical eQMS manages the document management system (controlled procedures, specifications, and SOPs with version control, review cycles, and training linkage), the deviation and non-conformance management system (capturing quality events, driving root cause analysis, and linking to corrective actions), the CAPA management module (corrective and preventive action planning, execution tracking, and effectiveness verification), the change control system (managing changes to processes, systems, specifications, and facilities through defined impact assessment and approval workflows), the supplier quality management module (supplier qualification, audit schedules, material non-conformance tracking, and performance scorecards), the audit management module (planning internal, supplier, and regulatory inspection readiness programs), and the training management system (linking quality procedures to personnel training records and competency verification).</w:t>
      </w:r>
    </w:p>
    <w:p>
      <w:pPr>
        <w:spacing w:after="120"/>
      </w:pPr>
      <w:r>
        <w:rPr>
          <w:i w:val="false"/>
          <w:iCs w:val="false"/>
          <w:color w:val="1C2333"/>
          <w:sz w:val="21"/>
          <w:szCs w:val="21"/>
        </w:rPr>
        <w:t xml:space="preserve">The critical design principle for a pharmaceutical eQMS is integration — both internal (between these quality modules, so that a deviation can automatically generate a CAPA, which automatically updates the risk register and triggers a training update when a new procedure is approved) and external (with the manufacturing execution system, LIMS, and ERP, so that quality events are automatically linked to the batch records and material records they pertain to).</w:t>
      </w:r>
    </w:p>
    <w:p>
      <w:pPr>
        <w:pStyle w:val="Heading2"/>
        <w:spacing w:after="120" w:before="240"/>
      </w:pPr>
      <w:r>
        <w:rPr>
          <w:b/>
          <w:bCs/>
          <w:color w:val="0D2B55"/>
        </w:rPr>
        <w:t xml:space="preserve">7.3 Quality Risk Management in the Digital Age</w:t>
      </w:r>
    </w:p>
    <w:p>
      <w:pPr>
        <w:spacing w:after="120"/>
      </w:pPr>
      <w:r>
        <w:rPr>
          <w:i w:val="false"/>
          <w:iCs w:val="false"/>
          <w:color w:val="1C2333"/>
          <w:sz w:val="21"/>
          <w:szCs w:val="21"/>
        </w:rPr>
        <w:t xml:space="preserve">ICH Q9 — the pharmaceutical quality risk management guideline — provides a framework for proactive, science-based management of manufacturing and product quality risks. In practice, most organizations apply ICH Q9 principles reactively, in response to specific change proposals or post-deviation root cause analyses. Digital transformation enables a genuinely proactive quality risk management discipline.</w:t>
      </w:r>
    </w:p>
    <w:p>
      <w:pPr>
        <w:spacing w:after="120"/>
      </w:pPr>
      <w:r>
        <w:rPr>
          <w:i w:val="false"/>
          <w:iCs w:val="false"/>
          <w:color w:val="1C2333"/>
          <w:sz w:val="21"/>
          <w:szCs w:val="21"/>
        </w:rPr>
        <w:t xml:space="preserve">AI-powered quality risk analytics can continuously monitor the totality of operational data — process parameter trends, deviation history, environmental monitoring results, raw material variability, equipment performance metrics — and identify emerging risk signals before they manifest as quality events. This predictive quality model is analogous to predictive maintenance in manufacturing: instead of waiting for a deviation to occur and then investigating what went wrong, the system detects the early warning signs of a deviation several process cycles before it occurs and alerts the quality team to investigate and intervene.</w:t>
      </w:r>
    </w:p>
    <w:p>
      <w:pPr>
        <w:spacing w:after="120"/>
      </w:pPr>
      <w:r>
        <w:rPr>
          <w:i w:val="false"/>
          <w:iCs w:val="false"/>
          <w:color w:val="1C2333"/>
          <w:sz w:val="21"/>
          <w:szCs w:val="21"/>
        </w:rPr>
        <w:t xml:space="preserve">The pharmaceutical concept of design space — the multidimensional combination of process parameters and operating conditions within which the process consistently produces product meeting quality specifications — is naturally represented and managed in digital systems. Manufacturing analytics platforms that visualize the process operating history within the design space boundary, and that flag when the process approaches the boundary edge, provide real-time risk visibility that paper-based monitoring cannot achieve.</w:t>
      </w:r>
    </w:p>
    <w:p>
      <w:pPr>
        <w:pStyle w:val="Heading2"/>
        <w:spacing w:after="120" w:before="240"/>
      </w:pPr>
      <w:r>
        <w:rPr>
          <w:b/>
          <w:bCs/>
          <w:color w:val="0D2B55"/>
        </w:rPr>
        <w:t xml:space="preserve">7.4 Laboratory Informatics and Digital Quality Control</w:t>
      </w:r>
    </w:p>
    <w:p>
      <w:pPr>
        <w:spacing w:after="120"/>
      </w:pPr>
      <w:r>
        <w:rPr>
          <w:i w:val="false"/>
          <w:iCs w:val="false"/>
          <w:color w:val="1C2333"/>
          <w:sz w:val="21"/>
          <w:szCs w:val="21"/>
        </w:rPr>
        <w:t xml:space="preserve">The pharmaceutical quality control laboratory is a rich domain for digitalization, and one where the return on investment is particularly clear. The traditional QC laboratory operates with a combination of paper worksheets, standalone instrument software, manual data transcription into LIMS, and paper-based result review — a workflow that is slow, error-prone, and poorly auditable.</w:t>
      </w:r>
    </w:p>
    <w:p>
      <w:pPr>
        <w:spacing w:after="120"/>
      </w:pPr>
      <w:r>
        <w:rPr>
          <w:i w:val="false"/>
          <w:iCs w:val="false"/>
          <w:color w:val="1C2333"/>
          <w:sz w:val="21"/>
          <w:szCs w:val="21"/>
        </w:rPr>
        <w:t xml:space="preserve">A modern laboratory informatics architecture integrates LIMS (laboratory information management system) with electronic laboratory notebooks (ELN), instrument data management systems (IDMS), laboratory execution systems (LES), and chromatography data systems (CDS) into a fully electronic workflow that captures every analytical result directly from the instrument, links it automatically to the relevant batch record, applies automated limit checks and statistical controls, and routes results through electronic review and approval workflows. This architecture eliminates manual data transcription — the single largest source of transcription errors in the QC lab — and creates a complete, audit-trailed record of every analytical event.</w:t>
      </w:r>
    </w:p>
    <w:p>
      <w:pPr>
        <w:spacing w:after="120"/>
      </w:pPr>
      <w:r>
        <w:rPr>
          <w:i w:val="false"/>
          <w:iCs w:val="false"/>
          <w:color w:val="1C2333"/>
          <w:sz w:val="21"/>
          <w:szCs w:val="21"/>
        </w:rPr>
        <w:t xml:space="preserve">Advanced laboratory analytics capabilities built on top of this integrated infrastructure enable trend analysis of QC results over time, statistical process control charts that identify developing analytical method or instrument issues, and automated generation of Annual Product Review (APR) data packages that previously required weeks of manual data extraction and compilation.</w:t>
      </w:r>
    </w:p>
    <w:p>
      <w:pPr>
        <w:pStyle w:val="Heading2"/>
        <w:spacing w:after="120" w:before="240"/>
      </w:pPr>
      <w:r>
        <w:rPr>
          <w:b/>
          <w:bCs/>
          <w:color w:val="0D2B55"/>
        </w:rPr>
        <w:t xml:space="preserve">7.5 Inspection Readiness and Regulatory Agency Interface</w:t>
      </w:r>
    </w:p>
    <w:p>
      <w:pPr>
        <w:spacing w:after="120"/>
      </w:pPr>
      <w:r>
        <w:rPr>
          <w:i w:val="false"/>
          <w:iCs w:val="false"/>
          <w:color w:val="1C2333"/>
          <w:sz w:val="21"/>
          <w:szCs w:val="21"/>
        </w:rPr>
        <w:t xml:space="preserve">The digital transformation of quality management is particularly valuable in the context of regulatory inspections — the most stressful and consequential quality events that a pharmaceutical manufacturer faces. A warning letter or consent decree resulting from an inspection failure can cost a company hundreds of millions of dollars and years of remediation effort.</w:t>
      </w:r>
    </w:p>
    <w:p>
      <w:pPr>
        <w:spacing w:after="120"/>
      </w:pPr>
      <w:r>
        <w:rPr>
          <w:i w:val="false"/>
          <w:iCs w:val="false"/>
          <w:color w:val="1C2333"/>
          <w:sz w:val="21"/>
          <w:szCs w:val="21"/>
        </w:rPr>
        <w:t xml:space="preserve">Digital quality management systems improve inspection outcomes in several ways. The availability of complete, accurate, and instantly retrievable electronic records — compared to the days or weeks of paper record retrieval that characterizes conventional quality systems — is itself an indicator of quality culture that regulators evaluate. The ability to demonstrate real-time process monitoring, systematic deviation trending, and evidence-based CAPA effectiveness signals a mature quality culture. And the elimination of data integrity gaps — which arise when electronic data and paper records diverge, or when audit trails are incomplete — removes the most common category of critical observation.</w:t>
      </w:r>
    </w:p>
    <w:p>
      <w:pPr>
        <w:spacing w:after="120"/>
      </w:pPr>
      <w:r>
        <w:rPr>
          <w:i w:val="false"/>
          <w:iCs w:val="false"/>
          <w:color w:val="1C2333"/>
          <w:sz w:val="21"/>
          <w:szCs w:val="21"/>
        </w:rPr>
        <w:t xml:space="preserve">Inspection preparedness programs in digitally mature organizations continuously monitor quality system KPIs — overdue CAPAs, deviation backlog, procedure overdue for review, training compliance rates — and use these metrics to identify and remediate gaps before they are identified by regulators. This continuous inspection readiness posture is enabled by real-time dashboards and exception alerts that the eQMS generates automatically, giving quality leadership visibility into the organization's inspection readiness at any point in time.</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Is the organization's quality management system fully electronic, integrated, and audit-trail-compliant across all manufacturing sites and quality functions, or are paper-based processes still in operation? What is the organization's current average time to CAPA completion following a critical deviation, and how does this compare to the regulatory expectations and industry benchmarks? How quickly can the quality team retrieve a complete manufacturing and quality record for any batch in the last five years — in minutes (digital) or in days (paper)? What are the organization's top three recurring categories of deviation, and is there a digital quality analytics program driving systematic root cause analysis and elimination?</w:t>
      </w:r>
    </w:p>
    <w:p>
      <w:pPr>
        <w:pBdr>
          <w:left w:val="single" w:color="C9A84C" w:sz="18" w:space="8"/>
        </w:pBdr>
        <w:shd w:fill="FBF6E9" w:color="auto" w:val="clear"/>
        <w:spacing w:after="120"/>
        <w:ind w:left="240"/>
      </w:pPr>
      <w:r>
        <w:rPr>
          <w:i/>
          <w:iCs/>
          <w:color w:val="1C2333"/>
          <w:sz w:val="21"/>
          <w:szCs w:val="21"/>
        </w:rPr>
        <w:t xml:space="preserve">🌍 REGIONAL SPOTLIGHT: QUALITY DIGITAL TRANSFORMATION ACROSS MARKETS</w:t>
      </w:r>
    </w:p>
    <w:p>
      <w:pPr>
        <w:pBdr>
          <w:left w:val="single" w:color="C9A84C" w:sz="18" w:space="8"/>
        </w:pBdr>
        <w:shd w:fill="FBF6E9" w:color="auto" w:val="clear"/>
        <w:spacing w:after="120"/>
        <w:ind w:left="240"/>
      </w:pPr>
      <w:r>
        <w:rPr>
          <w:i/>
          <w:iCs/>
          <w:color w:val="1C2333"/>
          <w:sz w:val="21"/>
          <w:szCs w:val="21"/>
        </w:rPr>
        <w:t xml:space="preserve">In the US, the FDA's data integrity expectations — articulated in detail in the 2018 data integrity guidance and reinforced in virtually every manufacturing inspection since — have created powerful regulatory motivation for quality digitalization. FDA-inspected facilities that can demonstrate comprehensive electronic records management, validated systems, and real-time process monitoring enjoy faster inspection cycles and better inspection outcomes than paper-based facilities. In the EU, the EMA's GMP Annex 11 (computerized systems) and GMP Chapter 4 (documentation) set the European regulatory expectation for digital quality systems. The EU GMP framework is in several respects more prescriptive than US expectations regarding computerized system validation, and EU-inspected facilities must demonstrate explicit validation documentation for all GxP-impacted software systems.</w:t>
      </w:r>
    </w:p>
    <w:p>
      <w:pPr>
        <w:spacing w:after="120"/>
      </w:pPr>
      <w:r>
        <w:rPr>
          <w:i w:val="false"/>
          <w:iCs w:val="false"/>
          <w:color w:val="1C2333"/>
          <w:sz w:val="21"/>
          <w:szCs w:val="21"/>
        </w:rPr>
        <w:t xml:space="preserve">In India, quality management digitalization is the single most impactful lever available to Indian pharmaceutical manufacturers seeking to improve their standing with US FDA, EMA, and other stringent regulatory authorities. The pattern of data integrity failures identified in Indian manufacturing inspections — manual data manipulation, inadequate audit trail management, paper records that do not match electronic system records — are precisely the failure modes that a well-implemented eQMS eliminates. The Indian government's regulatory modernization agenda under CDSCO is increasingly aligned with international expectations, and the most forward-looking Indian manufacturers are using eQMS and digital quality tools as both a compliance investment and a quality culture transformation program.</w:t>
      </w:r>
    </w:p>
    <w:p>
      <w:pPr>
        <w:pStyle w:val="Heading2"/>
        <w:spacing w:after="120" w:before="240"/>
      </w:pPr>
      <w:r>
        <w:rPr>
          <w:b/>
          <w:bCs/>
          <w:color w:val="0D2B55"/>
        </w:rPr>
        <w:t xml:space="preserve">7.7 Quality by Design (QbD) and Digital Integration</w:t>
      </w:r>
    </w:p>
    <w:p>
      <w:pPr>
        <w:spacing w:after="120"/>
      </w:pPr>
      <w:r>
        <w:rPr>
          <w:i w:val="false"/>
          <w:iCs w:val="false"/>
          <w:color w:val="1C2333"/>
          <w:sz w:val="21"/>
          <w:szCs w:val="21"/>
        </w:rPr>
        <w:t xml:space="preserve">Quality by Design represents a fundamental philosophical shift in pharmaceutical development — from testing quality into a finished product to building quality into every step of the design, development, and manufacturing process. ICH Q8 (Pharmaceutical Development), Q9 (Quality Risk Management), and Q10 (Pharmaceutical Quality System) collectively form the ICH Quality Trilogy that underpins modern pharmaceutical quality practice. Digital tools are enabling QbD implementation at a depth and consistency that was previously impossible.</w:t>
      </w:r>
    </w:p>
    <w:p>
      <w:pPr>
        <w:spacing w:after="120"/>
      </w:pPr>
      <w:r>
        <w:rPr>
          <w:i w:val="false"/>
          <w:iCs w:val="false"/>
          <w:color w:val="1C2333"/>
          <w:sz w:val="21"/>
          <w:szCs w:val="21"/>
        </w:rPr>
        <w:t xml:space="preserve">Design Space Modelling. The design space — the multidimensional combination of input variables and process parameters within which operation consistently produces product meeting quality specifications — is naturally a computational concept. Digital tools using Design of Experiments (DoE) and multivariate statistical modelling allow development teams to explore the design space systematically, identifying the critical process parameters and their acceptable ranges with unprecedented efficiency. Once established, the design space can be encoded into process control systems that enforce it automatically, providing real-time assurance that the process is operating within validated conditions.</w:t>
      </w:r>
    </w:p>
    <w:p>
      <w:pPr>
        <w:spacing w:after="120"/>
      </w:pPr>
      <w:r>
        <w:rPr>
          <w:i w:val="false"/>
          <w:iCs w:val="false"/>
          <w:color w:val="1C2333"/>
          <w:sz w:val="21"/>
          <w:szCs w:val="21"/>
        </w:rPr>
        <w:t xml:space="preserve">Control Strategy Automation. A risk-based control strategy — the planned set of controls derived from product and process understanding — is the operational expression of the QbD design space. In digitally mature manufacturing environments, the control strategy is not just documented in quality dossiers; it is operationalised in the manufacturing execution system, the process analytical technology platform, and the real-time statistical process control (SPC) system. Deviations from the control strategy trigger automated alerts and escalation workflows, eliminating the detection latency that characterises manual monitoring.</w:t>
      </w:r>
    </w:p>
    <w:p>
      <w:pPr>
        <w:spacing w:after="120"/>
      </w:pPr>
      <w:r>
        <w:rPr>
          <w:i w:val="false"/>
          <w:iCs w:val="false"/>
          <w:color w:val="1C2333"/>
          <w:sz w:val="21"/>
          <w:szCs w:val="21"/>
        </w:rPr>
        <w:t xml:space="preserve">Continued Process Verification. ICH Q10's concept of continued process verification — the ongoing assurance that a process remains in a state of control during routine production — is transformed by digital tools. Rather than periodic manual review of statistical process data, digital CPV platforms provide continuous, automated monitoring of all critical quality attributes and process parameters, with trending algorithms that detect gradual drift before it reaches the specification boundary.</w:t>
      </w:r>
    </w:p>
    <w:p>
      <w:pPr>
        <w:pStyle w:val="Heading2"/>
        <w:spacing w:after="120" w:before="240"/>
      </w:pPr>
      <w:r>
        <w:rPr>
          <w:b/>
          <w:bCs/>
          <w:color w:val="0D2B55"/>
        </w:rPr>
        <w:t xml:space="preserve">7.8 Batch Record Digitisation and Manufacturing Intelligence</w:t>
      </w:r>
    </w:p>
    <w:p>
      <w:pPr>
        <w:spacing w:after="120"/>
      </w:pPr>
      <w:r>
        <w:rPr>
          <w:i w:val="false"/>
          <w:iCs w:val="false"/>
          <w:color w:val="1C2333"/>
          <w:sz w:val="21"/>
          <w:szCs w:val="21"/>
        </w:rPr>
        <w:t xml:space="preserve">The paper batch record is the foundational quality document of pharmaceutical manufacturing — and its digitisation is one of the highest-impact quality transformation investments available. Beyond the compliance benefits described earlier, electronic batch records (EBRs) are the primary data source for manufacturing intelligence: the analytics, AI, and optimisation capabilities that drive continuous improvement in quality and efficiency.</w:t>
      </w:r>
    </w:p>
    <w:p>
      <w:pPr>
        <w:spacing w:after="120"/>
      </w:pPr>
      <w:r>
        <w:rPr>
          <w:i w:val="false"/>
          <w:iCs w:val="false"/>
          <w:color w:val="1C2333"/>
          <w:sz w:val="21"/>
          <w:szCs w:val="21"/>
        </w:rPr>
        <w:t xml:space="preserve">Structured Data Capture. A paper batch record captures process data as free text or manual entries that are difficult to extract and analyse systematically. An EBR captures the same data in structured, queryable form — enabling trend analysis across hundreds or thousands of batches, identification of process patterns correlating with quality outcomes, and training of predictive quality models that would be impossible to build from paper records.</w:t>
      </w:r>
    </w:p>
    <w:p>
      <w:pPr>
        <w:spacing w:after="120"/>
      </w:pPr>
      <w:r>
        <w:rPr>
          <w:i w:val="false"/>
          <w:iCs w:val="false"/>
          <w:color w:val="1C2333"/>
          <w:sz w:val="21"/>
          <w:szCs w:val="21"/>
        </w:rPr>
        <w:t xml:space="preserve">Right-First-Time Analytics. Manufacturing analytics platforms that ingest EBR data can identify the process conditions that consistently produce in-specification product and those associated with deviations. This analysis feeds back into process parameter optimisation, reducing deviation rates and improving right-first-time performance. Leading manufacturers are reporting 10–15% improvement in right-first-time rates within 18 months of implementing integrated EBR and manufacturing analytics programs.</w:t>
      </w:r>
    </w:p>
    <w:p>
      <w:pPr>
        <w:spacing w:after="120"/>
      </w:pPr>
      <w:r>
        <w:rPr>
          <w:i w:val="false"/>
          <w:iCs w:val="false"/>
          <w:color w:val="1C2333"/>
          <w:sz w:val="21"/>
          <w:szCs w:val="21"/>
        </w:rPr>
        <w:t xml:space="preserve">Batch Release Acceleration. The traditional batch release process — manual compilation of batch records, quality control results, and environmental monitoring data for quality unit review — is a major bottleneck in supply chain responsiveness. Digital batch release platforms that automatically compile all relevant data, apply automated limit checks, and present an exception-based review dashboard to the quality unit can compress batch release cycle times from weeks to days. Real-time release testing (RTRT), where allowed by regulatory approval, eliminates end-batch testing entirely and enables immediate release of in-specification batches.</w:t>
      </w:r>
    </w:p>
    <w:p>
      <w:pPr>
        <w:pStyle w:val="Heading2"/>
        <w:spacing w:after="120" w:before="240"/>
      </w:pPr>
      <w:r>
        <w:rPr>
          <w:b/>
          <w:bCs/>
          <w:color w:val="0D2B55"/>
        </w:rPr>
        <w:t xml:space="preserve">7.9 Predictive Quality Analytics and AI in QA</w:t>
      </w:r>
    </w:p>
    <w:p>
      <w:pPr>
        <w:spacing w:after="120"/>
      </w:pPr>
      <w:r>
        <w:rPr>
          <w:i w:val="false"/>
          <w:iCs w:val="false"/>
          <w:color w:val="1C2333"/>
          <w:sz w:val="21"/>
          <w:szCs w:val="21"/>
        </w:rPr>
        <w:t xml:space="preserve">Predictive quality analytics — the use of machine learning models to identify quality risks before they manifest as deviations or failures — represents the frontier of pharmaceutical quality management transformation. Several application areas have moved from concept to deployed capability at leading manufacturers.</w:t>
      </w:r>
    </w:p>
    <w:p>
      <w:pPr>
        <w:spacing w:after="120"/>
      </w:pPr>
      <w:r>
        <w:rPr>
          <w:i w:val="false"/>
          <w:iCs w:val="false"/>
          <w:color w:val="1C2333"/>
          <w:sz w:val="21"/>
          <w:szCs w:val="21"/>
        </w:rPr>
        <w:t xml:space="preserve">Deviation Prediction. ML models trained on historical process data, environmental monitoring results, raw material variability, and equipment performance metrics can identify batches at elevated risk of quality events days before they occur. This early warning capability allows quality and manufacturing teams to investigate and intervene while the batch is still in process, rather than discovering the issue at end-of-batch testing.</w:t>
      </w:r>
    </w:p>
    <w:p>
      <w:pPr>
        <w:spacing w:after="120"/>
      </w:pPr>
      <w:r>
        <w:rPr>
          <w:i w:val="false"/>
          <w:iCs w:val="false"/>
          <w:color w:val="1C2333"/>
          <w:sz w:val="21"/>
          <w:szCs w:val="21"/>
        </w:rPr>
        <w:t xml:space="preserve">CAPA Effectiveness Prediction. Root cause analysis and CAPA effectiveness are notoriously difficult quality management challenges — the same root causes recur repeatedly, and CAPAs that looked comprehensive on paper fail to prevent recurrence. AI models trained on historical CAPA data, deviation patterns, and process outcomes can predict which CAPAs are likely to be effective and which are at risk of recurrence, enabling quality teams to invest additional scrutiny where it is most needed.</w:t>
      </w:r>
    </w:p>
    <w:p>
      <w:pPr>
        <w:spacing w:after="120"/>
      </w:pPr>
      <w:r>
        <w:rPr>
          <w:i w:val="false"/>
          <w:iCs w:val="false"/>
          <w:color w:val="1C2333"/>
          <w:sz w:val="21"/>
          <w:szCs w:val="21"/>
        </w:rPr>
        <w:t xml:space="preserve">Supplier Risk Scoring. Raw material variability is a major contributor to pharmaceutical manufacturing quality events. AI-powered supplier quality analytics platforms that integrate material testing data, supplier audit histories, financial health scores, and regulatory compliance records generate dynamic risk scores that identify high-risk material supplies before they affect production — enabling proactive quality intervention rather than reactive investigation.</w:t>
      </w:r>
    </w:p>
    <w:p>
      <w:pPr>
        <w:pStyle w:val="Heading2"/>
        <w:spacing w:after="120" w:before="240"/>
      </w:pPr>
      <w:r>
        <w:rPr>
          <w:b/>
          <w:bCs/>
          <w:color w:val="0D2B55"/>
        </w:rPr>
        <w:t xml:space="preserve">7.10 GMP Annex 11 and 21 CFR Part 11 — Compliance Architecture</w:t>
      </w:r>
    </w:p>
    <w:p>
      <w:pPr>
        <w:spacing w:after="120"/>
      </w:pPr>
      <w:r>
        <w:rPr>
          <w:i w:val="false"/>
          <w:iCs w:val="false"/>
          <w:color w:val="1C2333"/>
          <w:sz w:val="21"/>
          <w:szCs w:val="21"/>
        </w:rPr>
        <w:t xml:space="preserve">GxP computerised system compliance — the requirement that digital systems used in pharmaceutical manufacturing and quality management meet specific standards for data integrity, validation, and audit trail completeness — is the defining regulatory constraint of pharmaceutical quality digitalization. Understanding the compliance architecture is essential to designing digital quality systems that are both effective and regulatorily defensible.</w:t>
      </w:r>
    </w:p>
    <w:p>
      <w:pPr>
        <w:spacing w:after="120"/>
      </w:pPr>
      <w:r>
        <w:rPr>
          <w:i w:val="false"/>
          <w:iCs w:val="false"/>
          <w:color w:val="1C2333"/>
          <w:sz w:val="21"/>
          <w:szCs w:val="21"/>
        </w:rPr>
        <w:t xml:space="preserve">21 CFR Part 11 (US FDA) requires that electronic records used in FDA-regulated activities meet specific requirements for access controls, audit trails, electronic signatures, and system validation. Key requirements include: unique user IDs and passwords, authority checks, timestamp-recorded audit trails that cannot be disabled, and electronic signatures that are linked to their respective records. Systems that do not meet these requirements cannot be used for GxP record-keeping in US-regulated manufacturing.</w:t>
      </w:r>
    </w:p>
    <w:p>
      <w:pPr>
        <w:spacing w:after="120"/>
      </w:pPr>
      <w:r>
        <w:rPr>
          <w:i w:val="false"/>
          <w:iCs w:val="false"/>
          <w:color w:val="1C2333"/>
          <w:sz w:val="21"/>
          <w:szCs w:val="21"/>
        </w:rPr>
        <w:t xml:space="preserve">EU GMP Annex 11 (European Medicines Agency) sets equivalent requirements for computerised systems used in GMP-regulated activities in the European Union. Annex 11 is notable for its requirements around risk-based validation, data migration, legacy systems, and cloud-hosted systems — all areas of particular relevance to pharmaceutical digital transformation programs.</w:t>
      </w:r>
    </w:p>
    <w:p>
      <w:pPr>
        <w:spacing w:after="120"/>
      </w:pPr>
      <w:r>
        <w:rPr>
          <w:i w:val="false"/>
          <w:iCs w:val="false"/>
          <w:color w:val="1C2333"/>
          <w:sz w:val="21"/>
          <w:szCs w:val="21"/>
        </w:rPr>
        <w:t xml:space="preserve">Computer Software Assurance (CSA) — FDA's 2022 guidance that replaces the earlier Computer System Validation (CSV) framework — introduces a risk-based approach that reduces the validation burden for lower-risk software while maintaining rigour for high-risk GxP applications. CSA allows manufacturers to leverage vendor testing and focus their validation effort on the elements of highest risk to data integrity and product quality.</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7.1: Integrated Electronic Quality Management System — Hub Architecture</w:t>
      </w:r>
    </w:p>
    <w:p>
      <w:r>
        <w:br w:type="page"/>
      </w:r>
    </w:p>
    <w:p>
      <w:pPr>
        <w:pStyle w:val="Heading1"/>
        <w:spacing w:after="120" w:before="240"/>
      </w:pPr>
      <w:r>
        <w:rPr>
          <w:b/>
          <w:bCs/>
          <w:color w:val="0D2B55"/>
        </w:rPr>
        <w:t xml:space="preserve">Chapter 8: Regulatory Affairs &amp; Compliance — Digital Transformation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Regulatory affairs sits at the intersection of science, law, and operations — and it is being profoundly reshaped by digitalization. The submission of regulatory dossiers, the management of global product registrations, the generation and integration of real-world evidence, the conduct of pharmacovigilance, and the navigation of an ever-evolving global regulatory landscape are all becoming faster, more accurate, and more strategically powerful as digital tools mature. This chapter explores how digital transformation is redefining the regulatory function from a compliance administration role into a strategic scientific and commercial capability.</w:t>
      </w:r>
    </w:p>
    <w:p>
      <w:pPr>
        <w:pStyle w:val="Heading2"/>
        <w:spacing w:after="120" w:before="240"/>
      </w:pPr>
      <w:r>
        <w:rPr>
          <w:b/>
          <w:bCs/>
          <w:color w:val="0D2B55"/>
        </w:rPr>
        <w:t xml:space="preserve">8.1 The Regulatory Affairs Transformation Context</w:t>
      </w:r>
    </w:p>
    <w:p>
      <w:pPr>
        <w:spacing w:after="120"/>
      </w:pPr>
      <w:r>
        <w:rPr>
          <w:i w:val="false"/>
          <w:iCs w:val="false"/>
          <w:color w:val="1C2333"/>
          <w:sz w:val="21"/>
          <w:szCs w:val="21"/>
        </w:rPr>
        <w:t xml:space="preserve">The regulatory affairs function in a large pharmaceutical company is responsible for managing relationships with regulatory authorities in every market where the company's products are approved, generating and compiling the evidence packages that regulators use to make approval decisions, maintaining the post-approval compliance obligations for every approved product, and monitoring the evolving global regulatory environment for changes that affect the company's portfolio. In a company with a 50-product global portfolio across 100 markets, this means managing approximately 5,000 individual product registrations, each with its own lifecycle of annual updates, renewal submissions, post-approval change notifications, and pharmacovigilance obligations.</w:t>
      </w:r>
    </w:p>
    <w:p>
      <w:pPr>
        <w:spacing w:after="120"/>
      </w:pPr>
      <w:r>
        <w:rPr>
          <w:i w:val="false"/>
          <w:iCs w:val="false"/>
          <w:color w:val="1C2333"/>
          <w:sz w:val="21"/>
          <w:szCs w:val="21"/>
        </w:rPr>
        <w:t xml:space="preserve">Managing this complexity without digital tools is essentially impossible at scale. Legacy regulatory affairs operations — teams managing product registrations in spreadsheets, submitting dossiers through sequential email workflows, and tracking pharmacovigilance obligations in shared network drives — are characterized by missed deadlines, version control errors, regulatory intelligence gaps, and the constant operational pressure of managing a registration portfolio that grows larger and more complex every year.</w:t>
      </w:r>
    </w:p>
    <w:p>
      <w:pPr>
        <w:pStyle w:val="Heading2"/>
        <w:spacing w:after="120" w:before="240"/>
      </w:pPr>
      <w:r>
        <w:rPr>
          <w:b/>
          <w:bCs/>
          <w:color w:val="0D2B55"/>
        </w:rPr>
        <w:t xml:space="preserve">8.2 Regulatory Information Management</w:t>
      </w:r>
    </w:p>
    <w:p>
      <w:pPr>
        <w:spacing w:after="120"/>
      </w:pPr>
      <w:r>
        <w:rPr>
          <w:i w:val="false"/>
          <w:iCs w:val="false"/>
          <w:color w:val="1C2333"/>
          <w:sz w:val="21"/>
          <w:szCs w:val="21"/>
        </w:rPr>
        <w:t xml:space="preserve">Regulatory Information Management (RIM) — the systematic digital management of product registration information across all markets — is the foundational digital investment for a modern regulatory affairs function. A RIM platform provides a unified, structured repository of all regulatory information for every product in every market: submission history, approval dates, approved labeling, post-approval commitments, regulatory agency contacts, and the full dossier content in linked, version-controlled form.</w:t>
      </w:r>
    </w:p>
    <w:p>
      <w:pPr>
        <w:spacing w:after="120"/>
      </w:pPr>
      <w:r>
        <w:rPr>
          <w:i w:val="false"/>
          <w:iCs w:val="false"/>
          <w:color w:val="1C2333"/>
          <w:sz w:val="21"/>
          <w:szCs w:val="21"/>
        </w:rPr>
        <w:t xml:space="preserve">The business case for RIM is straightforward. Without a RIM system, regulatory affairs teams in large companies spend an estimated 30 to 40 percent of their time searching for information — finding the current approved label for a specific market, determining what post-approval commitments are outstanding, or reconstructing the submission history for a product facing a regulatory query. A well-implemented RIM platform makes all of this information instantly accessible, reduces the risk of missed regulatory deadlines, and provides management visibility into the health of the global registration portfolio.</w:t>
      </w:r>
    </w:p>
    <w:p>
      <w:pPr>
        <w:spacing w:after="120"/>
      </w:pPr>
      <w:r>
        <w:rPr>
          <w:i w:val="false"/>
          <w:iCs w:val="false"/>
          <w:color w:val="1C2333"/>
          <w:sz w:val="21"/>
          <w:szCs w:val="21"/>
        </w:rPr>
        <w:t xml:space="preserve">Veeva Vault RIM, IQVIA Regulatory Submission Management, and Lorenz docuBridge are among the leading RIM platforms in the industry, with Veeva achieving the dominant market position following the industry's broad adoption of Vault as an enterprise platform for life sciences content management. A key capability of modern RIM platforms is their integration with structured content management — enabling the creation of regulatory dossiers not as static documents but as assembled outputs from a structured database of scientific content, where changes to a study report or a specification can automatically propagate to all submissions in which that content is referenced.</w:t>
      </w:r>
    </w:p>
    <w:p>
      <w:pPr>
        <w:pStyle w:val="Heading2"/>
        <w:spacing w:after="120" w:before="240"/>
      </w:pPr>
      <w:r>
        <w:rPr>
          <w:b/>
          <w:bCs/>
          <w:color w:val="0D2B55"/>
        </w:rPr>
        <w:t xml:space="preserve">8.3 Structured Content Management and Submission Automation</w:t>
      </w:r>
    </w:p>
    <w:p>
      <w:pPr>
        <w:spacing w:after="120"/>
      </w:pPr>
      <w:r>
        <w:rPr>
          <w:i w:val="false"/>
          <w:iCs w:val="false"/>
          <w:color w:val="1C2333"/>
          <w:sz w:val="21"/>
          <w:szCs w:val="21"/>
        </w:rPr>
        <w:t xml:space="preserve">The electronic Common Technical Document (eCTD) is the globally mandated format for regulatory submissions in the US, EU, Japan, Canada, and an increasing number of other markets. The eCTD structure — a hierarchical organization of documents across five modules covering administrative, quality, nonclinical, and clinical domains — defines the information architecture of every major regulatory submission.</w:t>
      </w:r>
    </w:p>
    <w:p>
      <w:pPr>
        <w:spacing w:after="120"/>
      </w:pPr>
      <w:r>
        <w:rPr>
          <w:i w:val="false"/>
          <w:iCs w:val="false"/>
          <w:color w:val="1C2333"/>
          <w:sz w:val="21"/>
          <w:szCs w:val="21"/>
        </w:rPr>
        <w:t xml:space="preserve">Modern regulatory submission automation platforms go beyond simply assembling documents into the eCTD format. They treat the submission as a structured data object — where individual scientific claims, study references, and data tables are linked to their source data systems and can be automatically updated when underlying data changes. This approach — called structured authoring or intelligent authoring — enables the automatic population of submission templates from validated data sources, reducing the manual authoring burden and the error rate in submissions.</w:t>
      </w:r>
    </w:p>
    <w:p>
      <w:pPr>
        <w:spacing w:after="120"/>
      </w:pPr>
      <w:r>
        <w:rPr>
          <w:i w:val="false"/>
          <w:iCs w:val="false"/>
          <w:color w:val="1C2333"/>
          <w:sz w:val="21"/>
          <w:szCs w:val="21"/>
        </w:rPr>
        <w:t xml:space="preserve">The impact on submission cycle time is significant. Organizations that have implemented structured content management and submission automation report a 30 to 50 percent reduction in the time from regulatory strategy decision to submission package delivery. For a New Drug Application or Marketing Authorization Application representing years of R&amp;D investment, compressing the submission cycle by 3 to 6 months translates directly into earlier revenue realization and competitive advantage.</w:t>
      </w:r>
    </w:p>
    <w:p>
      <w:pPr>
        <w:pStyle w:val="Heading2"/>
        <w:spacing w:after="120" w:before="240"/>
      </w:pPr>
      <w:r>
        <w:rPr>
          <w:b/>
          <w:bCs/>
          <w:color w:val="0D2B55"/>
        </w:rPr>
        <w:t xml:space="preserve">8.4 Pharmacovigilance: Digital Safety Surveillance</w:t>
      </w:r>
    </w:p>
    <w:p>
      <w:pPr>
        <w:spacing w:after="120"/>
      </w:pPr>
      <w:r>
        <w:rPr>
          <w:i w:val="false"/>
          <w:iCs w:val="false"/>
          <w:color w:val="1C2333"/>
          <w:sz w:val="21"/>
          <w:szCs w:val="21"/>
        </w:rPr>
        <w:t xml:space="preserve">Pharmacovigilance (PV) — the ongoing monitoring of drug safety after regulatory approval — is both a legal obligation and a scientific discipline. Pharmaceutical companies are required to collect, assess, and report adverse events from patients, healthcare providers, and the published literature to regulatory authorities globally. For a large company managing dozens of marketed products, this means processing hundreds of thousands of individual case safety reports (ICSRs) per year.</w:t>
      </w:r>
    </w:p>
    <w:p>
      <w:pPr>
        <w:spacing w:after="120"/>
      </w:pPr>
      <w:r>
        <w:rPr>
          <w:i w:val="false"/>
          <w:iCs w:val="false"/>
          <w:color w:val="1C2333"/>
          <w:sz w:val="21"/>
          <w:szCs w:val="21"/>
        </w:rPr>
        <w:t xml:space="preserve">The digital transformation of pharmacovigilance has two dimensions. The operational dimension — case intake, case processing, medical coding, case narrative writing, and regulatory reporting — has been substantially automated through AI-assisted processing tools that can intake cases from structured and unstructured sources (email, call center transcripts, social media, published literature), perform automated triage and completeness assessment, pre-populate case narratives using natural language generation, and generate submission-ready Individual Case Safety Reports (ICSRs) for regulatory transmission. These automation tools are reducing PV case processing costs by 40 to 60 percent in organizations that have fully deployed them, while simultaneously reducing the error rate in regulatory submissions.</w:t>
      </w:r>
    </w:p>
    <w:p>
      <w:pPr>
        <w:spacing w:after="120"/>
      </w:pPr>
      <w:r>
        <w:rPr>
          <w:i w:val="false"/>
          <w:iCs w:val="false"/>
          <w:color w:val="1C2333"/>
          <w:sz w:val="21"/>
          <w:szCs w:val="21"/>
        </w:rPr>
        <w:t xml:space="preserve">The scientific dimension of PV digitalization — signal detection and benefit-risk assessment — is being transformed by AI-driven signal analytics platforms that can identify safety signals from aggregated post-marketing data earlier and more reliably than traditional statistical methods. Multi-source signal detection — combining spontaneous reporting data with claims data, electronic health records, social media, and published literature — is creating a richer signal environment that identifies emerging safety issues faster than any single data source could alone.</w:t>
      </w:r>
    </w:p>
    <w:p>
      <w:pPr>
        <w:pStyle w:val="Heading2"/>
        <w:spacing w:after="120" w:before="240"/>
      </w:pPr>
      <w:r>
        <w:rPr>
          <w:b/>
          <w:bCs/>
          <w:color w:val="0D2B55"/>
        </w:rPr>
        <w:t xml:space="preserve">8.5 Real-World Evidence in Regulatory Decision-Making</w:t>
      </w:r>
    </w:p>
    <w:p>
      <w:pPr>
        <w:spacing w:after="120"/>
      </w:pPr>
      <w:r>
        <w:rPr>
          <w:i w:val="false"/>
          <w:iCs w:val="false"/>
          <w:color w:val="1C2333"/>
          <w:sz w:val="21"/>
          <w:szCs w:val="21"/>
        </w:rPr>
        <w:t xml:space="preserve">Real-world evidence (RWE) — evidence generated from real-world data sources including electronic health records, claims databases, patient registries, and wearable device data, as distinct from evidence generated in randomized controlled trials — is playing an increasingly significant role in regulatory decision-making globally. The FDA's RWE Program, the EMA's DARWIN EU real-world evidence platform, and the UK MHRA's Real World Evidence Framework are all expanding the regulatory contexts in which RWE is accepted as evidence for regulatory decisions.</w:t>
      </w:r>
    </w:p>
    <w:p>
      <w:pPr>
        <w:spacing w:after="120"/>
      </w:pPr>
      <w:r>
        <w:rPr>
          <w:i w:val="false"/>
          <w:iCs w:val="false"/>
          <w:color w:val="1C2333"/>
          <w:sz w:val="21"/>
          <w:szCs w:val="21"/>
        </w:rPr>
        <w:t xml:space="preserve">The strategic implications for pharmaceutical companies are profound. RWE can support label expansions without additional randomized trials — as demonstrated by the FDA's approval of new indications for several oncology drugs based on real-world registry data. It can satisfy post-approval commitments more rapidly and cost-effectively than traditional Phase IV trials. It can provide the comparative effectiveness data that payers increasingly require as a condition of reimbursement. And in rare diseases, where randomized controlled trials are often impractical due to small patient populations, RWE provides an alternative evidentiary pathway that regulators are actively developing frameworks to accept.</w:t>
      </w:r>
    </w:p>
    <w:p>
      <w:pPr>
        <w:spacing w:after="120"/>
      </w:pPr>
      <w:r>
        <w:rPr>
          <w:i w:val="false"/>
          <w:iCs w:val="false"/>
          <w:color w:val="1C2333"/>
          <w:sz w:val="21"/>
          <w:szCs w:val="21"/>
        </w:rPr>
        <w:t xml:space="preserve">Building a RWE capability requires investment in several layers: access to high-quality real-world data sources (health system EHR networks, claims databases, disease registries), analytical infrastructure for processing and analyzing these data, regulatory-grade documentation and governance for RWE studies, and relationships with regulatory agencies to pre-discuss and validate RWE approaches before committing to a study design. Companies that have built this capability are generating competitive advantages that pure trial-based evidence strategies cannot match.</w:t>
      </w:r>
    </w:p>
    <w:p>
      <w:pPr>
        <w:pStyle w:val="Heading2"/>
        <w:spacing w:after="120" w:before="240"/>
      </w:pPr>
      <w:r>
        <w:rPr>
          <w:b/>
          <w:bCs/>
          <w:color w:val="0D2B55"/>
        </w:rPr>
        <w:t xml:space="preserve">8.6 Regulatory Intelligence and Digital Regulatory Strategy</w:t>
      </w:r>
    </w:p>
    <w:p>
      <w:pPr>
        <w:spacing w:after="120"/>
      </w:pPr>
      <w:r>
        <w:rPr>
          <w:i w:val="false"/>
          <w:iCs w:val="false"/>
          <w:color w:val="1C2333"/>
          <w:sz w:val="21"/>
          <w:szCs w:val="21"/>
        </w:rPr>
        <w:t xml:space="preserve">The global regulatory environment is in continuous evolution — new guidelines, revised standards, updated digital health frameworks, and changing agency expectations are published constantly. Staying current with this environment across all relevant markets is a full-time intelligence function, and doing it through manual literature review and regulatory newsletter subscriptions does not scale.</w:t>
      </w:r>
    </w:p>
    <w:p>
      <w:pPr>
        <w:spacing w:after="120"/>
      </w:pPr>
      <w:r>
        <w:rPr>
          <w:i w:val="false"/>
          <w:iCs w:val="false"/>
          <w:color w:val="1C2333"/>
          <w:sz w:val="21"/>
          <w:szCs w:val="21"/>
        </w:rPr>
        <w:t xml:space="preserve">AI-powered regulatory intelligence platforms continuously monitor regulatory agency websites, Federal Register publications, EudraLex updates, ICH working group outputs, and regulatory conference proceedings to extract, classify, and alert regulatory teams to relevant changes. These platforms can assess the impact of regulatory changes on the company's product portfolio and strategic plans — flagging, for example, that a new EU guideline on continuous manufacturing requires a post-approval variation for all products manufactured using continuous processes in EU-approved facilities.</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What is the current average time from data lock on a Phase III trial to eCTD submission of the marketing application — and what would a world-class timeline look like? Does the organization have a unified RIM platform that provides real-time visibility into every product registration, renewal deadline, and post-approval commitment globally? What is the organization's strategy for real-world evidence, and is the RWE capability in place to execute it? How is the organization monitoring the evolving regulatory digital health framework — AI software as a medical device, digital endpoint guidance, real-world evidence standards — and who is accountable for translating regulatory intelligence into strategy?</w:t>
      </w:r>
    </w:p>
    <w:p>
      <w:pPr>
        <w:pBdr>
          <w:left w:val="single" w:color="C9A84C" w:sz="18" w:space="8"/>
        </w:pBdr>
        <w:shd w:fill="FBF6E9" w:color="auto" w:val="clear"/>
        <w:spacing w:after="120"/>
        <w:ind w:left="240"/>
      </w:pPr>
      <w:r>
        <w:rPr>
          <w:i/>
          <w:iCs/>
          <w:color w:val="1C2333"/>
          <w:sz w:val="21"/>
          <w:szCs w:val="21"/>
        </w:rPr>
        <w:t xml:space="preserve">🌍 REGIONAL SPOTLIGHT: REGULATORY DIGITALIZATION ACROSS MARKETS</w:t>
      </w:r>
    </w:p>
    <w:p>
      <w:pPr>
        <w:pBdr>
          <w:left w:val="single" w:color="C9A84C" w:sz="18" w:space="8"/>
        </w:pBdr>
        <w:shd w:fill="FBF6E9" w:color="auto" w:val="clear"/>
        <w:spacing w:after="120"/>
        <w:ind w:left="240"/>
      </w:pPr>
      <w:r>
        <w:rPr>
          <w:i/>
          <w:iCs/>
          <w:color w:val="1C2333"/>
          <w:sz w:val="21"/>
          <w:szCs w:val="21"/>
        </w:rPr>
        <w:t xml:space="preserve">In the US, FDA's digital modernization agenda is among the most advanced in the world. The FDA's DSCSA implementation, the Digital Health Center of Excellence, the AI/ML-based SaMD (Software as a Medical Device) action plan, the RWE Framework, and the Computer Software Assurance guidance collectively define a regulatory environment that actively rewards organizations with digital capabilities. Companies that engage early with FDA's digital pilot programs — including the Real-Time Oncology Review (RTOR) pilot that enables submission of final clinical data before the full eCTD is assembled — gain significant approval timeline advantages. In the EU, the EMA's digital transformation is embodied in its Data Analytics and Methods (DAM) strategy, the DARWIN EU real-world evidence infrastructure, and the progressive adoption of IDMP (Identification of Medicinal Products) structured data standards. The IDMP standard — which requires pharmaceutical companies to describe their products in a structured, machine-readable data format — is one of the most significant regulatory data standards investments the industry has made in a decade, enabling regulatory agencies to cross-reference product information across all 27 member states in real time.</w:t>
      </w:r>
    </w:p>
    <w:p>
      <w:pPr>
        <w:spacing w:after="120"/>
      </w:pPr>
      <w:r>
        <w:rPr>
          <w:i w:val="false"/>
          <w:iCs w:val="false"/>
          <w:color w:val="1C2333"/>
          <w:sz w:val="21"/>
          <w:szCs w:val="21"/>
        </w:rPr>
        <w:t xml:space="preserve">In India, CDSCO's SUGAM portal has digitalized the regulatory submission process for domestic and export-oriented manufacturers, replacing paper-based dossier submissions with electronic applications. The portal has significantly reduced submission processing times and improved transparency of the regulatory review process. India's ambition to become a reference regulatory authority — recognized by WHO and by stringent regulatory authorities as a credible peer for mutual reliance arrangements — is directly tied to the continued modernization of CDSCO's digital regulatory infrastructure.</w:t>
      </w:r>
    </w:p>
    <w:p>
      <w:pPr>
        <w:pStyle w:val="Heading2"/>
        <w:spacing w:after="120" w:before="240"/>
      </w:pPr>
      <w:r>
        <w:rPr>
          <w:b/>
          <w:bCs/>
          <w:color w:val="0D2B55"/>
        </w:rPr>
        <w:t xml:space="preserve">8.7 AI and Machine Learning in Regulatory Decision-Making</w:t>
      </w:r>
    </w:p>
    <w:p>
      <w:pPr>
        <w:spacing w:after="120"/>
      </w:pPr>
      <w:r>
        <w:rPr>
          <w:i w:val="false"/>
          <w:iCs w:val="false"/>
          <w:color w:val="1C2333"/>
          <w:sz w:val="21"/>
          <w:szCs w:val="21"/>
        </w:rPr>
        <w:t xml:space="preserve">The integration of AI into regulatory processes is moving from research concept to operational deployment, both within regulatory agencies and in the pharmaceutical companies that interact with them. Understanding this evolution is essential for regulatory affairs professionals planning their digital transformation investments.</w:t>
      </w:r>
    </w:p>
    <w:p>
      <w:pPr>
        <w:spacing w:after="120"/>
      </w:pPr>
      <w:r>
        <w:rPr>
          <w:i w:val="false"/>
          <w:iCs w:val="false"/>
          <w:color w:val="1C2333"/>
          <w:sz w:val="21"/>
          <w:szCs w:val="21"/>
        </w:rPr>
        <w:t xml:space="preserve">FDA's AI/ML Action Plan. The FDA's 2021 Action Plan for AI/ML-based Software as a Medical Device (SaMD) outlined a pathway for the regulatory oversight of AI tools used in medical decision-making. While primarily focused on diagnostic AI, the principles — transparent documentation, performance monitoring, predetermined change control plans — are increasingly being applied to AI tools used in pharmaceutical development and pharmacovigilance. The FDA has also published guidance on AI-assisted drug manufacturing, explicitly supporting the use of AI in process control if validated appropriately.</w:t>
      </w:r>
    </w:p>
    <w:p>
      <w:pPr>
        <w:spacing w:after="120"/>
      </w:pPr>
      <w:r>
        <w:rPr>
          <w:i w:val="false"/>
          <w:iCs w:val="false"/>
          <w:color w:val="1C2333"/>
          <w:sz w:val="21"/>
          <w:szCs w:val="21"/>
        </w:rPr>
        <w:t xml:space="preserve">EMA's Reflection Paper on AI. The European Medicines Agency's 2023 reflection paper on the use of AI throughout the medicines lifecycle identifies specific applications where AI is expected to have significant impact: target identification, clinical trial design, safety signal detection, benefit-risk assessment, and manufacturing process control. The paper also identifies the governance requirements — explainability, bias assessment, performance monitoring, and human oversight — that AI applications must satisfy to be accepted in regulatory submissions.</w:t>
      </w:r>
    </w:p>
    <w:p>
      <w:pPr>
        <w:spacing w:after="120"/>
      </w:pPr>
      <w:r>
        <w:rPr>
          <w:i w:val="false"/>
          <w:iCs w:val="false"/>
          <w:color w:val="1C2333"/>
          <w:sz w:val="21"/>
          <w:szCs w:val="21"/>
        </w:rPr>
        <w:t xml:space="preserve">AI in Regulatory Submissions. Large language models are being deployed by forward-thinking regulatory affairs teams to accelerate the authoring of regulatory documents — clinical study reports, investigator brochures, and summary sections of marketing applications. These tools can synthesise complex clinical data into narrative summaries, check documents for consistency with the regulatory dossier, and identify potential questions that agency reviewers are likely to raise. Used carefully with human review and expert validation, these tools are demonstrating 30–50% reductions in document authoring time.</w:t>
      </w:r>
    </w:p>
    <w:p>
      <w:pPr>
        <w:pStyle w:val="Heading2"/>
        <w:spacing w:after="120" w:before="240"/>
      </w:pPr>
      <w:r>
        <w:rPr>
          <w:b/>
          <w:bCs/>
          <w:color w:val="0D2B55"/>
        </w:rPr>
        <w:t xml:space="preserve">8.8 European Health Data Space and Cross-Border Evidence</w:t>
      </w:r>
    </w:p>
    <w:p>
      <w:pPr>
        <w:spacing w:after="120"/>
      </w:pPr>
      <w:r>
        <w:rPr>
          <w:i w:val="false"/>
          <w:iCs w:val="false"/>
          <w:color w:val="1C2333"/>
          <w:sz w:val="21"/>
          <w:szCs w:val="21"/>
        </w:rPr>
        <w:t xml:space="preserve">The European Health Data Space (EHDS), adopted by the European Parliament in 2024, represents the most significant structural change to European health data governance in decades. For pharmaceutical companies, its implications are profound and far-reaching.</w:t>
      </w:r>
    </w:p>
    <w:p>
      <w:pPr>
        <w:spacing w:after="120"/>
      </w:pPr>
      <w:r>
        <w:rPr>
          <w:i w:val="false"/>
          <w:iCs w:val="false"/>
          <w:color w:val="1C2333"/>
          <w:sz w:val="21"/>
          <w:szCs w:val="21"/>
        </w:rPr>
        <w:t xml:space="preserve">Primary Use Provisions. The EHDS establishes patients' rights to access their electronic health records in a standardised, machine-readable format across EU member states. This portability right will, over time, create a single European patient data ecosystem that makes pan-European real-world evidence generation substantially easier than the current patchwork of national health data systems.</w:t>
      </w:r>
    </w:p>
    <w:p>
      <w:pPr>
        <w:spacing w:after="120"/>
      </w:pPr>
      <w:r>
        <w:rPr>
          <w:i w:val="false"/>
          <w:iCs w:val="false"/>
          <w:color w:val="1C2333"/>
          <w:sz w:val="21"/>
          <w:szCs w:val="21"/>
        </w:rPr>
        <w:t xml:space="preserve">Secondary Use Provisions. The EHDS creates a regulated pathway for the secondary use of health data — including for pharmaceutical research — through national Health Data Access Bodies (HDABs) that can grant access to federated, pseudonymised patient data for approved research purposes. This infrastructure will fundamentally change the economics of real-world evidence generation in Europe, making large-scale observational research accessible to companies of all sizes.</w:t>
      </w:r>
    </w:p>
    <w:p>
      <w:pPr>
        <w:spacing w:after="120"/>
      </w:pPr>
      <w:r>
        <w:rPr>
          <w:i w:val="false"/>
          <w:iCs w:val="false"/>
          <w:color w:val="1C2333"/>
          <w:sz w:val="21"/>
          <w:szCs w:val="21"/>
        </w:rPr>
        <w:t xml:space="preserve">DARWIN EU. The European Medicines Agency's DARWIN EU real-world evidence platform is the operational implementation of the secondary use vision — a federated network of European health databases that the EMA can query to generate real-world evidence for regulatory decisions. By 2025, DARWIN EU covers over 100 million patient records across multiple EU member states. Pharmaceutical companies are beginning to design their post-approval evidence generation strategies around DARWIN EU capabilities.</w:t>
      </w:r>
    </w:p>
    <w:p>
      <w:pPr>
        <w:pStyle w:val="Heading2"/>
        <w:spacing w:after="120" w:before="240"/>
      </w:pPr>
      <w:r>
        <w:rPr>
          <w:b/>
          <w:bCs/>
          <w:color w:val="0D2B55"/>
        </w:rPr>
        <w:t xml:space="preserve">8.9 Regulatory Intelligence Platforms and Digital Strategy</w:t>
      </w:r>
    </w:p>
    <w:p>
      <w:pPr>
        <w:spacing w:after="120"/>
      </w:pPr>
      <w:r>
        <w:rPr>
          <w:i w:val="false"/>
          <w:iCs w:val="false"/>
          <w:color w:val="1C2333"/>
          <w:sz w:val="21"/>
          <w:szCs w:val="21"/>
        </w:rPr>
        <w:t xml:space="preserve">The global regulatory environment generates an enormous volume of guidance documents, consultation papers, agency communications, and legislative changes each year. A large pharmaceutical company operating in 100+ markets faces the challenge of monitoring and interpreting this continuous flow of regulatory intelligence across multiple languages, regulatory frameworks, and product categories.</w:t>
      </w:r>
    </w:p>
    <w:p>
      <w:pPr>
        <w:spacing w:after="120"/>
      </w:pPr>
      <w:r>
        <w:rPr>
          <w:i w:val="false"/>
          <w:iCs w:val="false"/>
          <w:color w:val="1C2333"/>
          <w:sz w:val="21"/>
          <w:szCs w:val="21"/>
        </w:rPr>
        <w:t xml:space="preserve">AI-Powered Regulatory Monitoring. Regulatory intelligence platforms (such as Citeline, Aris Global, and Veeva Vault Regulatory Intelligence) use natural language processing to continuously monitor regulatory agency websites, Federal Register publications, EudraLex updates, ICH working group outputs, and conference proceedings. Machine learning models classify, summarise, and assess the relevance of new regulatory developments to the company's specific product portfolio and operations.</w:t>
      </w:r>
    </w:p>
    <w:p>
      <w:pPr>
        <w:spacing w:after="120"/>
      </w:pPr>
      <w:r>
        <w:rPr>
          <w:i w:val="false"/>
          <w:iCs w:val="false"/>
          <w:color w:val="1C2333"/>
          <w:sz w:val="21"/>
          <w:szCs w:val="21"/>
        </w:rPr>
        <w:t xml:space="preserve">Impact Assessment Automation. When a new guideline is published, the regulatory intelligence platform can automatically assess which products and markets are affected, what the compliance timeline is, and what actions are required. This automation reduces the risk of missing a regulatory change that affects an approved product — a risk that carries real consequences in the form of non-compliant labels, missed post-approval commitments, or delayed submissions.</w:t>
      </w:r>
    </w:p>
    <w:p>
      <w:pPr>
        <w:spacing w:after="120"/>
      </w:pPr>
      <w:r>
        <w:rPr>
          <w:i w:val="false"/>
          <w:iCs w:val="false"/>
          <w:color w:val="1C2333"/>
          <w:sz w:val="21"/>
          <w:szCs w:val="21"/>
        </w:rPr>
        <w:t xml:space="preserve">Competitive Intelligence. Regulatory intelligence platforms that aggregate publicly available regulatory approval data provide competitive intelligence that is valuable for portfolio strategy. Tracking competitor approvals, new indications, label changes, and regulatory requests in therapeutic areas of interest gives regulatory affairs and business development teams early warning of competitive moves and market access dynamics.</w:t>
      </w:r>
    </w:p>
    <w:p>
      <w:pPr>
        <w:pStyle w:val="Heading2"/>
        <w:spacing w:after="120" w:before="240"/>
      </w:pPr>
      <w:r>
        <w:rPr>
          <w:b/>
          <w:bCs/>
          <w:color w:val="0D2B55"/>
        </w:rPr>
        <w:t xml:space="preserve">8.10 Digital Regulatory Affairs — The Talent and Capability Model</w:t>
      </w:r>
    </w:p>
    <w:p>
      <w:pPr>
        <w:spacing w:after="120"/>
      </w:pPr>
      <w:r>
        <w:rPr>
          <w:i w:val="false"/>
          <w:iCs w:val="false"/>
          <w:color w:val="1C2333"/>
          <w:sz w:val="21"/>
          <w:szCs w:val="21"/>
        </w:rPr>
        <w:t xml:space="preserve">The digital transformation of regulatory affairs requires a capability model that combines deep regulatory science expertise with digital and data fluency — a combination that is genuinely scarce. Building this capability is one of the most important talent investments a pharmaceutical company can make.</w:t>
      </w:r>
    </w:p>
    <w:p>
      <w:pPr>
        <w:spacing w:after="120"/>
      </w:pPr>
      <w:r>
        <w:rPr>
          <w:i w:val="false"/>
          <w:iCs w:val="false"/>
          <w:color w:val="1C2333"/>
          <w:sz w:val="21"/>
          <w:szCs w:val="21"/>
        </w:rPr>
        <w:t xml:space="preserve">Regulatory Informaticists. A new professional role — the regulatory informaticist — sits at the intersection of regulatory science, data management, and information technology. Regulatory informaticists design and implement structured content architectures, manage IDMP implementation programs, oversee RIM platform deployments, and ensure that the organisation's regulatory data meets the quality and structure requirements of modern electronic submissions.</w:t>
      </w:r>
    </w:p>
    <w:p>
      <w:pPr>
        <w:spacing w:after="120"/>
      </w:pPr>
      <w:r>
        <w:rPr>
          <w:i w:val="false"/>
          <w:iCs w:val="false"/>
          <w:color w:val="1C2333"/>
          <w:sz w:val="21"/>
          <w:szCs w:val="21"/>
        </w:rPr>
        <w:t xml:space="preserve">Data Science in Regulatory Affairs. Statistical and epidemiological expertise is increasingly central to regulatory strategy, as real-world evidence and Bayesian adaptive trial designs become more prominent in regulatory submissions. Regulatory affairs teams that have embedded data scientists and biostatisticians — alongside the traditional regulatory writers and project managers — are better positioned to design and execute the evidence generation strategies that modern regulators expect.</w:t>
      </w:r>
    </w:p>
    <w:p>
      <w:pPr>
        <w:spacing w:after="120"/>
      </w:pPr>
      <w:r>
        <w:rPr>
          <w:i w:val="false"/>
          <w:iCs w:val="false"/>
          <w:color w:val="1C2333"/>
          <w:sz w:val="21"/>
          <w:szCs w:val="21"/>
        </w:rPr>
        <w:t xml:space="preserve">GCC Regulatory Operations. An increasing number of global pharmaceutical companies are establishing regulatory operations Global Capability Centres in India, leveraging the country's combination of English-language capability, regulatory science talent, and cost efficiency to build global regulatory documentation, dossier management, and regulatory intelligence functions. These GCCs are proving to be highly effective at delivering complex regulatory operations at scale.</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8.1: Digital Regulatory Submission and Lifecycle Management Flow</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8.2: Digital Pharmacovigilance — Multi-Source AI Signal Detection</w:t>
      </w:r>
    </w:p>
    <w:p>
      <w:r>
        <w:br w:type="page"/>
      </w:r>
    </w:p>
    <w:p>
      <w:pPr>
        <w:pStyle w:val="Heading1"/>
        <w:spacing w:after="120" w:before="240"/>
      </w:pPr>
      <w:r>
        <w:rPr>
          <w:b/>
          <w:bCs/>
          <w:color w:val="0D2B55"/>
        </w:rPr>
        <w:t xml:space="preserve">Chapter 9: Commercial, Sales &amp; Marketing — Digital Transformation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commercial model of the pharmaceutical industry is undergoing its most fundamental restructuring in a generation. The era of the large, undifferentiated field force calling on all prescribers with the same message is over — dismantled by declining physician access, payer-driven prescribing constraints, the explosion of digital channels, and the growing sophistication of healthcare providers who expect pharmaceutical interactions to deliver genuine clinical value, not promotional repetition. In its place, a digitally enabled commercial model is emerging: one that uses AI to identify the right prescribers, data to personalize the message, omnichannel platforms to deliver it through whichever channel each prescriber prefers, and real-world outcome measurement to demonstrate the value of the therapy being promoted. This chapter builds the architecture of that model.</w:t>
      </w:r>
    </w:p>
    <w:p>
      <w:pPr>
        <w:pStyle w:val="Heading2"/>
        <w:spacing w:after="120" w:before="240"/>
      </w:pPr>
      <w:r>
        <w:rPr>
          <w:b/>
          <w:bCs/>
          <w:color w:val="0D2B55"/>
        </w:rPr>
        <w:t xml:space="preserve">9.1 The Disruption of the Traditional Pharma Commercial Model</w:t>
      </w:r>
    </w:p>
    <w:p>
      <w:pPr>
        <w:spacing w:after="120"/>
      </w:pPr>
      <w:r>
        <w:rPr>
          <w:i w:val="false"/>
          <w:iCs w:val="false"/>
          <w:color w:val="1C2333"/>
          <w:sz w:val="21"/>
          <w:szCs w:val="21"/>
        </w:rPr>
        <w:t xml:space="preserve">The pharma sales model that dominated the industry from the 1980s through the mid-2000s — a large field force of sales representatives making frequent face-to-face calls to primary care and specialist physicians, promoting branded products with standardized messages — is no longer viable as a standalone commercial strategy. Physician accessibility has declined by 40 percent over the past fifteen years, as healthcare systems have imposed call restrictions and physicians have migrated away from the private practice settings where rep access was once easy. The effectiveness of traditional detailing — measured in prescription lift per call — has fallen dramatically as physician practice patterns are increasingly governed by formulary restrictions, electronic prescribing decision support, and clinical protocol adherence that is largely insensitive to sales rep promotion.</w:t>
      </w:r>
    </w:p>
    <w:p>
      <w:pPr>
        <w:spacing w:after="120"/>
      </w:pPr>
      <w:r>
        <w:rPr>
          <w:i w:val="false"/>
          <w:iCs w:val="false"/>
          <w:color w:val="1C2333"/>
          <w:sz w:val="21"/>
          <w:szCs w:val="21"/>
        </w:rPr>
        <w:t xml:space="preserve">Simultaneously, the information landscape for physicians has been transformed. Physicians who want to learn about a new therapy do not wait for a sales rep visit; they search clinical databases, consult peer networks, attend virtual symposia, review digital formulary tools, and increasingly, interact with AI-assisted clinical decision support systems that synthesize evidence at the point of care. A commercial strategy that does not engage physicians through these digital touchpoints is invisible to a large fraction of its target audience.</w:t>
      </w:r>
    </w:p>
    <w:p>
      <w:pPr>
        <w:spacing w:after="120"/>
      </w:pPr>
      <w:r>
        <w:rPr>
          <w:i w:val="false"/>
          <w:iCs w:val="false"/>
          <w:color w:val="1C2333"/>
          <w:sz w:val="21"/>
          <w:szCs w:val="21"/>
        </w:rPr>
        <w:t xml:space="preserve">The commercial transformation that high-performing pharma companies are executing in response to these forces has three defining characteristics. It is data-driven — every resource allocation decision, from territory design to call frequency to message selection, is informed by analytics. It is omnichannel — the customer experience is designed across the full portfolio of channels (field, digital, remote) rather than optimized within individual channels in isolation. And it is outcome-oriented — the measure of commercial success is shifting from promotional activity metrics to patient outcome metrics, reflecting the payer and regulatory environment's growing demand that commercial effort translate into measurable health impact.</w:t>
      </w:r>
    </w:p>
    <w:p>
      <w:pPr>
        <w:pStyle w:val="Heading2"/>
        <w:spacing w:after="120" w:before="240"/>
      </w:pPr>
      <w:r>
        <w:rPr>
          <w:b/>
          <w:bCs/>
          <w:color w:val="0D2B55"/>
        </w:rPr>
        <w:t xml:space="preserve">9.2 Customer Intelligence and Next-Best-Action Analytics</w:t>
      </w:r>
    </w:p>
    <w:p>
      <w:pPr>
        <w:spacing w:after="120"/>
      </w:pPr>
      <w:r>
        <w:rPr>
          <w:i w:val="false"/>
          <w:iCs w:val="false"/>
          <w:color w:val="1C2333"/>
          <w:sz w:val="21"/>
          <w:szCs w:val="21"/>
        </w:rPr>
        <w:t xml:space="preserve">The foundation of a digital commercial model is customer intelligence — a comprehensive, AI-powered understanding of each healthcare provider's prescribing behavior, practice characteristics, channel preferences, message responsiveness, and patient population. Generating and operationalizing this intelligence at scale is the primary value driver of commercial data and analytics investment.</w:t>
      </w:r>
    </w:p>
    <w:p>
      <w:pPr>
        <w:spacing w:after="120"/>
      </w:pPr>
      <w:r>
        <w:rPr>
          <w:i w:val="false"/>
          <w:iCs w:val="false"/>
          <w:color w:val="1C2333"/>
          <w:sz w:val="21"/>
          <w:szCs w:val="21"/>
        </w:rPr>
        <w:t xml:space="preserve">Next-best-action (NBA) models are the operational expression of customer intelligence. An NBA model integrates prescribing history, call history, digital engagement data, payer formulary position, clinical event data (conference attendance, published research, guideline participation), and behavioral signals from digital channels to generate, for each individual prescriber, a specific recommendation about what action a commercial team member should take next — which channel to use, what message to deliver, and when to engage. The NBA recommendation is generated in real time, updated continuously as new engagement data is captured, and delivered to the relevant field or digital team member through their CRM or digital engagement platform.</w:t>
      </w:r>
    </w:p>
    <w:p>
      <w:pPr>
        <w:spacing w:after="120"/>
      </w:pPr>
      <w:r>
        <w:rPr>
          <w:i w:val="false"/>
          <w:iCs w:val="false"/>
          <w:color w:val="1C2333"/>
          <w:sz w:val="21"/>
          <w:szCs w:val="21"/>
        </w:rPr>
        <w:t xml:space="preserve">The commercial impact of mature NBA deployment is well-documented. A major European pharmaceutical company reported a 28 percent increase in prescriber share-of-voice following NBA implementation, with no increase in field force headcount. A US specialty pharma company found that NBA-driven message personalization improved message recall rates by 35 percent compared to standardized promotional messaging. The ROI from NBA investment typically manifests within 12 to 18 months of deployment — making it one of the fastest-returning digital commercial investments available.</w:t>
      </w:r>
    </w:p>
    <w:p>
      <w:pPr>
        <w:pBdr>
          <w:left w:val="single" w:color="C9A84C" w:sz="18" w:space="8"/>
        </w:pBdr>
        <w:shd w:fill="FBF6E9" w:color="auto" w:val="clear"/>
        <w:spacing w:after="120"/>
        <w:ind w:left="240"/>
      </w:pPr>
      <w:r>
        <w:rPr>
          <w:i/>
          <w:iCs/>
          <w:color w:val="1C2333"/>
          <w:sz w:val="21"/>
          <w:szCs w:val="21"/>
        </w:rPr>
        <w:t xml:space="preserve">📋 CASE STUDY: REAL-WORLD CASE STUDY: NOVARTIS' CUSTOMER ENGAGEMENT TRANSFORMATION</w:t>
      </w:r>
    </w:p>
    <w:p>
      <w:pPr>
        <w:pBdr>
          <w:left w:val="single" w:color="C9A84C" w:sz="18" w:space="8"/>
        </w:pBdr>
        <w:shd w:fill="FBF6E9" w:color="auto" w:val="clear"/>
        <w:spacing w:after="120"/>
        <w:ind w:left="240"/>
      </w:pPr>
      <w:r>
        <w:rPr>
          <w:i/>
          <w:iCs/>
          <w:color w:val="1C2333"/>
          <w:sz w:val="21"/>
          <w:szCs w:val="21"/>
        </w:rPr>
        <w:t xml:space="preserve">Novartis publicly disclosed the results of its AI-driven commercial transformation across several therapeutic franchises between 2021 and 2024. The program deployed AI-powered customer segmentation, next-best-action recommendations, and omnichannel orchestration across its commercial organization in the US and key European markets. The measurable outcomes included a 20 to 25 percent improvement in field force productivity (measured in high-quality interactions per representative per week), a 30 percent increase in prescriber engagement through digital channels, and an estimated USD 200 million in annual commercial efficiency gains across the transformed portfolio. Novartis' CDO organization has positioned this capability as a durable competitive advantage that will sustain commercial performance even as individual therapy patents expire.</w:t>
      </w:r>
    </w:p>
    <w:p>
      <w:pPr>
        <w:pStyle w:val="Heading2"/>
        <w:spacing w:after="120" w:before="240"/>
      </w:pPr>
      <w:r>
        <w:rPr>
          <w:b/>
          <w:bCs/>
          <w:color w:val="0D2B55"/>
        </w:rPr>
        <w:t xml:space="preserve">9.3 Omnichannel Customer Engagement</w:t>
      </w:r>
    </w:p>
    <w:p>
      <w:pPr>
        <w:spacing w:after="120"/>
      </w:pPr>
      <w:r>
        <w:rPr>
          <w:i w:val="false"/>
          <w:iCs w:val="false"/>
          <w:color w:val="1C2333"/>
          <w:sz w:val="21"/>
          <w:szCs w:val="21"/>
        </w:rPr>
        <w:t xml:space="preserve">Omnichannel engagement means designing the customer experience as a single, coherent journey across all channels — field, remote (virtual rep), email, approved digital platforms, virtual medical education events, peer-to-peer networks, and medical science liaison interactions — rather than managing each channel as an independent program. The distinction between multichannel (operating in multiple channels simultaneously) and omnichannel (integrating these channels into a single, coordinated customer experience) is the difference between a collection of commercial activities and a commercial system.</w:t>
      </w:r>
    </w:p>
    <w:p>
      <w:pPr>
        <w:spacing w:after="120"/>
      </w:pPr>
      <w:r>
        <w:rPr>
          <w:i w:val="false"/>
          <w:iCs w:val="false"/>
          <w:color w:val="1C2333"/>
          <w:sz w:val="21"/>
          <w:szCs w:val="21"/>
        </w:rPr>
        <w:t xml:space="preserve">The technology infrastructure for omnichannel pharma engagement centers on a Customer Engagement Platform (CEP) that integrates the CRM (Salesforce or Veeva), the marketing automation platform (Veeva Vault PromoMats for content, ExactTarget or Marketo for email deployment), the remote engagement platform (Veeva Engage, Microsoft Teams for HCP), the approved email platform (Veeva Approved Email), the medical content portal (brand-specific digital content destinations), and the analytics layer that measures engagement across all channels and feeds the NBA model.</w:t>
      </w:r>
    </w:p>
    <w:p>
      <w:pPr>
        <w:spacing w:after="120"/>
      </w:pPr>
      <w:r>
        <w:rPr>
          <w:i w:val="false"/>
          <w:iCs w:val="false"/>
          <w:color w:val="1C2333"/>
          <w:sz w:val="21"/>
          <w:szCs w:val="21"/>
        </w:rPr>
        <w:t xml:space="preserve">The critical governance challenge in omnichannel pharma is regulatory compliance — ensuring that every piece of content, every channel interaction, and every digital touchpoint meets the promotional regulatory requirements of every market in which it is deployed. Content approval workflows — mandatory review by Medical, Legal, and Regulatory (MLR) before deployment — must be integrated into the omnichannel platform so that the compliance workflow does not create a bottleneck that defeats the speed advantage of digital engagement. Leading organizations have reduced MLR cycle times by 40 to 60 percent through automation of routine review tasks, standardized content modules that carry pre-approved claim sets, and AI-assisted compliance checking that flags potential issues before formal MLR review.</w:t>
      </w:r>
    </w:p>
    <w:p>
      <w:pPr>
        <w:pStyle w:val="Heading2"/>
        <w:spacing w:after="120" w:before="240"/>
      </w:pPr>
      <w:r>
        <w:rPr>
          <w:b/>
          <w:bCs/>
          <w:color w:val="0D2B55"/>
        </w:rPr>
        <w:t xml:space="preserve">9.4 Key Account Management and Market Access Digitalization</w:t>
      </w:r>
    </w:p>
    <w:p>
      <w:pPr>
        <w:spacing w:after="120"/>
      </w:pPr>
      <w:r>
        <w:rPr>
          <w:i w:val="false"/>
          <w:iCs w:val="false"/>
          <w:color w:val="1C2333"/>
          <w:sz w:val="21"/>
          <w:szCs w:val="21"/>
        </w:rPr>
        <w:t xml:space="preserve">The growing influence of payers, integrated delivery networks (IDNs), and pharmacy benefit managers (PBMs) over prescribing decisions has shifted the commercial center of gravity in many therapeutic areas from physician promotion to key account management and market access. Getting a drug onto a formulary — and onto a favorable formulary tier — often has more commercial impact than the size of the field force calling on individual prescribers.</w:t>
      </w:r>
    </w:p>
    <w:p>
      <w:pPr>
        <w:spacing w:after="120"/>
      </w:pPr>
      <w:r>
        <w:rPr>
          <w:i w:val="false"/>
          <w:iCs w:val="false"/>
          <w:color w:val="1C2333"/>
          <w:sz w:val="21"/>
          <w:szCs w:val="21"/>
        </w:rPr>
        <w:t xml:space="preserve">Digital tools for key account management and market access include contract management platforms that manage payer and IDN contracts with automated compliance monitoring, value dossier automation tools that generate real-world evidence summaries and health economic models tailored to specific payer audiences, and market access analytics platforms that monitor formulary coverage changes in real time and generate early warning signals when a competitor's formulary position is improving at the expense of an existing product.</w:t>
      </w:r>
    </w:p>
    <w:p>
      <w:pPr>
        <w:pStyle w:val="Heading2"/>
        <w:spacing w:after="120" w:before="240"/>
      </w:pPr>
      <w:r>
        <w:rPr>
          <w:b/>
          <w:bCs/>
          <w:color w:val="0D2B55"/>
        </w:rPr>
        <w:t xml:space="preserve">9.5 Digital Marketing and Direct-to-Patient Engagement</w:t>
      </w:r>
    </w:p>
    <w:p>
      <w:pPr>
        <w:spacing w:after="120"/>
      </w:pPr>
      <w:r>
        <w:rPr>
          <w:i w:val="false"/>
          <w:iCs w:val="false"/>
          <w:color w:val="1C2333"/>
          <w:sz w:val="21"/>
          <w:szCs w:val="21"/>
        </w:rPr>
        <w:t xml:space="preserve">In markets that permit direct-to-consumer pharmaceutical advertising — primarily the US and New Zealand — digital marketing platforms have become essential commercial channels. Social media, search engine marketing, and programmatic digital advertising allow pharma companies to reach patients with regulated disease awareness messaging, patient support program enrollment campaigns, and branded advertising at scale and with audience targeting precision unavailable in traditional broadcast media.</w:t>
      </w:r>
    </w:p>
    <w:p>
      <w:pPr>
        <w:spacing w:after="120"/>
      </w:pPr>
      <w:r>
        <w:rPr>
          <w:i w:val="false"/>
          <w:iCs w:val="false"/>
          <w:color w:val="1C2333"/>
          <w:sz w:val="21"/>
          <w:szCs w:val="21"/>
        </w:rPr>
        <w:t xml:space="preserve">Beyond advertising, digital patient engagement platforms — disease management apps, patient adherence support programs, digital health coaching services, and patient community platforms — are becoming important commercial tools for several reasons. They improve therapy adherence, which improves clinical outcomes, which supports outcomes-based contracting with payers. They generate rich real-world data on patient experience that informs product development, commercial messaging, and pharmacovigilance. And they create a direct relationship between the pharmaceutical brand and the patient that is increasingly valuable as healthcare consumerism grows.</w:t>
      </w:r>
    </w:p>
    <w:p>
      <w:pPr>
        <w:pStyle w:val="Heading2"/>
        <w:spacing w:after="120" w:before="240"/>
      </w:pPr>
      <w:r>
        <w:rPr>
          <w:b/>
          <w:bCs/>
          <w:color w:val="0D2B55"/>
        </w:rPr>
        <w:t xml:space="preserve">9.6 Commercial Analytics and Performance Management</w:t>
      </w:r>
    </w:p>
    <w:p>
      <w:pPr>
        <w:spacing w:after="120"/>
      </w:pPr>
      <w:r>
        <w:rPr>
          <w:i w:val="false"/>
          <w:iCs w:val="false"/>
          <w:color w:val="1C2333"/>
          <w:sz w:val="21"/>
          <w:szCs w:val="21"/>
        </w:rPr>
        <w:t xml:space="preserve">Commercial digital transformation does not stop at deploying tools — it requires a fundamentally different approach to performance management. Organizations that deploy sophisticated NBA analytics but continue to measure commercial performance through traditional activity metrics (number of calls, number of samples distributed) are not transforming their commercial model; they are adding technology to an unchanged management system.</w:t>
      </w:r>
    </w:p>
    <w:p>
      <w:pPr>
        <w:spacing w:after="120"/>
      </w:pPr>
      <w:r>
        <w:rPr>
          <w:i w:val="false"/>
          <w:iCs w:val="false"/>
          <w:color w:val="1C2333"/>
          <w:sz w:val="21"/>
          <w:szCs w:val="21"/>
        </w:rPr>
        <w:t xml:space="preserve">Digital commercial performance management uses outcome-based metrics: prescriber share of voice, prescriber activation rate (the proportion of targeted prescribers who write at least one prescription per quarter), message penetration (the proportion of targeted prescribers who accurately recall the product's key messages), and patient conversion rate (the proportion of diagnosed eligible patients who start therapy). These metrics are tracked in real time, at the individual territory and representative level, through commercial analytics dashboards that are fed by integrated CRM, pharmacy dispensing, and payer data.</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What is the organization's current customer engagement model — are field, digital, and remote channels operating as an integrated omnichannel system or as independently managed programs? Is the commercial organization using NBA analytics, and if so, what has been the measured impact on prescriber engagement and market share? What fraction of the commercial budget is allocated to digital channels, and how does this compare to the digital channel preferences of the target prescriber audience? How is the organization managing the medical-legal-regulatory review cycle for digital content, and what is the average time from content creation to deployment?</w:t>
      </w:r>
    </w:p>
    <w:p>
      <w:pPr>
        <w:pBdr>
          <w:left w:val="single" w:color="C9A84C" w:sz="18" w:space="8"/>
        </w:pBdr>
        <w:shd w:fill="FBF6E9" w:color="auto" w:val="clear"/>
        <w:spacing w:after="120"/>
        <w:ind w:left="240"/>
      </w:pPr>
      <w:r>
        <w:rPr>
          <w:i/>
          <w:iCs/>
          <w:color w:val="1C2333"/>
          <w:sz w:val="21"/>
          <w:szCs w:val="21"/>
        </w:rPr>
        <w:t xml:space="preserve">🌍 REGIONAL SPOTLIGHT: COMMERCIAL DIGITALIZATION BY GEOGRAPHY</w:t>
      </w:r>
    </w:p>
    <w:p>
      <w:pPr>
        <w:pBdr>
          <w:left w:val="single" w:color="C9A84C" w:sz="18" w:space="8"/>
        </w:pBdr>
        <w:shd w:fill="FBF6E9" w:color="auto" w:val="clear"/>
        <w:spacing w:after="120"/>
        <w:ind w:left="240"/>
      </w:pPr>
      <w:r>
        <w:rPr>
          <w:i/>
          <w:iCs/>
          <w:color w:val="1C2333"/>
          <w:sz w:val="21"/>
          <w:szCs w:val="21"/>
        </w:rPr>
        <w:t xml:space="preserve">In the US, commercial digitalization is most advanced in oncology, immunology, and rare disease — therapeutic areas where payer management complexity, small prescriber universes, and high product prices create the strongest ROI for sophisticated customer intelligence and key account management capabilities. US commercial leaders including Genentech/Roche, Bristol-Myers Squibb, and AstraZeneca Oncology have deployed some of the most advanced commercial analytics platforms in the industry. In the European Union, commercial digital transformation is shaped by the fragmentation of 27 national pharmaceutical markets, each with its own regulatory environment, reimbursement system, and physician engagement culture. Omnichannel commercial models in Europe must be adapted market by market — what works in Germany's doctor-driven market may not translate directly to France's consensus-based prescribing culture or the UK's NHS-managed formulary environment.</w:t>
      </w:r>
    </w:p>
    <w:p>
      <w:pPr>
        <w:spacing w:after="120"/>
      </w:pPr>
      <w:r>
        <w:rPr>
          <w:i w:val="false"/>
          <w:iCs w:val="false"/>
          <w:color w:val="1C2333"/>
          <w:sz w:val="21"/>
          <w:szCs w:val="21"/>
        </w:rPr>
        <w:t xml:space="preserve">In India, commercial digitalization is accelerating rapidly as domestic pharma companies and multinational subsidiaries move from purely rep-driven commercial models to omnichannel approaches that complement field sales with digital engagement platforms, telemedicine partnerships, and digital marketing. The rapid expansion of internet access, smartphone penetration, and physician comfort with digital communication in India creates a highly receptive environment for digital commercial transformation. Companies like Sun Pharma, Cipla, and Abbott India are investing in digital commercial capabilities, and several multinational pharma companies are using their India operations as a testing ground for digital commercial models that are then adapted for other emerging markets.</w:t>
      </w:r>
    </w:p>
    <w:p>
      <w:pPr>
        <w:pStyle w:val="Heading2"/>
        <w:spacing w:after="120" w:before="240"/>
      </w:pPr>
      <w:r>
        <w:rPr>
          <w:b/>
          <w:bCs/>
          <w:color w:val="0D2B55"/>
        </w:rPr>
        <w:t xml:space="preserve">9.8 Medical Affairs Digitalisation</w:t>
      </w:r>
    </w:p>
    <w:p>
      <w:pPr>
        <w:spacing w:after="120"/>
      </w:pPr>
      <w:r>
        <w:rPr>
          <w:i w:val="false"/>
          <w:iCs w:val="false"/>
          <w:color w:val="1C2333"/>
          <w:sz w:val="21"/>
          <w:szCs w:val="21"/>
        </w:rPr>
        <w:t xml:space="preserve">Medical affairs has historically operated as a bridge between the scientific and commercial sides of pharmaceutical companies — running medical information services, engaging key opinion leaders, publishing real-world evidence, and supporting regulatory submissions. Digital transformation is reshaping every dimension of this function.</w:t>
      </w:r>
    </w:p>
    <w:p>
      <w:pPr>
        <w:spacing w:after="120"/>
      </w:pPr>
      <w:r>
        <w:rPr>
          <w:i w:val="false"/>
          <w:iCs w:val="false"/>
          <w:color w:val="1C2333"/>
          <w:sz w:val="21"/>
          <w:szCs w:val="21"/>
        </w:rPr>
        <w:t xml:space="preserve">Digital Medical Science Liaison. Medical Science Liaisons (MSLs) are the field force of medical affairs — scientific experts who conduct peer-to-peer exchanges with healthcare professionals about the clinical evidence behind a company's products. Digital tools are transforming how MSLs identify, prioritise, and engage their KOL networks. AI-powered KOL mapping platforms analyse publication records, clinical trial participation, conference presentations, and social media activity to identify the most influential voices in a therapeutic area and predict the optimal engagement strategy for each. Remote engagement platforms — video conferencing, digital content portals, electronic medical query systems — are extending the reach of MSL teams beyond the boundaries of their physical territories.</w:t>
      </w:r>
    </w:p>
    <w:p>
      <w:pPr>
        <w:spacing w:after="120"/>
      </w:pPr>
      <w:r>
        <w:rPr>
          <w:i w:val="false"/>
          <w:iCs w:val="false"/>
          <w:color w:val="1C2333"/>
          <w:sz w:val="21"/>
          <w:szCs w:val="21"/>
        </w:rPr>
        <w:t xml:space="preserve">Medical Information Automation. The medical information function — responding to unsolicited queries from healthcare professionals about products — is one of the highest-volume, most process-intensive workflows in medical affairs. AI-powered medical information platforms can automatically classify incoming queries, retrieve relevant approved responses from the medical information database, draft responses for expert review, and track query patterns that signal emerging clinical needs or safety signals. These tools are demonstrating 40–60% reductions in response cycle time and significant cost savings compared to entirely human-handled workflows.</w:t>
      </w:r>
    </w:p>
    <w:p>
      <w:pPr>
        <w:spacing w:after="120"/>
      </w:pPr>
      <w:r>
        <w:rPr>
          <w:i w:val="false"/>
          <w:iCs w:val="false"/>
          <w:color w:val="1C2333"/>
          <w:sz w:val="21"/>
          <w:szCs w:val="21"/>
        </w:rPr>
        <w:t xml:space="preserve">Publication Planning and Evidence Generation. Medical affairs owns the post-approval evidence generation strategy — the real-world studies, registries, and analyses that build the clinical evidence base for a marketed product. Digital tools are transforming how this strategy is designed (using landscape analysis AI to identify evidence gaps and competitive threats), executed (using electronic data capture and remote site monitoring for non-interventional studies), and disseminated (using digital publication platforms that maximise the reach and impact of scientific evidence).</w:t>
      </w:r>
    </w:p>
    <w:p>
      <w:pPr>
        <w:pStyle w:val="Heading2"/>
        <w:spacing w:after="120" w:before="240"/>
      </w:pPr>
      <w:r>
        <w:rPr>
          <w:b/>
          <w:bCs/>
          <w:color w:val="0D2B55"/>
        </w:rPr>
        <w:t xml:space="preserve">9.9 Market Access, Health Economics and Digital Analytics</w:t>
      </w:r>
    </w:p>
    <w:p>
      <w:pPr>
        <w:spacing w:after="120"/>
      </w:pPr>
      <w:r>
        <w:rPr>
          <w:i w:val="false"/>
          <w:iCs w:val="false"/>
          <w:color w:val="1C2333"/>
          <w:sz w:val="21"/>
          <w:szCs w:val="21"/>
        </w:rPr>
        <w:t xml:space="preserve">The pharmaceutical commercial environment has been transformed by the growing power of payers — government health technology assessment bodies, private insurance companies, and pharmacy benefit managers — whose formulary decisions determine whether a product achieves the patient access its clinical profile warrants. Digital tools are fundamentally changing how pharmaceutical companies engage with payers and demonstrate value.</w:t>
      </w:r>
    </w:p>
    <w:p>
      <w:pPr>
        <w:spacing w:after="120"/>
      </w:pPr>
      <w:r>
        <w:rPr>
          <w:i w:val="false"/>
          <w:iCs w:val="false"/>
          <w:color w:val="1C2333"/>
          <w:sz w:val="21"/>
          <w:szCs w:val="21"/>
        </w:rPr>
        <w:t xml:space="preserve">Health Technology Assessment Digital Tools. HTA submissions — the evidence packages that companies submit to bodies such as NICE (UK), G-BA (Germany), and HAS (France) to support reimbursement decisions — are becoming increasingly data-intensive, with payers expecting real-world comparative effectiveness evidence alongside clinical trial data. Digital health economics platforms that can rapidly model the budget impact and cost-effectiveness of a product across different market scenarios — incorporating real-world treatment patterns, adherence rates, and comparative outcomes from RWD databases — are becoming essential tools for market access teams.</w:t>
      </w:r>
    </w:p>
    <w:p>
      <w:pPr>
        <w:spacing w:after="120"/>
      </w:pPr>
      <w:r>
        <w:rPr>
          <w:i w:val="false"/>
          <w:iCs w:val="false"/>
          <w:color w:val="1C2333"/>
          <w:sz w:val="21"/>
          <w:szCs w:val="21"/>
        </w:rPr>
        <w:t xml:space="preserve">Outcomes-Based Contracting Analytics. The shift toward outcomes-based contracts — where the price paid for a product is linked to the outcomes it achieves in real patients — is creating a new requirement for commercial analytics: the ability to track patient outcomes in real time and reconcile them with contractual obligations. Digital analytics platforms that aggregate dispensing data, electronic health records, and patient-reported outcomes to track contracted outcomes are enabling pharmaceutical companies to enter and manage outcomes-based agreements that would have been operationally impossible with manual analytics.</w:t>
      </w:r>
    </w:p>
    <w:p>
      <w:pPr>
        <w:spacing w:after="120"/>
      </w:pPr>
      <w:r>
        <w:rPr>
          <w:i w:val="false"/>
          <w:iCs w:val="false"/>
          <w:color w:val="1C2333"/>
          <w:sz w:val="21"/>
          <w:szCs w:val="21"/>
        </w:rPr>
        <w:t xml:space="preserve">Patient Affordability and Access Analytics. In markets where out-of-pocket costs are a barrier to therapy initiation and adherence, digital commercial analytics platforms that map patient affordability barriers — identifying zip codes, insurance plans, and demographic segments where cost-related abandonment rates are highest — enable targeted deployment of co-pay assistance, patient support programs, and specialty pharmacy interventions where they will have the greatest impact.</w:t>
      </w:r>
    </w:p>
    <w:p>
      <w:pPr>
        <w:pStyle w:val="Heading2"/>
        <w:spacing w:after="120" w:before="240"/>
      </w:pPr>
      <w:r>
        <w:rPr>
          <w:b/>
          <w:bCs/>
          <w:color w:val="0D2B55"/>
        </w:rPr>
        <w:t xml:space="preserve">9.10 Commercial Analytics Infrastructure: The CRM-to-Insights Stack</w:t>
      </w:r>
    </w:p>
    <w:p>
      <w:pPr>
        <w:spacing w:after="120"/>
      </w:pPr>
      <w:r>
        <w:rPr>
          <w:i w:val="false"/>
          <w:iCs w:val="false"/>
          <w:color w:val="1C2333"/>
          <w:sz w:val="21"/>
          <w:szCs w:val="21"/>
        </w:rPr>
        <w:t xml:space="preserve">The commercial analytics capability that drives next-best-action, territory optimisation, and market performance management is only as good as the data infrastructure on which it runs. Building a commercial analytics infrastructure that is truly fit for purpose requires deliberate investment in each layer of the stack.</w:t>
      </w:r>
    </w:p>
    <w:p>
      <w:pPr>
        <w:spacing w:after="120"/>
      </w:pPr>
      <w:r>
        <w:rPr>
          <w:i w:val="false"/>
          <w:iCs w:val="false"/>
          <w:color w:val="1C2333"/>
          <w:sz w:val="21"/>
          <w:szCs w:val="21"/>
        </w:rPr>
        <w:t xml:space="preserve">CRM Data Quality. The Veeva CRM or Salesforce Health Cloud system that captures field force call data is the foundation of commercial analytics — but only if the data quality is sufficient to support reliable inference. Call recording compliance rates below 80%, territory misalignment, HCP master data fragmentation, and inconsistent product messaging selection all compromise the analytical value of CRM data. A systematic CRM data quality program — with governance, monitoring, and incentive alignment — is a prerequisite for building reliable commercial analytics.</w:t>
      </w:r>
    </w:p>
    <w:p>
      <w:pPr>
        <w:spacing w:after="120"/>
      </w:pPr>
      <w:r>
        <w:rPr>
          <w:i w:val="false"/>
          <w:iCs w:val="false"/>
          <w:color w:val="1C2333"/>
          <w:sz w:val="21"/>
          <w:szCs w:val="21"/>
        </w:rPr>
        <w:t xml:space="preserve">Third-Party Data Integration. IQVIA, Symphony Health, and APLD (Anonymous Patient-Level Data) prescribing data provide the external market context that transforms CRM activity data into commercial intelligence. Integrating these external data sources with CRM data, claims data, and specialty pharmacy data in a unified commercial data model — with consistent HCP identifiers (DEA, NPI, IQVIA HCP ID) as the linking keys — is a major data engineering investment that pays compounding returns as analytics sophistication increases.</w:t>
      </w:r>
    </w:p>
    <w:p>
      <w:pPr>
        <w:spacing w:after="120"/>
      </w:pPr>
      <w:r>
        <w:rPr>
          <w:i w:val="false"/>
          <w:iCs w:val="false"/>
          <w:color w:val="1C2333"/>
          <w:sz w:val="21"/>
          <w:szCs w:val="21"/>
        </w:rPr>
        <w:t xml:space="preserve">Real-Time Analytics Delivery. The business value of commercial analytics is maximised when insights are delivered to field force members in real time — in the CRM application they use on their tablets, at the point when they are planning their next day's calls. Commercial analytics platforms that deliver next-best-action recommendations, call planning suggestions, and account health scores directly within the CRM interface — rather than in separate reporting tools that reps access infrequently — demonstrate 2–3× higher adoption and impact compared to standalone analytics dashboards.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9.1: Omnichannel HCP and Patient Engagement — AI-Orchestrated NBA Model</w:t>
      </w:r>
    </w:p>
    <w:p>
      <w:r>
        <w:br w:type="page"/>
      </w:r>
    </w:p>
    <w:p>
      <w:pPr>
        <w:pStyle w:val="Heading1"/>
        <w:spacing w:after="120" w:before="240"/>
      </w:pPr>
      <w:r>
        <w:rPr>
          <w:b/>
          <w:bCs/>
          <w:color w:val="0D2B55"/>
        </w:rPr>
        <w:t xml:space="preserve">Chapter 10: Patient Engagement — Digital Transformation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patient has moved from the periphery to the center of pharmaceutical strategy. This shift — driven by a convergence of empowered health consumers, digital health technology, payer demands for real-world outcomes, and regulatory expectations for patient-centric evidence — is one of the most profound structural changes in the industry's history. Pharmaceutical companies that still treat patient engagement as a post-approval support program bolt-on will find themselves progressively disadvantaged compared to organizations that have built patient centricity into their operating model from target identification through therapy lifecycle management. This chapter defines what genuinely patient-centric digital engagement looks like, and provides the architecture for building it.</w:t>
      </w:r>
    </w:p>
    <w:p>
      <w:pPr>
        <w:pStyle w:val="Heading2"/>
        <w:spacing w:after="120" w:before="240"/>
      </w:pPr>
      <w:r>
        <w:rPr>
          <w:b/>
          <w:bCs/>
          <w:color w:val="0D2B55"/>
        </w:rPr>
        <w:t xml:space="preserve">10.1 The Empowered Patient and the Pharmaceutical Response</w:t>
      </w:r>
    </w:p>
    <w:p>
      <w:pPr>
        <w:spacing w:after="120"/>
      </w:pPr>
      <w:r>
        <w:rPr>
          <w:i w:val="false"/>
          <w:iCs w:val="false"/>
          <w:color w:val="1C2333"/>
          <w:sz w:val="21"/>
          <w:szCs w:val="21"/>
        </w:rPr>
        <w:t xml:space="preserve">The patient experience of illness has been transformed by digital technology in ways that are irreversible and that the pharmaceutical industry is still catching up to. A newly diagnosed patient today is likely to spend hours researching their condition online before seeing a specialist, to join digital patient communities where they discuss symptoms and treatment experiences with thousands of others who share their diagnosis, to track their symptoms and treatment response through smartphone apps, and to arrive at their first specialist appointment having already formed views about which therapies they want to discuss and which clinical trials they might be eligible for.</w:t>
      </w:r>
    </w:p>
    <w:p>
      <w:pPr>
        <w:spacing w:after="120"/>
      </w:pPr>
      <w:r>
        <w:rPr>
          <w:i w:val="false"/>
          <w:iCs w:val="false"/>
          <w:color w:val="1C2333"/>
          <w:sz w:val="21"/>
          <w:szCs w:val="21"/>
        </w:rPr>
        <w:t xml:space="preserve">This patient is not passive. They are an active participant in their own healthcare, and they expect the companies that manufacture their medicines to engage with them as intelligent adults rather than as recipients of one-directional pharmaceutical information. They want disease management support, not just drug dispensing. They want to understand not just whether a therapy works on average but whether it works for patients like them. They want their treatment experience to be convenient, connected, and contextually relevant to their life.</w:t>
      </w:r>
    </w:p>
    <w:p>
      <w:pPr>
        <w:spacing w:after="120"/>
      </w:pPr>
      <w:r>
        <w:rPr>
          <w:i w:val="false"/>
          <w:iCs w:val="false"/>
          <w:color w:val="1C2333"/>
          <w:sz w:val="21"/>
          <w:szCs w:val="21"/>
        </w:rPr>
        <w:t xml:space="preserve">The pharmaceutical companies that are responding to this expectation are building what some describe as the "beyond the pill" portfolio — a suite of digital services, support programs, and connected health tools that accompany the therapy and create value for the patient beyond the pharmacological effect of the drug itself. These beyond-the-pill capabilities are simultaneously a source of commercial advantage (they improve adherence, generate real-world data, and create a direct relationship between the brand and the patient), a payer relations asset (they support outcomes-based contracting by demonstrating real-world effectiveness), and a scientific resource (patient-generated digital health data is becoming a primary source of evidence for label expansions, new indication development, and pharmacovigilance).</w:t>
      </w:r>
    </w:p>
    <w:p>
      <w:pPr>
        <w:pStyle w:val="Heading2"/>
        <w:spacing w:after="120" w:before="240"/>
      </w:pPr>
      <w:r>
        <w:rPr>
          <w:b/>
          <w:bCs/>
          <w:color w:val="0D2B55"/>
        </w:rPr>
        <w:t xml:space="preserve">10.2 Digital Patient Support Programs</w:t>
      </w:r>
    </w:p>
    <w:p>
      <w:pPr>
        <w:spacing w:after="120"/>
      </w:pPr>
      <w:r>
        <w:rPr>
          <w:i w:val="false"/>
          <w:iCs w:val="false"/>
          <w:color w:val="1C2333"/>
          <w:sz w:val="21"/>
          <w:szCs w:val="21"/>
        </w:rPr>
        <w:t xml:space="preserve">Patient support programs (PSPs) — the structured programs pharmaceutical companies operate to help patients start and stay on their therapies — are the most widespread form of patient engagement in the industry. PSPs encompass specialty pharmacy coordination, injection training and device support, copay assistance programs, nurse educator outreach, and adherence reminders. Historically delivered through call centers and nurse field forces, these programs are being transformed by digital technology in ways that dramatically extend their reach and impact.</w:t>
      </w:r>
    </w:p>
    <w:p>
      <w:pPr>
        <w:spacing w:after="120"/>
      </w:pPr>
      <w:r>
        <w:rPr>
          <w:i w:val="false"/>
          <w:iCs w:val="false"/>
          <w:color w:val="1C2333"/>
          <w:sz w:val="21"/>
          <w:szCs w:val="21"/>
        </w:rPr>
        <w:t xml:space="preserve">Digital PSPs use mobile applications as the primary patient interface, providing personalized disease and treatment information, injection or device training through video guidance, symptom tracking tools, appointment reminders, adherence monitoring, and direct access to nurse educators via secure messaging or teleconsultation. Connected device integrations — between auto-injector devices equipped with electronic adherence sensors and the PSP mobile app — provide objective adherence data that allows PSP managers to identify patients at risk of discontinuation before they actually miss doses, enabling proactive outreach.</w:t>
      </w:r>
    </w:p>
    <w:p>
      <w:pPr>
        <w:spacing w:after="120"/>
      </w:pPr>
      <w:r>
        <w:rPr>
          <w:i w:val="false"/>
          <w:iCs w:val="false"/>
          <w:color w:val="1C2333"/>
          <w:sz w:val="21"/>
          <w:szCs w:val="21"/>
        </w:rPr>
        <w:t xml:space="preserve">The business case for digital PSP investment is strong and well-evidenced. Studies consistently show that patients enrolled in structured digital PSPs demonstrate 15 to 25 percent higher six-month therapy persistence rates than patients receiving standard pharmacy dispensing without PSP support. In specialty therapeutic areas — rheumatology, oncology, rare disease, transplant — where therapy persistence has a direct and measurable impact on clinical outcomes, this improvement translates into genuine patient benefit as well as commercial value.</w:t>
      </w:r>
    </w:p>
    <w:p>
      <w:pPr>
        <w:pStyle w:val="Heading2"/>
        <w:spacing w:after="120" w:before="240"/>
      </w:pPr>
      <w:r>
        <w:rPr>
          <w:b/>
          <w:bCs/>
          <w:color w:val="0D2B55"/>
        </w:rPr>
        <w:t xml:space="preserve">10.3 Clinical Trial Patient Centricity</w:t>
      </w:r>
    </w:p>
    <w:p>
      <w:pPr>
        <w:spacing w:after="120"/>
      </w:pPr>
      <w:r>
        <w:rPr>
          <w:i w:val="false"/>
          <w:iCs w:val="false"/>
          <w:color w:val="1C2333"/>
          <w:sz w:val="21"/>
          <w:szCs w:val="21"/>
        </w:rPr>
        <w:t xml:space="preserve">The patient experience within clinical trials has historically been designed around the needs of the study rather than the needs of the patient — a design philosophy that is directly implicated in the recruitment difficulties and dropout rates that afflict most trials. Patients who participate in clinical trials sacrifice significant time and convenience, often traveling to investigator sites for assessments that could feasibly be conducted remotely, enduring complex protocol procedures that reflect the scientific ambition of the trial rather than the patient's practical life, and receiving limited information about their individual experience in the study.</w:t>
      </w:r>
    </w:p>
    <w:p>
      <w:pPr>
        <w:spacing w:after="120"/>
      </w:pPr>
      <w:r>
        <w:rPr>
          <w:i w:val="false"/>
          <w:iCs w:val="false"/>
          <w:color w:val="1C2333"/>
          <w:sz w:val="21"/>
          <w:szCs w:val="21"/>
        </w:rPr>
        <w:t xml:space="preserve">Digital patient centricity in clinical trials means designing the study experience from the patient's perspective as well as the scientific one. It means using eConsent platforms that explain the study in plain language, provide patients with their own copy of the consent document, and allow them to ask questions through a direct channel to the study team. It means decentralizing study visits to reduce travel burden, using ePRO platforms to capture patient experience in the flow of daily life rather than at the study site, and providing patients with their own data through a participant portal that shows them their study results in a meaningful format. And it means conducting patient advisory panel consultations at the protocol design stage — not as a box-checking exercise but as a genuine input to the protocol design decisions that determine whether the study is feasible and fair for the patients it asks to participate.</w:t>
      </w:r>
    </w:p>
    <w:p>
      <w:pPr>
        <w:pStyle w:val="Heading2"/>
        <w:spacing w:after="120" w:before="240"/>
      </w:pPr>
      <w:r>
        <w:rPr>
          <w:b/>
          <w:bCs/>
          <w:color w:val="0D2B55"/>
        </w:rPr>
        <w:t xml:space="preserve">10.4 Digital Therapeutics and Connected Health</w:t>
      </w:r>
    </w:p>
    <w:p>
      <w:pPr>
        <w:spacing w:after="120"/>
      </w:pPr>
      <w:r>
        <w:rPr>
          <w:i w:val="false"/>
          <w:iCs w:val="false"/>
          <w:color w:val="1C2333"/>
          <w:sz w:val="21"/>
          <w:szCs w:val="21"/>
        </w:rPr>
        <w:t xml:space="preserve">Digital therapeutics (DTx) — software-based interventions that deliver evidence-based clinical benefits to patients — represent the frontier of the pharmaceutical-digital intersection. Unlike wellness apps or general health information platforms, regulated digital therapeutics are software that has been validated in clinical trials to demonstrate safety and efficacy for specific clinical conditions, and in many jurisdictions can be prescribed and reimbursed like a pharmaceutical product.</w:t>
      </w:r>
    </w:p>
    <w:p>
      <w:pPr>
        <w:spacing w:after="120"/>
      </w:pPr>
      <w:r>
        <w:rPr>
          <w:i w:val="false"/>
          <w:iCs w:val="false"/>
          <w:color w:val="1C2333"/>
          <w:sz w:val="21"/>
          <w:szCs w:val="21"/>
        </w:rPr>
        <w:t xml:space="preserve">The digital therapeutics landscape has grown rapidly since the FDA cleared Pear Therapeutics' reSET (for substance use disorder) and reSET-O (for opioid use disorder) as prescription digital therapeutics in 2017 and 2018. Today, approved or CE-marked digital therapeutics exist for depression, anxiety, insomnia, ADHD, diabetes management, chronic back pain, and multiple other conditions. The regulatory pathway for digital therapeutics — as SaMD (Software as a Medical Device) under FDA's De Novo and 510(k) pathways in the US, or as MDR Class IIa devices in the EU — is now reasonably well established for behavioral health DTx, though the evidence standards for more complex indication areas remain in development.</w:t>
      </w:r>
    </w:p>
    <w:p>
      <w:pPr>
        <w:spacing w:after="120"/>
      </w:pPr>
      <w:r>
        <w:rPr>
          <w:i w:val="false"/>
          <w:iCs w:val="false"/>
          <w:color w:val="1C2333"/>
          <w:sz w:val="21"/>
          <w:szCs w:val="21"/>
        </w:rPr>
        <w:t xml:space="preserve">For pharmaceutical companies, digital therapeutics represent both a threat (if DTx displace pharmaceutical approaches in some indication areas) and an opportunity (if they develop or partner on DTx that complement their pharmaceutical portfolio). A depression drug that is sold in combination with a validated digital CBT therapeutic has a differentiated value proposition compared to the drug alone — particularly in a payer environment increasingly demanding outcomes evidence for reimbursement decisions.</w:t>
      </w:r>
    </w:p>
    <w:p>
      <w:pPr>
        <w:pStyle w:val="Heading2"/>
        <w:spacing w:after="120" w:before="240"/>
      </w:pPr>
      <w:r>
        <w:rPr>
          <w:b/>
          <w:bCs/>
          <w:color w:val="0D2B55"/>
        </w:rPr>
        <w:t xml:space="preserve">10.5 Patient Data and Real-World Evidence Generation</w:t>
      </w:r>
    </w:p>
    <w:p>
      <w:pPr>
        <w:spacing w:after="120"/>
      </w:pPr>
      <w:r>
        <w:rPr>
          <w:i w:val="false"/>
          <w:iCs w:val="false"/>
          <w:color w:val="1C2333"/>
          <w:sz w:val="21"/>
          <w:szCs w:val="21"/>
        </w:rPr>
        <w:t xml:space="preserve">Patients are generating extraordinary quantities of health-relevant data through digital channels — symptom tracking apps, wearable devices, pharmacy dispensing records, telemedicine encounters, social media health discussions, and the digital interactions within patient support programs. This data, when collected with appropriate consent and integrated with clinical records, constitutes a real-world evidence resource of immense value for understanding how therapies perform outside the controlled conditions of clinical trials.</w:t>
      </w:r>
    </w:p>
    <w:p>
      <w:pPr>
        <w:spacing w:after="120"/>
      </w:pPr>
      <w:r>
        <w:rPr>
          <w:i w:val="false"/>
          <w:iCs w:val="false"/>
          <w:color w:val="1C2333"/>
          <w:sz w:val="21"/>
          <w:szCs w:val="21"/>
        </w:rPr>
        <w:t xml:space="preserve">Building a patient data capability — the infrastructure to collect, govern, analyze, and report on patient-generated real-world data — requires investment in several dimensions simultaneously. Consent and data governance frameworks must be designed with patient trust at their center: patients will share their data only if they understand and are comfortable with how it will be used, who will have access to it, and what protections are in place against misuse. The technical infrastructure must integrate data from disparate sources — EHRs, apps, wearables, PSPs, claims — into a coherent analytical environment with sufficient data quality for regulatory-grade analysis. And the scientific capability — epidemiologists, biostatisticians, and real-world evidence methodologists — must be in place to design and execute studies that will generate evidence that regulators, payers, and the scientific community will accept.</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organization have a patient engagement strategy that spans from clinical development through therapy lifecycle management — or are patient-facing programs managed reactively and in silos within individual commercial brands? What is the current enrollment rate and six-month persistence rate for patients in the organization's patient support programs, and how do these compare to the outcomes the programs were designed to achieve? Has the organization conducted patient advisory consultations for any of its late-stage clinical programs, and if so, what protocol design changes resulted? What is the organization's strategy for the digital therapeutics space in its core therapeutic areas — and who is accountable for monitoring and responding to competitive DTx development?</w:t>
      </w:r>
    </w:p>
    <w:p>
      <w:pPr>
        <w:pBdr>
          <w:left w:val="single" w:color="C9A84C" w:sz="18" w:space="8"/>
        </w:pBdr>
        <w:shd w:fill="FBF6E9" w:color="auto" w:val="clear"/>
        <w:spacing w:after="120"/>
        <w:ind w:left="240"/>
      </w:pPr>
      <w:r>
        <w:rPr>
          <w:i/>
          <w:iCs/>
          <w:color w:val="1C2333"/>
          <w:sz w:val="21"/>
          <w:szCs w:val="21"/>
        </w:rPr>
        <w:t xml:space="preserve">🌍 REGIONAL SPOTLIGHT: PATIENT ENGAGEMENT ACROSS MARKETS</w:t>
      </w:r>
    </w:p>
    <w:p>
      <w:pPr>
        <w:pBdr>
          <w:left w:val="single" w:color="C9A84C" w:sz="18" w:space="8"/>
        </w:pBdr>
        <w:shd w:fill="FBF6E9" w:color="auto" w:val="clear"/>
        <w:spacing w:after="120"/>
        <w:ind w:left="240"/>
      </w:pPr>
      <w:r>
        <w:rPr>
          <w:i/>
          <w:iCs/>
          <w:color w:val="1C2333"/>
          <w:sz w:val="21"/>
          <w:szCs w:val="21"/>
        </w:rPr>
        <w:t xml:space="preserve">In the United States, patient engagement digitalization is most advanced in specialty therapeutic areas — particularly oncology, rare disease, and immunology — where highly engaged patient communities, complex therapy management needs, and high product revenues create the strongest business case for sophisticated patient engagement capabilities. The US health system's fragmentation (no single national health authority to engage) means that pharmaceutical companies must build direct patient relationships as the primary channel for patient support. In the European Union, patient engagement is shaped by the tension between the GDPR's strict personal data governance requirements and the growing regulatory expectation that pharmaceutical companies will generate real-world patient data to support post-approval commitments. The resolution is emerging through patient-consented data programs built on GDPR-compliant infrastructure, and through the EHDS (European Health Data Space) framework that, when fully implemented, will create a federated pan-European health data infrastructure enabling large-scale real-world evidence generation.</w:t>
      </w:r>
    </w:p>
    <w:p>
      <w:pPr>
        <w:spacing w:after="120"/>
      </w:pPr>
      <w:r>
        <w:rPr>
          <w:i w:val="false"/>
          <w:iCs w:val="false"/>
          <w:color w:val="1C2333"/>
          <w:sz w:val="21"/>
          <w:szCs w:val="21"/>
        </w:rPr>
        <w:t xml:space="preserve">In India, patient engagement digitalization is an emerging priority with enormous scale potential. India's 1.4 billion population, its rapidly growing burden of non-communicable disease (diabetes, cardiovascular disease, cancer, respiratory disease), and its expanding smartphone and digital health literacy create a vast opportunity for digital patient engagement. The Ayushman Bharat Digital Mission's health ID infrastructure and the National Digital Health Ecosystem (NDHE) are creating the foundational digital health plumbing on which pharmaceutical patient engagement capabilities can be built. Indian pharma companies that invest early in digital patient engagement capabilities will position themselves to build the patient relationships that will drive loyalty in an increasingly competitive domestic generic market.</w:t>
      </w:r>
    </w:p>
    <w:p>
      <w:pPr>
        <w:pStyle w:val="Heading2"/>
        <w:spacing w:after="120" w:before="240"/>
      </w:pPr>
      <w:r>
        <w:rPr>
          <w:b/>
          <w:bCs/>
          <w:color w:val="0D2B55"/>
        </w:rPr>
        <w:t xml:space="preserve">10.7 Health Equity and Digital Access</w:t>
      </w:r>
    </w:p>
    <w:p>
      <w:pPr>
        <w:spacing w:after="120"/>
      </w:pPr>
      <w:r>
        <w:rPr>
          <w:i w:val="false"/>
          <w:iCs w:val="false"/>
          <w:color w:val="1C2333"/>
          <w:sz w:val="21"/>
          <w:szCs w:val="21"/>
        </w:rPr>
        <w:t xml:space="preserve">Digital health transformation carries a genuine risk of exacerbating health inequities if not designed with inclusion as an explicit goal. Patients from lower socioeconomic backgrounds, older age groups, rural communities, and minority populations are less likely to have reliable smartphone access, digital literacy, or stable internet connectivity — and therefore less likely to benefit from digital patient engagement programs that assume these conditions.</w:t>
      </w:r>
    </w:p>
    <w:p>
      <w:pPr>
        <w:spacing w:after="120"/>
      </w:pPr>
      <w:r>
        <w:rPr>
          <w:i w:val="false"/>
          <w:iCs w:val="false"/>
          <w:color w:val="1C2333"/>
          <w:sz w:val="21"/>
          <w:szCs w:val="21"/>
        </w:rPr>
        <w:t xml:space="preserve">The Digital Divide in Pharma. In the United States, approximately 15% of adults do not use the internet, with higher rates among those over 65, lower-income households, and rural communities. In India, smartphone penetration in rural areas remains significantly lower than in urban centres. These gaps mean that digital-first patient engagement strategies systematically under-serve the populations with the highest disease burden and the lowest access to quality healthcare.</w:t>
      </w:r>
    </w:p>
    <w:p>
      <w:pPr>
        <w:spacing w:after="120"/>
      </w:pPr>
      <w:r>
        <w:rPr>
          <w:i w:val="false"/>
          <w:iCs w:val="false"/>
          <w:color w:val="1C2333"/>
          <w:sz w:val="21"/>
          <w:szCs w:val="21"/>
        </w:rPr>
        <w:t xml:space="preserve">Inclusive Design Principles. Pharmaceutical companies designing digital patient engagement programs should apply inclusive design principles from the outset: provide multiple access channels (phone, web, and app), design for low-literacy users, test with diverse patient populations, and measure engagement outcomes disaggregated by demographic group. Programs that demonstrate equitable reach across age, income, and geography are more likely to generate the broad real-world evidence that has value for regulatory and payer audiences.</w:t>
      </w:r>
    </w:p>
    <w:p>
      <w:pPr>
        <w:spacing w:after="120"/>
      </w:pPr>
      <w:r>
        <w:rPr>
          <w:i w:val="false"/>
          <w:iCs w:val="false"/>
          <w:color w:val="1C2333"/>
          <w:sz w:val="21"/>
          <w:szCs w:val="21"/>
        </w:rPr>
        <w:t xml:space="preserve">The India Opportunity. Despite the rural digital divide, India's ABDM infrastructure — combined with the rapid expansion of JioPhone and low-cost Android devices — is creating the conditions for genuinely broad digital health access at population scale. Pharmaceutical companies that design patient engagement programs specifically for the Indian digital health ecosystem — including ABDM Health Record integration, Hindi and regional language support, and low-bandwidth optimisation — will reach patient populations that no traditional pharmaceutical engagement model can access.</w:t>
      </w:r>
    </w:p>
    <w:p>
      <w:pPr>
        <w:pStyle w:val="Heading2"/>
        <w:spacing w:after="120" w:before="240"/>
      </w:pPr>
      <w:r>
        <w:rPr>
          <w:b/>
          <w:bCs/>
          <w:color w:val="0D2B55"/>
        </w:rPr>
        <w:t xml:space="preserve">10.8 Real-World Evidence from Patient-Generated Data</w:t>
      </w:r>
    </w:p>
    <w:p>
      <w:pPr>
        <w:spacing w:after="120"/>
      </w:pPr>
      <w:r>
        <w:rPr>
          <w:i w:val="false"/>
          <w:iCs w:val="false"/>
          <w:color w:val="1C2333"/>
          <w:sz w:val="21"/>
          <w:szCs w:val="21"/>
        </w:rPr>
        <w:t xml:space="preserve">Patient-generated data — health information created by patients outside the clinical setting, through smartphones, wearables, patient portals, and patient support programs — is becoming one of the most valuable assets in the pharmaceutical real-world evidence ecosystem. Managing it responsibly and extracting its scientific value requires a specific organisational capability.</w:t>
      </w:r>
    </w:p>
    <w:p>
      <w:pPr>
        <w:spacing w:after="120"/>
      </w:pPr>
      <w:r>
        <w:rPr>
          <w:i w:val="false"/>
          <w:iCs w:val="false"/>
          <w:color w:val="1C2333"/>
          <w:sz w:val="21"/>
          <w:szCs w:val="21"/>
        </w:rPr>
        <w:t xml:space="preserve">Data Types and Sources. Patient-generated data encompasses electronic patient-reported outcomes (ePRO) collected through clinical-grade apps, passive sensor data from wearables (activity, sleep, heart rate, glucose), medication adherence data from connected devices and smart pill bottles, patient portal data from health system integrations, and unstructured narrative data from patient support program interactions. Each data type has different quality characteristics, regulatory acceptance status, and analytical requirements.</w:t>
      </w:r>
    </w:p>
    <w:p>
      <w:pPr>
        <w:spacing w:after="120"/>
      </w:pPr>
      <w:r>
        <w:rPr>
          <w:i w:val="false"/>
          <w:iCs w:val="false"/>
          <w:color w:val="1C2333"/>
          <w:sz w:val="21"/>
          <w:szCs w:val="21"/>
        </w:rPr>
        <w:t xml:space="preserve">From Data to Evidence. The path from patient-generated data to regulatory-grade evidence is not straightforward. Patient-reported outcomes used in regulatory submissions must be generated using validated instruments with established psychometric properties, collected using FDA/EMA-qualified electronic data capture processes, and analysed using pre-specified statistical methods. Passive sensor data used as a clinical endpoint must go through the formal Digital Endpoint qualification process — a multi-year scientific program that requires clinical validation studies, regulatory engagement, and pre-competitive consortium participation (through bodies like the Digital Medicine Society).</w:t>
      </w:r>
    </w:p>
    <w:p>
      <w:pPr>
        <w:spacing w:after="120"/>
      </w:pPr>
      <w:r>
        <w:rPr>
          <w:i w:val="false"/>
          <w:iCs w:val="false"/>
          <w:color w:val="1C2333"/>
          <w:sz w:val="21"/>
          <w:szCs w:val="21"/>
        </w:rPr>
        <w:t xml:space="preserve">Patient Data Governance. The use of patient-generated data for pharmaceutical research requires explicit consent that is proportionate to the sensitivity of the data and the nature of its use, compliance with applicable privacy law (GDPR, HIPAA, India's DPDP Act 2023), and data governance frameworks that address data minimisation, purpose limitation, secondary use restrictions, and patient rights to access, correct, and delete their data. Companies that build trusted data governance frameworks — and communicate them transparently to patients — will generate higher-quality, more representative patient data than those that treat governance as a compliance checkbox.</w:t>
      </w:r>
    </w:p>
    <w:p>
      <w:pPr>
        <w:pStyle w:val="Heading2"/>
        <w:spacing w:after="120" w:before="240"/>
      </w:pPr>
      <w:r>
        <w:rPr>
          <w:b/>
          <w:bCs/>
          <w:color w:val="0D2B55"/>
        </w:rPr>
        <w:t xml:space="preserve">10.9 Connected Devices and Adherence Technology</w:t>
      </w:r>
    </w:p>
    <w:p>
      <w:pPr>
        <w:spacing w:after="120"/>
      </w:pPr>
      <w:r>
        <w:rPr>
          <w:i w:val="false"/>
          <w:iCs w:val="false"/>
          <w:color w:val="1C2333"/>
          <w:sz w:val="21"/>
          <w:szCs w:val="21"/>
        </w:rPr>
        <w:t xml:space="preserve">The convergence of pharmaceutical products with connected devices — auto-injectors with electronic adherence sensors, inhaler monitors, smart pill bottles, and patch-based drug delivery systems with integrated biosensors — is creating a new category of drug-device combination products that carry both therapeutic and data generation capabilities.</w:t>
      </w:r>
    </w:p>
    <w:p>
      <w:pPr>
        <w:spacing w:after="120"/>
      </w:pPr>
      <w:r>
        <w:rPr>
          <w:i w:val="false"/>
          <w:iCs w:val="false"/>
          <w:color w:val="1C2333"/>
          <w:sz w:val="21"/>
          <w:szCs w:val="21"/>
        </w:rPr>
        <w:t xml:space="preserve">Smart Auto-Injectors. Companies including AbbVie (Humira), Amgen, UCB, and Novartis have deployed or are developing connected auto-injector add-ons that record injection time, duration, and completeness, transmitting this data to a smartphone app that provides patient feedback, caregiver notifications, and adherence analytics. These devices have demonstrated meaningful adherence improvements in chronic conditions including rheumatoid arthritis, psoriasis, and multiple sclerosis — therapeutic areas where therapy persistence is a major driver of clinical outcomes and commercial performance.</w:t>
      </w:r>
    </w:p>
    <w:p>
      <w:pPr>
        <w:spacing w:after="120"/>
      </w:pPr>
      <w:r>
        <w:rPr>
          <w:i w:val="false"/>
          <w:iCs w:val="false"/>
          <w:color w:val="1C2333"/>
          <w:sz w:val="21"/>
          <w:szCs w:val="21"/>
        </w:rPr>
        <w:t xml:space="preserve">Respiratory Digital Health. Inhaler adherence and technique are major determinants of outcomes in asthma and COPD, and both are notoriously difficult to measure outside of clinical trials. Connected inhaler sensors — such as Propeller Health's sensor platform (now part of ResMed) and AstraZeneca's partnership with Adherium — objectively measure inhaler use in real time, identify patterns of poor adherence or poor technique, and trigger personalised coaching interventions. AstraZeneca's real-world evidence programs using connected inhaler data have generated compelling outcome data that has strengthened the company's market access position in respiratory.</w:t>
      </w:r>
    </w:p>
    <w:p>
      <w:pPr>
        <w:spacing w:after="120"/>
      </w:pPr>
      <w:r>
        <w:rPr>
          <w:i w:val="false"/>
          <w:iCs w:val="false"/>
          <w:color w:val="1C2333"/>
          <w:sz w:val="21"/>
          <w:szCs w:val="21"/>
        </w:rPr>
        <w:t xml:space="preserve">Glucose Monitoring and Beyond. Continuous glucose monitors (CGMs), pioneered by Dexterity and Abbott, have demonstrated that continuous biosensor data can replace episodic laboratory testing for chronic disease management and can serve as a clinical endpoint in diabetes drug development. The CGM model — continuous sensor plus connected app plus analytics platform — is being extended to other analytes (cortisol for stress, lactate for metabolic health, alcohol for addiction management) and represents a platform for drug development and patient engagement that pharmaceutical companies are actively exploring through partnership.</w:t>
      </w:r>
    </w:p>
    <w:p>
      <w:pPr>
        <w:pStyle w:val="Heading2"/>
        <w:spacing w:after="120" w:before="240"/>
      </w:pPr>
      <w:r>
        <w:rPr>
          <w:b/>
          <w:bCs/>
          <w:color w:val="0D2B55"/>
        </w:rPr>
        <w:t xml:space="preserve">10.10 Digital Therapeutics Regulatory and Reimbursement Landscape</w:t>
      </w:r>
    </w:p>
    <w:p>
      <w:pPr>
        <w:spacing w:after="120"/>
      </w:pPr>
      <w:r>
        <w:rPr>
          <w:i w:val="false"/>
          <w:iCs w:val="false"/>
          <w:color w:val="1C2333"/>
          <w:sz w:val="21"/>
          <w:szCs w:val="21"/>
        </w:rPr>
        <w:t xml:space="preserve">The digital therapeutics regulatory and reimbursement environment is evolving rapidly — and navigating it requires specific expertise that most pharmaceutical companies are still building.</w:t>
      </w:r>
    </w:p>
    <w:p>
      <w:pPr>
        <w:spacing w:after="120"/>
      </w:pPr>
      <w:r>
        <w:rPr>
          <w:i w:val="false"/>
          <w:iCs w:val="false"/>
          <w:color w:val="1C2333"/>
          <w:sz w:val="21"/>
          <w:szCs w:val="21"/>
        </w:rPr>
        <w:t xml:space="preserve">US FDA SaMD Pathway. Digital therapeutics that make medical claims must be cleared or approved by the FDA as Software as a Medical Device. The FDA's 2023 Digital Health Center of Excellence has published guidance on the pre-submission process, the types of clinical evidence required, and the post-market surveillance expectations for prescription digital therapeutics. Companies seeking FDA clearance for DTx products typically pursue the De Novo pathway (for novel device types) or the 510(k) pathway (where a predicate device exists).</w:t>
      </w:r>
    </w:p>
    <w:p>
      <w:pPr>
        <w:spacing w:after="120"/>
      </w:pPr>
      <w:r>
        <w:rPr>
          <w:i w:val="false"/>
          <w:iCs w:val="false"/>
          <w:color w:val="1C2333"/>
          <w:sz w:val="21"/>
          <w:szCs w:val="21"/>
        </w:rPr>
        <w:t xml:space="preserve">EU MDR Digital Therapeutics. In the European Union, digital therapeutics are regulated as medical devices under the EU Medical Device Regulation (MDR 2017/745). Class IIa designation — requiring a Notified Body assessment — applies to most prescription digital therapeutics. The EU's digital health regulatory landscape is more complex than the US, with each member state maintaining some national discretion over reimbursement pathways. Germany's DiGA (Digitale Gesundheitsanwendungen) fast-track reimbursement pathway for digital health applications — which allows provisional reimbursement while post-market evidence is generated — is the most progressive and widely watched model globally.</w:t>
      </w:r>
    </w:p>
    <w:p>
      <w:pPr>
        <w:spacing w:after="120"/>
      </w:pPr>
      <w:r>
        <w:rPr>
          <w:i w:val="false"/>
          <w:iCs w:val="false"/>
          <w:color w:val="1C2333"/>
          <w:sz w:val="21"/>
          <w:szCs w:val="21"/>
        </w:rPr>
        <w:t xml:space="preserve">Reimbursement Innovation. The reimbursement landscape for digital therapeutics is fragmentary but evolving. In the US, prescription digital therapeutics face a challenging payer environment, with limited coverage and high prior authorization burdens. The success of the DiGA model in Germany is influencing policy discussions in France, the UK, Japan, and South Korea. Pharmaceutical companies developing DTx products as companions to their pharmaceutical portfolios are finding that the combination value proposition — drug plus digital — is more compelling to payers than either component alone.</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10.1: Digital Patient Journey — Touchpoints, Technologies, and Outcomes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10.2: India Pharma Digital Transformation Ecosystem</w:t>
      </w:r>
    </w:p>
    <w:p>
      <w:pPr>
        <w:spacing w:after="120"/>
      </w:pPr>
      <w:r>
        <w:rPr>
          <w:color w:val="1C2333"/>
          <w:sz w:val="21"/>
          <w:szCs w:val="21"/>
        </w:rPr>
        <w:t xml:space="preserve">PART III</w:t>
      </w:r>
    </w:p>
    <w:p>
      <w:pPr>
        <w:spacing w:after="120"/>
      </w:pPr>
      <w:r>
        <w:rPr>
          <w:color w:val="1C2333"/>
          <w:sz w:val="21"/>
          <w:szCs w:val="21"/>
        </w:rPr>
        <w:t xml:space="preserve">PART III — ENTERPRISE ENABLERS</w:t>
      </w:r>
    </w:p>
    <w:p>
      <w:r>
        <w:br w:type="page"/>
      </w:r>
    </w:p>
    <w:p>
      <w:pPr>
        <w:pStyle w:val="Heading1"/>
        <w:spacing w:after="120" w:before="240"/>
      </w:pPr>
      <w:r>
        <w:rPr>
          <w:b/>
          <w:bCs/>
          <w:color w:val="0D2B55"/>
        </w:rPr>
        <w:t xml:space="preserve">Chapter 11: Enterprise Systems, Technology Architecture &amp; Data Platforms</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Every digital transformation initiative described in the preceding chapters — the AI-driven drug discovery engine, the decentralized clinical trial platform, the intelligent manufacturing facility, the omnichannel commercial model — depends on a common foundational layer: the enterprise technology architecture and data platform. This layer is the least visible to the business but the most consequential for whether transformation initiatives deliver their promised value or collapse under the weight of integration complexity, data quality problems, and system fragmentation. This chapter provides the architectural blueprint for a modern pharmaceutical enterprise technology stack — from ERP and MES through cloud data platforms, AI/ML infrastructure, and integration architecture — designed to support the demands of a digitally transformed pharma enterprise.</w:t>
      </w:r>
    </w:p>
    <w:p>
      <w:pPr>
        <w:pStyle w:val="Heading2"/>
        <w:spacing w:after="120" w:before="240"/>
      </w:pPr>
      <w:r>
        <w:rPr>
          <w:b/>
          <w:bCs/>
          <w:color w:val="0D2B55"/>
        </w:rPr>
        <w:t xml:space="preserve">11.1 The Enterprise Technology Architecture Imperative</w:t>
      </w:r>
    </w:p>
    <w:p>
      <w:pPr>
        <w:spacing w:after="120"/>
      </w:pPr>
      <w:r>
        <w:rPr>
          <w:i w:val="false"/>
          <w:iCs w:val="false"/>
          <w:color w:val="1C2333"/>
          <w:sz w:val="21"/>
          <w:szCs w:val="21"/>
        </w:rPr>
        <w:t xml:space="preserve">The legacy enterprise technology landscape of a large pharmaceutical company is typically the product of decades of accumulated investment decisions made independently by different functions in different eras: an SAP ERP instance from the 1990s that has been customized beyond recognition; a Veeva CRM that is not integrated with the commercial data warehouse; a LIMS running on-premises at each manufacturing site that was procured by local site management; a clinical data management system that outputs data in a format incompatible with the biostatistics environment; and somewhere in the building, an advanced analytics team running models in isolated Python notebooks that cannot access the operational data systems they need because the integration was never built.</w:t>
      </w:r>
    </w:p>
    <w:p>
      <w:pPr>
        <w:spacing w:after="120"/>
      </w:pPr>
      <w:r>
        <w:rPr>
          <w:i w:val="false"/>
          <w:iCs w:val="false"/>
          <w:color w:val="1C2333"/>
          <w:sz w:val="21"/>
          <w:szCs w:val="21"/>
        </w:rPr>
        <w:t xml:space="preserve">This landscape is not the result of poor decisions; it is the natural evolutionary product of a large, complex organization growing and acquiring over decades. But it is fundamentally incompatible with the connected, real-time, AI-powered operating model that modern pharmaceutical competition requires. The first task of enterprise digital transformation, before any AI model is trained or any cloud analytics platform is deployed, is to achieve a sufficient degree of architectural coherence — a technology foundation on which new capabilities can be built at speed, on which data can flow across functional boundaries, and on which the organization can learn and adapt rapidly.</w:t>
      </w:r>
    </w:p>
    <w:p>
      <w:pPr>
        <w:pStyle w:val="Heading2"/>
        <w:spacing w:after="120" w:before="240"/>
      </w:pPr>
      <w:r>
        <w:rPr>
          <w:b/>
          <w:bCs/>
          <w:color w:val="0D2B55"/>
        </w:rPr>
        <w:t xml:space="preserve">11.2 ERP Modernization: The Backbone of the Digital Enterprise</w:t>
      </w:r>
    </w:p>
    <w:p>
      <w:pPr>
        <w:spacing w:after="120"/>
      </w:pPr>
      <w:r>
        <w:rPr>
          <w:i w:val="false"/>
          <w:iCs w:val="false"/>
          <w:color w:val="1C2333"/>
          <w:sz w:val="21"/>
          <w:szCs w:val="21"/>
        </w:rPr>
        <w:t xml:space="preserve">Enterprise Resource Planning (ERP) systems — the integrated platforms that manage financial management, supply chain, procurement, manufacturing planning, and human resources — are the backbone of the pharmaceutical enterprise. For most large pharma companies, this means SAP, which holds dominant market share in pharmaceutical ERP. The current generation of SAP ERP — SAP S/4HANA — represents a substantial architectural upgrade from the legacy SAP ECC systems that most large pharma companies are still running.</w:t>
      </w:r>
    </w:p>
    <w:p>
      <w:pPr>
        <w:spacing w:after="120"/>
      </w:pPr>
      <w:r>
        <w:rPr>
          <w:i w:val="false"/>
          <w:iCs w:val="false"/>
          <w:color w:val="1C2333"/>
          <w:sz w:val="21"/>
          <w:szCs w:val="21"/>
        </w:rPr>
        <w:t xml:space="preserve">The migration from SAP ECC to S/4HANA is one of the most significant enterprise technology investments a pharmaceutical company will make — typically costing USD 100 million to USD 500 million for a large multinational and taking three to seven years to complete. The business case is not primarily about the ERP itself but about what S/4HANA enables: a real-time analytics layer (SAP Analytics Cloud) built on a modern in-memory database, an API-based integration architecture that allows external systems to connect easily, and a simplified data model that serves as the clean foundation for the analytics and AI investments layered on top.</w:t>
      </w:r>
    </w:p>
    <w:p>
      <w:pPr>
        <w:spacing w:after="120"/>
      </w:pPr>
      <w:r>
        <w:rPr>
          <w:i w:val="false"/>
          <w:iCs w:val="false"/>
          <w:color w:val="1C2333"/>
          <w:sz w:val="21"/>
          <w:szCs w:val="21"/>
        </w:rPr>
        <w:t xml:space="preserve">For smaller pharmaceutical companies and biotechs, cloud-native ERP options — including Oracle Cloud ERP, Workday for HR and Finance, and purpose-built pharma ERP solutions — offer modern architecture without the cost and complexity of an SAP transformation. The key principle regardless of ERP selection is that the ERP should be the authoritative source of truth for financial, supply chain, and master data — and that this data should be made available to downstream analytics and AI systems through well-governed, real-time integration.</w:t>
      </w:r>
    </w:p>
    <w:p>
      <w:pPr>
        <w:pStyle w:val="Heading2"/>
        <w:spacing w:after="120" w:before="240"/>
      </w:pPr>
      <w:r>
        <w:rPr>
          <w:b/>
          <w:bCs/>
          <w:color w:val="0D2B55"/>
        </w:rPr>
        <w:t xml:space="preserve">11.3 Life Sciences Industry Platforms: Veeva, IQVIA, and the Platform Economy</w:t>
      </w:r>
    </w:p>
    <w:p>
      <w:pPr>
        <w:spacing w:after="120"/>
      </w:pPr>
      <w:r>
        <w:rPr>
          <w:i w:val="false"/>
          <w:iCs w:val="false"/>
          <w:color w:val="1C2333"/>
          <w:sz w:val="21"/>
          <w:szCs w:val="21"/>
        </w:rPr>
        <w:t xml:space="preserve">The pharmaceutical industry has been the beneficiary of a remarkable development in enterprise software: the emergence of purpose-built, cloud-native platforms that address the specific functional and regulatory requirements of the pharmaceutical value chain. The most consequential of these is Veeva Systems, which has achieved market-dominant positions in commercial CRM (Veeva CRM, replacing Salesforce customizations), regulatory content management (Veeva Vault RIM), clinical operations (Veeva Vault CTMS, Vault EDC), quality management (Veeva Vault QualityOne), and medical affairs (Veeva Vault MedComms). The Veeva platform's strength is that its individual applications share a common data model, a common content management architecture, and common integration patterns — making it possible to build genuinely connected workflows across functions that were previously managed in separate systems.</w:t>
      </w:r>
    </w:p>
    <w:p>
      <w:pPr>
        <w:spacing w:after="120"/>
      </w:pPr>
      <w:r>
        <w:rPr>
          <w:i w:val="false"/>
          <w:iCs w:val="false"/>
          <w:color w:val="1C2333"/>
          <w:sz w:val="21"/>
          <w:szCs w:val="21"/>
        </w:rPr>
        <w:t xml:space="preserve">IQVIA provides a complementary platform layer, particularly in data and analytics. IQVIA's data assets — prescribing data, claims data, patient-level longitudinal health records, and specialty pharmacy data — are foundational inputs to commercial analytics for most large pharma companies. IQVIA's analytics platforms (IQVIA CORE, OCE for commercial operations) and clinical data management services are used alongside Veeva in many pharma enterprise architectures.</w:t>
      </w:r>
    </w:p>
    <w:p>
      <w:pPr>
        <w:spacing w:after="120"/>
      </w:pPr>
      <w:r>
        <w:rPr>
          <w:i w:val="false"/>
          <w:iCs w:val="false"/>
          <w:color w:val="1C2333"/>
          <w:sz w:val="21"/>
          <w:szCs w:val="21"/>
        </w:rPr>
        <w:t xml:space="preserve">The strategic question for pharma technology leaders is not simply which individual platforms to select but how to architect a coherent platform ecosystem — defining which platforms own which data, how data flows between platforms, and how the overall platform architecture supports the business capabilities the transformation strategy requires.</w:t>
      </w:r>
    </w:p>
    <w:p>
      <w:pPr>
        <w:pStyle w:val="Heading2"/>
        <w:spacing w:after="120" w:before="240"/>
      </w:pPr>
      <w:r>
        <w:rPr>
          <w:b/>
          <w:bCs/>
          <w:color w:val="0D2B55"/>
        </w:rPr>
        <w:t xml:space="preserve">11.4 The Pharmaceutical Data Platform: Lake, Warehouse, and Mesh</w:t>
      </w:r>
    </w:p>
    <w:p>
      <w:pPr>
        <w:spacing w:after="120"/>
      </w:pPr>
      <w:r>
        <w:rPr>
          <w:i w:val="false"/>
          <w:iCs w:val="false"/>
          <w:color w:val="1C2333"/>
          <w:sz w:val="21"/>
          <w:szCs w:val="21"/>
        </w:rPr>
        <w:t xml:space="preserve">The explosion of data across the pharmaceutical value chain — from genomics to clinical trial endpoints to manufacturing sensors to prescription dispensing records — requires a data platform architecture designed for the scale, variety, and velocity of modern pharmaceutical data. The traditional data warehouse model — a centralized, structured repository that integrates copies of data from operational systems — is no longer sufficient as the sole data architecture for a pharmaceutical enterprise.</w:t>
      </w:r>
    </w:p>
    <w:p>
      <w:pPr>
        <w:spacing w:after="120"/>
      </w:pPr>
      <w:r>
        <w:rPr>
          <w:i w:val="false"/>
          <w:iCs w:val="false"/>
          <w:color w:val="1C2333"/>
          <w:sz w:val="21"/>
          <w:szCs w:val="21"/>
        </w:rPr>
        <w:t xml:space="preserve">Modern pharmaceutical data platforms adopt a layered architecture that integrates three complementary approaches. The data lake provides a centralized repository for raw, unstructured, and semi-structured data — instrument outputs, genomic sequences, medical imaging files, clinical narratives, social media mentions — stored at low cost in cloud object storage and processed on-demand. The data warehouse provides a curated, structured analytical layer — integrating cleaned, governed, and modeled data from the ERP, LIMS, CRM, and other operational systems — that serves as the foundation for standard reporting and business intelligence. The data lakehouse architecture, emerging as the preferred model for large pharmaceutical enterprises, merges the scalability of the data lake with the governance and query performance of the data warehouse, enabling structured and unstructured data to coexist in a single governed environment.</w:t>
      </w:r>
    </w:p>
    <w:p>
      <w:pPr>
        <w:spacing w:after="120"/>
      </w:pPr>
      <w:r>
        <w:rPr>
          <w:i w:val="false"/>
          <w:iCs w:val="false"/>
          <w:color w:val="1C2333"/>
          <w:sz w:val="21"/>
          <w:szCs w:val="21"/>
        </w:rPr>
        <w:t xml:space="preserve">Cloud hyperscalers — AWS, Microsoft Azure, and Google Cloud Platform — are the infrastructure layer on which pharmaceutical data platforms are built. All three have developed pharma-specific reference architectures and compliance certifications (including HIPAA and 21 CFR Part 11 cloud compliance) that address the regulatory requirements of pharmaceutical data hosting. The choice between hyperscalers is increasingly less about technical capability — all three are capable platforms — and more about organizational relationships, existing enterprise agreements, and the availability of domain-specific services.</w:t>
      </w:r>
    </w:p>
    <w:p>
      <w:pPr>
        <w:spacing w:after="120"/>
      </w:pPr>
      <w:r>
        <w:rPr>
          <w:i w:val="false"/>
          <w:iCs w:val="false"/>
          <w:color w:val="1C2333"/>
          <w:sz w:val="21"/>
          <w:szCs w:val="21"/>
        </w:rPr>
        <w:t xml:space="preserve">The concept of the data mesh — a decentralized data architecture in which individual domains (R&amp;D, clinical, manufacturing, commercial) own and publish their own data products through a common infrastructure platform with shared governance standards — is gaining adoption among the most mature pharmaceutical data organizations. The data mesh addresses the central limitation of centralized data platform architectures: they create a data engineering bottleneck in which every new data integration request must be handled by a central team, slowing innovation and creating frustrated domain users who build shadow data infrastructure around the bottleneck. A data mesh shifts data ownership to the domain while maintaining enterprise governance standards — a model that maps naturally onto the federated governance architecture described in Chapter 3.</w:t>
      </w:r>
    </w:p>
    <w:p>
      <w:pPr>
        <w:pStyle w:val="Heading2"/>
        <w:spacing w:after="120" w:before="240"/>
      </w:pPr>
      <w:r>
        <w:rPr>
          <w:b/>
          <w:bCs/>
          <w:color w:val="0D2B55"/>
        </w:rPr>
        <w:t xml:space="preserve">11.5 AI/ML Infrastructure and MLOps</w:t>
      </w:r>
    </w:p>
    <w:p>
      <w:pPr>
        <w:spacing w:after="120"/>
      </w:pPr>
      <w:r>
        <w:rPr>
          <w:i w:val="false"/>
          <w:iCs w:val="false"/>
          <w:color w:val="1C2333"/>
          <w:sz w:val="21"/>
          <w:szCs w:val="21"/>
        </w:rPr>
        <w:t xml:space="preserve">Building AI models for pharmaceutical applications — drug-target interaction prediction, clinical trial recruitment analytics, manufacturing process optimization, commercial next-best-action — is a solved problem for organizations with the right talent and computational infrastructure. The unsolved problem in most pharmaceutical organizations is not building models but scaling them: moving from a successful proof-of-concept running in a data scientist's Jupyter notebook to a production-grade model serving real-time predictions across hundreds of users, with automated retraining, performance monitoring, and regulatory documentation.</w:t>
      </w:r>
    </w:p>
    <w:p>
      <w:pPr>
        <w:spacing w:after="120"/>
      </w:pPr>
      <w:r>
        <w:rPr>
          <w:i w:val="false"/>
          <w:iCs w:val="false"/>
          <w:color w:val="1C2333"/>
          <w:sz w:val="21"/>
          <w:szCs w:val="21"/>
        </w:rPr>
        <w:t xml:space="preserve">MLOps — the application of DevOps principles to machine learning model lifecycle management — is the discipline that enables this transition. An MLOps platform provides a feature store (a repository of engineered data features that models can consume, enabling reuse across multiple models and ensuring consistency between training and serving), a model registry (a version-controlled repository of trained models with their performance metrics, training data lineage, and deployment history), automated training pipelines (that retrain models on new data on a defined schedule and run validation tests before promoting updates to production), and model monitoring (that tracks model performance in production, detects data drift, and triggers retraining when performance degrades below defined thresholds).</w:t>
      </w:r>
    </w:p>
    <w:p>
      <w:pPr>
        <w:spacing w:after="120"/>
      </w:pPr>
      <w:r>
        <w:rPr>
          <w:i w:val="false"/>
          <w:iCs w:val="false"/>
          <w:color w:val="1C2333"/>
          <w:sz w:val="21"/>
          <w:szCs w:val="21"/>
        </w:rPr>
        <w:t xml:space="preserve">For pharmaceutical AI models that inform GxP decisions — such as models used in manufacturing process optimization or clinical safety signal detection — the MLOps platform must also support regulatory documentation: the model card (a structured documentation of model purpose, training data, performance characteristics, and known limitations) and the computer system validation (CSV) documentation required for GxP deployment. The integration of MLOps practices with GxP validation frameworks is an active area of development in the industry, with several leading organizations having published internal frameworks and the FDA having issued draft guidance on validation of AI/ML software as a medical device.</w:t>
      </w:r>
    </w:p>
    <w:p>
      <w:pPr>
        <w:pStyle w:val="Heading2"/>
        <w:spacing w:after="120" w:before="240"/>
      </w:pPr>
      <w:r>
        <w:rPr>
          <w:b/>
          <w:bCs/>
          <w:color w:val="0D2B55"/>
        </w:rPr>
        <w:t xml:space="preserve">11.6 Integration Architecture and API Strategy</w:t>
      </w:r>
    </w:p>
    <w:p>
      <w:pPr>
        <w:spacing w:after="120"/>
      </w:pPr>
      <w:r>
        <w:rPr>
          <w:i w:val="false"/>
          <w:iCs w:val="false"/>
          <w:color w:val="1C2333"/>
          <w:sz w:val="21"/>
          <w:szCs w:val="21"/>
        </w:rPr>
        <w:t xml:space="preserve">The value of enterprise data and AI capabilities is limited by the organization's ability to integrate data across systems and to expose capabilities through well-designed APIs (Application Programming Interfaces) that allow applications to communicate with each other. A pharmaceutical enterprise without a coherent integration architecture will spend an ever-increasing fraction of its technology budget maintaining point-to-point integrations between legacy systems — a technical debt spiral that eventually consumes the capacity for new development.</w:t>
      </w:r>
    </w:p>
    <w:p>
      <w:pPr>
        <w:spacing w:after="120"/>
      </w:pPr>
      <w:r>
        <w:rPr>
          <w:i w:val="false"/>
          <w:iCs w:val="false"/>
          <w:color w:val="1C2333"/>
          <w:sz w:val="21"/>
          <w:szCs w:val="21"/>
        </w:rPr>
        <w:t xml:space="preserve">The modern pharmaceutical integration architecture has two layers. The first is the enterprise integration platform — an API management and iPaaS (Integration Platform as a Service) layer that manages the integration of operational systems (ERP, LIMS, MES, CRM, EDC) through a common integration bus with standardized data formats, documented APIs, and centralized monitoring. MuleSoft (now a Salesforce company) and SAP Integration Suite are the most widely deployed enterprise integration platforms in pharmaceutical environments. The second layer is the event streaming platform — typically Apache Kafka or AWS Kinesis — that handles the high-volume, real-time data streams from manufacturing IoT sensors, clinical trial monitoring systems, and digital patient engagement platforms.</w:t>
      </w:r>
    </w:p>
    <w:p>
      <w:pPr>
        <w:pStyle w:val="Heading2"/>
        <w:spacing w:after="120" w:before="240"/>
      </w:pPr>
      <w:r>
        <w:rPr>
          <w:b/>
          <w:bCs/>
          <w:color w:val="0D2B55"/>
        </w:rPr>
        <w:t xml:space="preserve">11.7 Cybersecurity in the Pharmaceutical Enterprise</w:t>
      </w:r>
    </w:p>
    <w:p>
      <w:pPr>
        <w:spacing w:after="120"/>
      </w:pPr>
      <w:r>
        <w:rPr>
          <w:i w:val="false"/>
          <w:iCs w:val="false"/>
          <w:color w:val="1C2333"/>
          <w:sz w:val="21"/>
          <w:szCs w:val="21"/>
        </w:rPr>
        <w:t xml:space="preserve">The pharmaceutical industry is a high-value target for cyber adversaries: intellectual property theft (drug formulations, clinical trial data, discovery research) is extraordinarily valuable, manufacturing disruption can damage supply chain and patient safety, and ransomware attacks against research or quality systems can have devastating consequences. The industry has experienced several high-profile cyber incidents in recent years, including the destructive NotPetya malware attack in 2017 that cost Merck an estimated USD 870 million in damages and disrupted manufacturing and commercial operations globally.</w:t>
      </w:r>
    </w:p>
    <w:p>
      <w:pPr>
        <w:spacing w:after="120"/>
      </w:pPr>
      <w:r>
        <w:rPr>
          <w:i w:val="false"/>
          <w:iCs w:val="false"/>
          <w:color w:val="1C2333"/>
          <w:sz w:val="21"/>
          <w:szCs w:val="21"/>
        </w:rPr>
        <w:t xml:space="preserve">A pharmaceutical cybersecurity program must address several domains simultaneously. Network security — protecting the perimeter of the enterprise network and the OT (operational technology) networks in manufacturing facilities, which are increasingly connected to enterprise IT systems but require separate security architectures — is the foundation. Identity and access management (IAM) — ensuring that only authorized individuals and systems can access sensitive data and critical systems, with multi-factor authentication, least-privilege access controls, and privileged access management for high-risk system accounts — is essential. And data loss prevention (DLP) — monitoring and controlling the movement of sensitive data (clinical trial data, unpublished research, patient data) outside controlled systems — addresses the specific pharmaceutical risk of intellectual property and patient data exposure.</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organization have a documented enterprise technology architecture that defines the authoritative data sources, integration standards, and platform choices across the full enterprise — and is there a governance process that prevents individual functions from making architecture decisions that undermine the enterprise standard? What is the current annual cybersecurity investment as a percentage of total technology spend, and how does this compare to the value of the intellectual property and patient data the organization is protecting? What is the organization's cloud adoption status — what fraction of enterprise workloads are running in cloud environments, and what is the plan for workloads that remain on-premises? Has the organization conducted a business impact analysis for a major cyber incident — and does the board understand the operational and financial consequences of the most plausible attack scenarios?</w:t>
      </w:r>
    </w:p>
    <w:p>
      <w:pPr>
        <w:pBdr>
          <w:left w:val="single" w:color="C9A84C" w:sz="18" w:space="8"/>
        </w:pBdr>
        <w:shd w:fill="FBF6E9" w:color="auto" w:val="clear"/>
        <w:spacing w:after="120"/>
        <w:ind w:left="240"/>
      </w:pPr>
      <w:r>
        <w:rPr>
          <w:i/>
          <w:iCs/>
          <w:color w:val="1C2333"/>
          <w:sz w:val="21"/>
          <w:szCs w:val="21"/>
        </w:rPr>
        <w:t xml:space="preserve">🌍 REGIONAL SPOTLIGHT: TECHNOLOGY ARCHITECTURE ACROSS MARKETS</w:t>
      </w:r>
    </w:p>
    <w:p>
      <w:pPr>
        <w:pBdr>
          <w:left w:val="single" w:color="C9A84C" w:sz="18" w:space="8"/>
        </w:pBdr>
        <w:shd w:fill="FBF6E9" w:color="auto" w:val="clear"/>
        <w:spacing w:after="120"/>
        <w:ind w:left="240"/>
      </w:pPr>
      <w:r>
        <w:rPr>
          <w:i/>
          <w:iCs/>
          <w:color w:val="1C2333"/>
          <w:sz w:val="21"/>
          <w:szCs w:val="21"/>
        </w:rPr>
        <w:t xml:space="preserve">In the US, pharmaceutical technology architecture is moving rapidly toward cloud-native platforms, with the major cloud hyperscalers all having established pharma-specific compliance certifications and reference architectures. US FDA's cloud computing guidance — updated in 2023 to explicitly address GxP use of cloud-hosted systems — has removed the primary regulatory uncertainty that was delaying cloud adoption in manufacturing and clinical applications. In the EU, GDPR data residency requirements and the specific data governance provisions of the European Health Data Space are shaping cloud architecture decisions. EU-based operations typically require data residency in EU cloud regions, and the data transfer restrictions of GDPR require careful architecture planning for global pharmaceutical companies moving data between EU and non-EU systems. The EU's draft AI Act, which came into force in 2024 with a phased implementation schedule, will impose specific transparency, documentation, and risk management requirements on pharmaceutical AI systems — requirements that well-designed MLOps architectures can satisfy but that will require documentation effort for organizations that have deployed AI without structured governance.</w:t>
      </w:r>
    </w:p>
    <w:p>
      <w:pPr>
        <w:spacing w:after="120"/>
      </w:pPr>
      <w:r>
        <w:rPr>
          <w:i w:val="false"/>
          <w:iCs w:val="false"/>
          <w:color w:val="1C2333"/>
          <w:sz w:val="21"/>
          <w:szCs w:val="21"/>
        </w:rPr>
        <w:t xml:space="preserve">In India, the technology architecture landscape is shaped by a unique advantage: India is home to the world's deepest pool of enterprise software engineering talent, and India-based GCCs are increasingly the actual builders of pharmaceutical enterprise technology platforms for global companies. The GCC model — a dedicated offshore center providing digital engineering, data analytics, and technology operations services to the global parent — is a powerful accelerator for pharma digital transformation, and India's pharma GCC ecosystem is growing rapidly. Simultaneously, domestic Indian pharmaceutical companies are navigating the challenge of modernizing technology landscapes that were built on fragmented legacy infrastructure at a time when competitive pressure demands rapid digital investment.</w:t>
      </w:r>
    </w:p>
    <w:p>
      <w:pPr>
        <w:pStyle w:val="Heading2"/>
        <w:spacing w:after="120" w:before="240"/>
      </w:pPr>
      <w:r>
        <w:rPr>
          <w:b/>
          <w:bCs/>
          <w:color w:val="0D2B55"/>
        </w:rPr>
        <w:t xml:space="preserve">11.9 The Pharma Data Mesh: Architecture for Scale</w:t>
      </w:r>
    </w:p>
    <w:p>
      <w:pPr>
        <w:spacing w:after="120"/>
      </w:pPr>
      <w:r>
        <w:rPr>
          <w:i w:val="false"/>
          <w:iCs w:val="false"/>
          <w:color w:val="1C2333"/>
          <w:sz w:val="21"/>
          <w:szCs w:val="21"/>
        </w:rPr>
        <w:t xml:space="preserve">As pharmaceutical organisations grow their data capabilities, the limitations of centralised data platform architectures become apparent. A single central data team responsible for onboarding all data sources, building all data products, and serving all analytical consumers creates a bottleneck that slows innovation and frustrates domain teams who need data they cannot access quickly enough.</w:t>
      </w:r>
    </w:p>
    <w:p>
      <w:pPr>
        <w:spacing w:after="120"/>
      </w:pPr>
      <w:r>
        <w:rPr>
          <w:i w:val="false"/>
          <w:iCs w:val="false"/>
          <w:color w:val="1C2333"/>
          <w:sz w:val="21"/>
          <w:szCs w:val="21"/>
        </w:rPr>
        <w:t xml:space="preserve">The data mesh architecture — proposed by Thoughtworks' Zhamak Dehghani and adapted extensively for enterprise pharmaceutical contexts — addresses this by inverting the centralisation assumption. Rather than one team owning all data, each domain (R&amp;D, clinical, manufacturing, commercial) owns and publishes its own data products through a self-serve infrastructure platform maintained centrally. The central team owns the infrastructure, the standards (data contracts, metadata schemas, quality service level agreements), and the discovery catalog — but not the data itself.</w:t>
      </w:r>
    </w:p>
    <w:p>
      <w:pPr>
        <w:spacing w:after="120"/>
      </w:pPr>
      <w:r>
        <w:rPr>
          <w:i w:val="false"/>
          <w:iCs w:val="false"/>
          <w:color w:val="1C2333"/>
          <w:sz w:val="21"/>
          <w:szCs w:val="21"/>
        </w:rPr>
        <w:t xml:space="preserve">Domain data ownership. In a pharma data mesh, the clinical operations team owns and publishes the clinical data product — a curated, documented, quality-monitored dataset of trial data that other teams (biostatistics, medical affairs, commercial) can consume. The manufacturing team owns the batch data product. The commercial team owns the HCP engagement data product. Each data product has an explicit owner, documented schema, quality SLA, and consumption API — making it genuinely discoverable and trustworthy for downstream consumers.</w:t>
      </w:r>
    </w:p>
    <w:p>
      <w:pPr>
        <w:spacing w:after="120"/>
      </w:pPr>
      <w:r>
        <w:rPr>
          <w:i w:val="false"/>
          <w:iCs w:val="false"/>
          <w:color w:val="1C2333"/>
          <w:sz w:val="21"/>
          <w:szCs w:val="21"/>
        </w:rPr>
        <w:t xml:space="preserve">Self-serve data infrastructure. The central platform team provides the infrastructure that enables domain teams to build and publish their data products: a cloud data platform (Databricks or Snowflake), data pipeline templates, automated data quality monitoring tools, and a data catalog (Collibra or Alation). Domain teams use these tools without needing to request central engineering resources for every new data source.</w:t>
      </w:r>
    </w:p>
    <w:p>
      <w:pPr>
        <w:spacing w:after="120"/>
      </w:pPr>
      <w:r>
        <w:rPr>
          <w:i w:val="false"/>
          <w:iCs w:val="false"/>
          <w:color w:val="1C2333"/>
          <w:sz w:val="21"/>
          <w:szCs w:val="21"/>
        </w:rPr>
        <w:t xml:space="preserve">Federated governance. The data mesh doesn't eliminate governance — it federates it. The central team defines the governance policies (GDPR compliance requirements, ALCOA+ data integrity standards for GxP data, security classification standards) that all data products must comply with. Domain teams implement these standards in their own data products and demonstrate compliance through automated quality checks.</w:t>
      </w:r>
    </w:p>
    <w:p>
      <w:pPr>
        <w:pStyle w:val="Heading2"/>
        <w:spacing w:after="120" w:before="240"/>
      </w:pPr>
      <w:r>
        <w:rPr>
          <w:b/>
          <w:bCs/>
          <w:color w:val="0D2B55"/>
        </w:rPr>
        <w:t xml:space="preserve">11.10 Quantum Computing Readiness in Pharma Technology</w:t>
      </w:r>
    </w:p>
    <w:p>
      <w:pPr>
        <w:spacing w:after="120"/>
      </w:pPr>
      <w:r>
        <w:rPr>
          <w:i w:val="false"/>
          <w:iCs w:val="false"/>
          <w:color w:val="1C2333"/>
          <w:sz w:val="21"/>
          <w:szCs w:val="21"/>
        </w:rPr>
        <w:t xml:space="preserve">While quantum computing at enterprise scale remains 5–10 years away for most pharmaceutical applications, technology leaders in pharma must begin building quantum readiness now — both to understand which applications will be transformative and to ensure the organisation's cryptographic infrastructure is protected against the quantum threat.</w:t>
      </w:r>
    </w:p>
    <w:p>
      <w:pPr>
        <w:spacing w:after="120"/>
      </w:pPr>
      <w:r>
        <w:rPr>
          <w:i w:val="false"/>
          <w:iCs w:val="false"/>
          <w:color w:val="1C2333"/>
          <w:sz w:val="21"/>
          <w:szCs w:val="21"/>
        </w:rPr>
        <w:t xml:space="preserve">Post-quantum cryptography. Pharmaceutical companies store and transmit extraordinarily sensitive data — clinical trial results, proprietary compound structures, patient health records, manufacturing formulae. Much of this data is currently protected by RSA and ECC encryption algorithms that will be vulnerable to quantum computers running Shor's algorithm. NIST finalised its post-quantum cryptography standards in 2024 (CRYSTALS-Kyber for key encapsulation, CRYSTALS-Dilithium for digital signatures). Pharmaceutical IT security teams need to begin the migration to post-quantum cryptographic algorithms now — inventorying all encryption dependencies, prioritising migration for the highest-sensitivity data assets, and building the infrastructure for a multi-year cryptographic transition.</w:t>
      </w:r>
    </w:p>
    <w:p>
      <w:pPr>
        <w:spacing w:after="120"/>
      </w:pPr>
      <w:r>
        <w:rPr>
          <w:i w:val="false"/>
          <w:iCs w:val="false"/>
          <w:color w:val="1C2333"/>
          <w:sz w:val="21"/>
          <w:szCs w:val="21"/>
        </w:rPr>
        <w:t xml:space="preserve">Quantum simulation for molecular modelling. The most scientifically significant near-term quantum computing application for pharma is quantum chemistry simulation — computing the electronic structure of molecules with accuracy that classical computers cannot match even with approximations. Quantum simulation will eventually enable exact calculation of binding energies, reaction rates, and molecular properties that current classical methods can only estimate. Companies including IBM, Google, and IonQ are working with pharmaceutical partners to identify the quantum circuit depths and error rates required for useful pharmaceutical quantum simulation, and early demonstrations on small molecular systems are proving the concept.</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11.1: Pharma Enterprise Technology Architecture — Five-Layer Reference Stack</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11.2: Pharma Cybersecurity — Threat Landscape and Defence Framework</w:t>
      </w:r>
    </w:p>
    <w:p>
      <w:r>
        <w:br w:type="page"/>
      </w:r>
    </w:p>
    <w:p>
      <w:pPr>
        <w:pStyle w:val="Heading1"/>
        <w:spacing w:after="120" w:before="240"/>
      </w:pPr>
      <w:r>
        <w:rPr>
          <w:b/>
          <w:bCs/>
          <w:color w:val="0D2B55"/>
        </w:rPr>
        <w:t xml:space="preserve">Chapter 12: Finance, Procurement &amp; Cybersecurity — Digital Transformation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horizontal functions of the pharmaceutical enterprise — finance, procurement, and cybersecurity — are not glamorous transformation subjects. They lack the scientific excitement of AI-driven drug discovery or the patient-facing resonance of digital therapeutics. But they are the operational infrastructure on which the entire enterprise runs, and their digital maturity directly determines whether the transformation investments described in earlier chapters deliver their promised returns. A pharma company with an intelligent manufacturing facility and a paper-based financial close process, or a digital clinical trial platform and a supply base managed through unstructured email negotiations, is not digitally transformed — it is digitally inconsistent. This chapter addresses these essential but often overlooked transformation domains.</w:t>
      </w:r>
    </w:p>
    <w:p>
      <w:pPr>
        <w:pStyle w:val="Heading2"/>
        <w:spacing w:after="120" w:before="240"/>
      </w:pPr>
      <w:r>
        <w:rPr>
          <w:b/>
          <w:bCs/>
          <w:color w:val="0D2B55"/>
        </w:rPr>
        <w:t xml:space="preserve">12.1 Finance Digital Transformation</w:t>
      </w:r>
    </w:p>
    <w:p>
      <w:pPr>
        <w:spacing w:after="120"/>
      </w:pPr>
      <w:r>
        <w:rPr>
          <w:i w:val="false"/>
          <w:iCs w:val="false"/>
          <w:color w:val="1C2333"/>
          <w:sz w:val="21"/>
          <w:szCs w:val="21"/>
        </w:rPr>
        <w:t xml:space="preserve">Pharmaceutical finance functions have traditionally been characterized by long monthly close cycles, significant manual reconciliation effort, finance business partners who spend most of their time compiling data rather than analyzing it, and forecasting processes that rely on static Excel models rather than dynamic, scenario-capable planning platforms. The transformation of the finance function targets each of these inefficiencies.</w:t>
      </w:r>
    </w:p>
    <w:p>
      <w:pPr>
        <w:spacing w:after="120"/>
      </w:pPr>
      <w:r>
        <w:rPr>
          <w:i w:val="false"/>
          <w:iCs w:val="false"/>
          <w:color w:val="1C2333"/>
          <w:sz w:val="21"/>
          <w:szCs w:val="21"/>
        </w:rPr>
        <w:t xml:space="preserve">The Intelligent Finance model, enabled by modern cloud-based finance platforms (SAP S/4HANA Finance, Oracle Cloud Financials, Workday Financial Management), automates the transactional foundation of financial operations — accounts payable and receivable processing, general ledger reconciliation, intercompany eliminations, and financial consolidation — through a combination of robotic process automation (RPA) for rule-based tasks and AI for exception handling and anomaly detection. Finance organizations that have deployed intelligent automation in their transactional processes report a 40 to 60 percent reduction in time-to-close, a 30 to 50 percent reduction in finance headcount dedicated to transactional processing, and a significant improvement in data quality from the elimination of manual rekeying errors.</w:t>
      </w:r>
    </w:p>
    <w:p>
      <w:pPr>
        <w:spacing w:after="120"/>
      </w:pPr>
      <w:r>
        <w:rPr>
          <w:i w:val="false"/>
          <w:iCs w:val="false"/>
          <w:color w:val="1C2333"/>
          <w:sz w:val="21"/>
          <w:szCs w:val="21"/>
        </w:rPr>
        <w:t xml:space="preserve">The higher-value transformation in pharma finance is in financial planning and analysis (FP&amp;A). Traditional FP&amp;A processes — budgeting, long-range planning, and rolling forecasts — are characterized by weeks of spreadsheet consolidation, single-point estimates that are immediately out of date, and limited ability to model the impact of strategic decisions (a new product launch, a manufacturing site acquisition, a patent expiry scenario) on financial outcomes. Modern FP&amp;A platforms — Anaplan, Workday Adaptive Planning, and Oracle EPM — replace this process with connected planning models that integrate commercial, supply chain, clinical, and R&amp;D data into a unified financial model, enabling real-time scenario modeling and continuous forecasting as business conditions change.</w:t>
      </w:r>
    </w:p>
    <w:p>
      <w:pPr>
        <w:spacing w:after="120"/>
      </w:pPr>
      <w:r>
        <w:rPr>
          <w:i w:val="false"/>
          <w:iCs w:val="false"/>
          <w:color w:val="1C2333"/>
          <w:sz w:val="21"/>
          <w:szCs w:val="21"/>
        </w:rPr>
        <w:t xml:space="preserve">For pharma specifically, FP&amp;A transformation must address several domain-specific modeling challenges: the long and uncertain timelines of R&amp;D investment (with probability-weighted portfolio NPV models), the complex interplay of branded product revenues and generic competition (requiring market share erosion models), the global transfer pricing and tax implications of pharma's highly multinational operating structure, and the outcome-based contracting arrangements with payers that increasingly link product revenues to real-world health outcomes.</w:t>
      </w:r>
    </w:p>
    <w:p>
      <w:pPr>
        <w:pStyle w:val="Heading2"/>
        <w:spacing w:after="120" w:before="240"/>
      </w:pPr>
      <w:r>
        <w:rPr>
          <w:b/>
          <w:bCs/>
          <w:color w:val="0D2B55"/>
        </w:rPr>
        <w:t xml:space="preserve">12.2 Procurement and Supply Transformation</w:t>
      </w:r>
    </w:p>
    <w:p>
      <w:pPr>
        <w:spacing w:after="120"/>
      </w:pPr>
      <w:r>
        <w:rPr>
          <w:i w:val="false"/>
          <w:iCs w:val="false"/>
          <w:color w:val="1C2333"/>
          <w:sz w:val="21"/>
          <w:szCs w:val="21"/>
        </w:rPr>
        <w:t xml:space="preserve">Pharmaceutical procurement — the management of the organization's spend with suppliers of materials, services, equipment, and technology — is a function where digital transformation delivers both immediate cost savings and strategic risk management improvements. For a large pharma company spending USD 10 to 20 billion annually with suppliers, a 3 to 5 percent improvement in procurement effectiveness from digital tools and data represents USD 300 to 1,000 million in direct bottom-line impact.</w:t>
      </w:r>
    </w:p>
    <w:p>
      <w:pPr>
        <w:spacing w:after="120"/>
      </w:pPr>
      <w:r>
        <w:rPr>
          <w:i w:val="false"/>
          <w:iCs w:val="false"/>
          <w:color w:val="1C2333"/>
          <w:sz w:val="21"/>
          <w:szCs w:val="21"/>
        </w:rPr>
        <w:t xml:space="preserve">The digital procurement architecture in pharma has several layers. Source-to-Pay (S2P) platforms — including SAP Ariba, Coupa, and Ivalua — provide the operational platform for supplier management, sourcing events, contract management, purchase order processing, and invoice automation. These platforms dramatically reduce the cost and cycle time of routine procurement transactions while creating a structured data record of supplier performance, contract compliance, and spend patterns.</w:t>
      </w:r>
    </w:p>
    <w:p>
      <w:pPr>
        <w:spacing w:after="120"/>
      </w:pPr>
      <w:r>
        <w:rPr>
          <w:i w:val="false"/>
          <w:iCs w:val="false"/>
          <w:color w:val="1C2333"/>
          <w:sz w:val="21"/>
          <w:szCs w:val="21"/>
        </w:rPr>
        <w:t xml:space="preserve">The strategic layer of procurement digitalization is spend analytics and should-cost modeling. Spend analytics platforms that integrate purchase data from ERP and S2P systems with external market intelligence — commodity price indices, supplier financial health scores, peer benchmarking data — give category managers real-time visibility into spending patterns, savings opportunities, and supplier risk profiles. AI-powered should-cost models — which estimate the theoretically achievable cost for a purchased item or service based on its input cost components and a model of efficient production — give procurement teams a data-based foundation for supplier negotiations that replaces the historical reliance on benchmark tables and experience.</w:t>
      </w:r>
    </w:p>
    <w:p>
      <w:pPr>
        <w:spacing w:after="120"/>
      </w:pPr>
      <w:r>
        <w:rPr>
          <w:i w:val="false"/>
          <w:iCs w:val="false"/>
          <w:color w:val="1C2333"/>
          <w:sz w:val="21"/>
          <w:szCs w:val="21"/>
        </w:rPr>
        <w:t xml:space="preserve">For pharmaceutical procurement specifically, supplier quality and supply security are as important as cost. The procurement function must maintain visibility into the financial health, regulatory compliance status, and geographic concentration of the supply base — a capability that requires digital risk monitoring tools that continuously scan for supplier financial distress signals, FDA warning letters against API suppliers, geopolitical disruptions affecting supply routes, and natural disasters affecting production regions.</w:t>
      </w:r>
    </w:p>
    <w:p>
      <w:pPr>
        <w:pStyle w:val="Heading2"/>
        <w:spacing w:after="120" w:before="240"/>
      </w:pPr>
      <w:r>
        <w:rPr>
          <w:b/>
          <w:bCs/>
          <w:color w:val="0D2B55"/>
        </w:rPr>
        <w:t xml:space="preserve">12.3 Cybersecurity: The Digital Risk Imperative</w:t>
      </w:r>
    </w:p>
    <w:p>
      <w:pPr>
        <w:spacing w:after="120"/>
      </w:pPr>
      <w:r>
        <w:rPr>
          <w:i w:val="false"/>
          <w:iCs w:val="false"/>
          <w:color w:val="1C2333"/>
          <w:sz w:val="21"/>
          <w:szCs w:val="21"/>
        </w:rPr>
        <w:t xml:space="preserve">Cybersecurity in the pharmaceutical enterprise requires a comprehensive defense-in-depth strategy that simultaneously protects intellectual property, clinical data, patient safety systems, and operational continuity. The pharma-specific threat landscape includes nation-state actors targeting drug formulations and clinical trial data (the most common source of pharma intellectual property theft), financially motivated ransomware operators that target operational systems and demand payment to restore access, and supply chain attackers that compromise software or hardware suppliers to gain access to pharmaceutical customers' networks.</w:t>
      </w:r>
    </w:p>
    <w:p>
      <w:pPr>
        <w:spacing w:after="120"/>
      </w:pPr>
      <w:r>
        <w:rPr>
          <w:i w:val="false"/>
          <w:iCs w:val="false"/>
          <w:color w:val="1C2333"/>
          <w:sz w:val="21"/>
          <w:szCs w:val="21"/>
        </w:rPr>
        <w:t xml:space="preserve">The pharmaceutical cybersecurity program architecture follows the NIST Cybersecurity Framework's five functions: Identify, Protect, Detect, Respond, and Recover. The Identify function encompasses asset inventory (knowing every device, system, and data asset in the enterprise), risk assessment (understanding the threat landscape and the organization's specific vulnerabilities), and supply chain risk management (assessing the cybersecurity posture of key technology and data suppliers). The Protect function encompasses network segmentation (isolating manufacturing OT networks from enterprise IT networks), endpoint protection (deploying EDR — Endpoint Detection and Response — tools on all enterprise devices), identity and access management (enforcing multi-factor authentication, least-privilege access, and privileged access management), and data encryption (protecting sensitive data at rest and in transit).</w:t>
      </w:r>
    </w:p>
    <w:p>
      <w:pPr>
        <w:spacing w:after="120"/>
      </w:pPr>
      <w:r>
        <w:rPr>
          <w:i w:val="false"/>
          <w:iCs w:val="false"/>
          <w:color w:val="1C2333"/>
          <w:sz w:val="21"/>
          <w:szCs w:val="21"/>
        </w:rPr>
        <w:t xml:space="preserve">The manufacturing environment presents a specific cybersecurity challenge that deserves separate attention. Operational technology (OT) systems — the distributed control systems (DCS), programmable logic controllers (PLCs), and industrial IoT devices that control manufacturing processes — were historically isolated from enterprise IT networks and therefore not subjected to the same security controls. As pharmaceutical manufacturing digitalization connects OT systems to enterprise data platforms (for PAT data streaming, EBR integration, and predictive analytics), these previously isolated systems become attack surfaces. OT security requires specialized expertise — the security tools and practices designed for enterprise IT systems are often incompatible with the real-time deterministic operation requirements of manufacturing control systems — and most pharmaceutical organizations are at the early stages of developing this capability.</w:t>
      </w:r>
    </w:p>
    <w:p>
      <w:pPr>
        <w:pStyle w:val="Heading2"/>
        <w:spacing w:after="120" w:before="240"/>
      </w:pPr>
      <w:r>
        <w:rPr>
          <w:b/>
          <w:bCs/>
          <w:color w:val="0D2B55"/>
        </w:rPr>
        <w:t xml:space="preserve">12.4 Third-Party Risk and Data Privacy</w:t>
      </w:r>
    </w:p>
    <w:p>
      <w:pPr>
        <w:spacing w:after="120"/>
      </w:pPr>
      <w:r>
        <w:rPr>
          <w:i w:val="false"/>
          <w:iCs w:val="false"/>
          <w:color w:val="1C2333"/>
          <w:sz w:val="21"/>
          <w:szCs w:val="21"/>
        </w:rPr>
        <w:t xml:space="preserve">Pharmaceutical companies routinely share sensitive data — clinical trial data, patient information, manufacturing formulae, financial projections — with hundreds of third parties: CROs, CMOs, technology vendors, data providers, and distribution partners. Each of these third-party relationships creates a data security and privacy risk that the organization is accountable for managing regardless of where the data breach originates.</w:t>
      </w:r>
    </w:p>
    <w:p>
      <w:pPr>
        <w:spacing w:after="120"/>
      </w:pPr>
      <w:r>
        <w:rPr>
          <w:i w:val="false"/>
          <w:iCs w:val="false"/>
          <w:color w:val="1C2333"/>
          <w:sz w:val="21"/>
          <w:szCs w:val="21"/>
        </w:rPr>
        <w:t xml:space="preserve">Third-party risk management (TPRM) programs assess the security posture of key vendors and partners through security questionnaires, independent security ratings (from services like BitSight, SecurityScorecard, or Prevalent), and contractual obligations including data processing agreements under GDPR and HIPAA Business Associate Agreements. Automated TPRM platforms continuously monitor the security signals of third-party organizations and alert the procurement and security teams when a supplier's security posture deteriorates — enabling proactive risk management rather than reactive breach response.</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What is the organization's current financial close cycle time, and what is the business case and timeline for reducing it through intelligent finance automation? Does the procurement function have real-time visibility into the regulatory compliance and financial health of its key API and critical material suppliers — and is there a documented supply disruption response protocol? Has the board reviewed the organization's cybersecurity program against the NIST Cybersecurity Framework, and does it understand the key residual risks that the program accepts? What is the plan for OT cybersecurity across manufacturing facilities, and has an OT-specific penetration test been conducted in the last 12 months?</w:t>
      </w:r>
    </w:p>
    <w:p>
      <w:pPr>
        <w:pBdr>
          <w:left w:val="single" w:color="C9A84C" w:sz="18" w:space="8"/>
        </w:pBdr>
        <w:shd w:fill="FBF6E9" w:color="auto" w:val="clear"/>
        <w:spacing w:after="120"/>
        <w:ind w:left="240"/>
      </w:pPr>
      <w:r>
        <w:rPr>
          <w:i/>
          <w:iCs/>
          <w:color w:val="1C2333"/>
          <w:sz w:val="21"/>
          <w:szCs w:val="21"/>
        </w:rPr>
        <w:t xml:space="preserve">🌍 REGIONAL SPOTLIGHT: FINANCE, PROCUREMENT, AND CYBERSECURITY BY GEOGRAPHY</w:t>
      </w:r>
    </w:p>
    <w:p>
      <w:pPr>
        <w:pBdr>
          <w:left w:val="single" w:color="C9A84C" w:sz="18" w:space="8"/>
        </w:pBdr>
        <w:shd w:fill="FBF6E9" w:color="auto" w:val="clear"/>
        <w:spacing w:after="120"/>
        <w:ind w:left="240"/>
      </w:pPr>
      <w:r>
        <w:rPr>
          <w:i/>
          <w:iCs/>
          <w:color w:val="1C2333"/>
          <w:sz w:val="21"/>
          <w:szCs w:val="21"/>
        </w:rPr>
        <w:t xml:space="preserve">In the US, pharmaceutical finance digitalization is driven by the SEC's reporting requirements and the increasingly sophisticated investor expectation for transparent, data-driven financial guidance. The convergence of US tax reform, transfer pricing scrutiny, and Inflation Reduction Act drug pricing provisions has made pharma financial modeling significantly more complex, driving investment in sophisticated FP&amp;A platforms that can model these regulatory scenarios. In the EU, GDPR and the forthcoming EU AI Act create specific compliance dimensions for finance and procurement digital transformation — any AI system used in procurement decision-making (supplier selection, risk scoring, automated approvals) may be subject to the EU AI Act's transparency and documentation requirements. Finance teams operating in the EU must also navigate the VAT reporting digitalization requirements of multiple member states (Making Tax Digital in the UK, the Spanish SII system, Italy's FatturaPA electronic invoicing mandate) — a patchwork of national digital tax compliance requirements that adds complexity to enterprise finance architecture.</w:t>
      </w:r>
    </w:p>
    <w:p>
      <w:pPr>
        <w:spacing w:after="120"/>
      </w:pPr>
      <w:r>
        <w:rPr>
          <w:i w:val="false"/>
          <w:iCs w:val="false"/>
          <w:color w:val="1C2333"/>
          <w:sz w:val="21"/>
          <w:szCs w:val="21"/>
        </w:rPr>
        <w:t xml:space="preserve">In India, finance and procurement digitalization in pharma is accelerating under the Government of India's e-invoicing mandate (mandatory since 2020 for large businesses), the GST network's real-time tax reconciliation requirements, and the Companies Act's financial reporting standards. India's deep pool of finance and accounting talent, combined with its strong offshore service delivery capabilities, makes Indian GCCs natural locations for global pharmaceutical finance shared service centers that combine cost efficiency with digital capability.</w:t>
      </w:r>
    </w:p>
    <w:p>
      <w:pPr>
        <w:pStyle w:val="Heading2"/>
        <w:spacing w:after="120" w:before="240"/>
      </w:pPr>
      <w:r>
        <w:rPr>
          <w:b/>
          <w:bCs/>
          <w:color w:val="0D2B55"/>
        </w:rPr>
        <w:t xml:space="preserve">12.6 Working Capital and Treasury Digitalisation</w:t>
      </w:r>
    </w:p>
    <w:p>
      <w:pPr>
        <w:spacing w:after="120"/>
      </w:pPr>
      <w:r>
        <w:rPr>
          <w:i w:val="false"/>
          <w:iCs w:val="false"/>
          <w:color w:val="1C2333"/>
          <w:sz w:val="21"/>
          <w:szCs w:val="21"/>
        </w:rPr>
        <w:t xml:space="preserve">Pharmaceutical companies are capital-intensive businesses with complex cash flow profiles — large upfront R&amp;D investments, long development cycles before revenue generation, manufacturing capital expenditures, and commercial launch costs that precede the revenue ramp. Managing working capital and treasury efficiently in this environment requires sophisticated digital tools.</w:t>
      </w:r>
    </w:p>
    <w:p>
      <w:pPr>
        <w:spacing w:after="120"/>
      </w:pPr>
      <w:r>
        <w:rPr>
          <w:i w:val="false"/>
          <w:iCs w:val="false"/>
          <w:color w:val="1C2333"/>
          <w:sz w:val="21"/>
          <w:szCs w:val="21"/>
        </w:rPr>
        <w:t xml:space="preserve">Dynamic Discounting and Supply Chain Finance. Digital supply chain finance platforms — offered by banks and fintechs including Orbian, Taulia, and C2FO — allow pharmaceutical manufacturers to offer their suppliers early payment at a discount, funded either by the manufacturer's own excess cash or by a bank facility. These platforms can generate significant working capital improvements for both the manufacturer (through extended payment terms) and suppliers (through access to cheaper financing than their own credit facilities would provide). For a large pharmaceutical company spending $5–10B annually with suppliers, dynamic discounting programmes can generate $50–150M in annual working capital improvements.</w:t>
      </w:r>
    </w:p>
    <w:p>
      <w:pPr>
        <w:spacing w:after="120"/>
      </w:pPr>
      <w:r>
        <w:rPr>
          <w:i w:val="false"/>
          <w:iCs w:val="false"/>
          <w:color w:val="1C2333"/>
          <w:sz w:val="21"/>
          <w:szCs w:val="21"/>
        </w:rPr>
        <w:t xml:space="preserve">Cash Pooling and FX Optimisation. Large pharmaceutical companies operate with dozens of legal entities across multiple currencies, with intercompany loans, royalty flows, and transfer pricing arrangements creating complex cash management requirements. Digital treasury management systems (TMS) — from platforms including Kyriba, ION Group (Reval), and SAP Treasury — centralise visibility of global cash positions, automate cash pooling structures, and support systematic FX hedging programs. AI-powered FX analytics tools are beginning to augment traditional hedging strategies with data-driven insights about optimal hedge ratios and timing.</w:t>
      </w:r>
    </w:p>
    <w:p>
      <w:pPr>
        <w:spacing w:after="120"/>
      </w:pPr>
      <w:r>
        <w:rPr>
          <w:i w:val="false"/>
          <w:iCs w:val="false"/>
          <w:color w:val="1C2333"/>
          <w:sz w:val="21"/>
          <w:szCs w:val="21"/>
        </w:rPr>
        <w:t xml:space="preserve">Financial Close Acceleration. The monthly financial close cycle — the process of consolidating financial results from dozens of entities into the group financial statements — is one of the most intensive processes in the finance function. Intelligent automation tools (RPA for routine reconciliations, AI for exception handling, automated consolidation in cloud EPM platforms) are reducing close cycle times from 10–15 days to 4–7 days in leading implementations, with corresponding improvements in the timeliness and quality of management reporting.</w:t>
      </w:r>
    </w:p>
    <w:p>
      <w:pPr>
        <w:pStyle w:val="Heading2"/>
        <w:spacing w:after="120" w:before="240"/>
      </w:pPr>
      <w:r>
        <w:rPr>
          <w:b/>
          <w:bCs/>
          <w:color w:val="0D2B55"/>
        </w:rPr>
        <w:t xml:space="preserve">12.7 Intelligent Procurement — Category Strategy and Supplier Development</w:t>
      </w:r>
    </w:p>
    <w:p>
      <w:pPr>
        <w:spacing w:after="120"/>
      </w:pPr>
      <w:r>
        <w:rPr>
          <w:i w:val="false"/>
          <w:iCs w:val="false"/>
          <w:color w:val="1C2333"/>
          <w:sz w:val="21"/>
          <w:szCs w:val="21"/>
        </w:rPr>
        <w:t xml:space="preserve">Beyond the transactional efficiency gains of Source-to-Pay digitalisation, the more strategically significant transformation is in how procurement functions use digital tools to improve the quality of category strategy decisions and the depth of supplier development relationships.</w:t>
      </w:r>
    </w:p>
    <w:p>
      <w:pPr>
        <w:spacing w:after="120"/>
      </w:pPr>
      <w:r>
        <w:rPr>
          <w:i w:val="false"/>
          <w:iCs w:val="false"/>
          <w:color w:val="1C2333"/>
          <w:sz w:val="21"/>
          <w:szCs w:val="21"/>
        </w:rPr>
        <w:t xml:space="preserve">AI-Powered Should-Cost Modelling. Should-cost models — estimates of what a product or service should cost based on its constituent inputs — have traditionally been built by experienced category managers using Excel and industry benchmarks. AI-powered should-cost modelling tools, which ingest commodity price data, labour cost indices, energy costs, and competitive market intelligence to generate data-driven should-cost estimates, are giving procurement teams objective analytical foundation for negotiations that previously relied primarily on experience and negotiating skill.</w:t>
      </w:r>
    </w:p>
    <w:p>
      <w:pPr>
        <w:spacing w:after="120"/>
      </w:pPr>
      <w:r>
        <w:rPr>
          <w:i w:val="false"/>
          <w:iCs w:val="false"/>
          <w:color w:val="1C2333"/>
          <w:sz w:val="21"/>
          <w:szCs w:val="21"/>
        </w:rPr>
        <w:t xml:space="preserve">Supplier Innovation Scouting. Pharmaceutical companies depend on their supplier base for innovation — new excipient technologies, novel drug delivery platforms, advanced packaging solutions, and manufacturing process improvements often originate with suppliers. Digital platforms that systematically map the innovation landscape of the supplier ecosystem — using patent analysis, startup investment tracking, and academic publication monitoring — allow category managers to identify innovative suppliers before competitors do and build strategic relationships that deliver competitive advantage.</w:t>
      </w:r>
    </w:p>
    <w:p>
      <w:pPr>
        <w:spacing w:after="120"/>
      </w:pPr>
      <w:r>
        <w:rPr>
          <w:i w:val="false"/>
          <w:iCs w:val="false"/>
          <w:color w:val="1C2333"/>
          <w:sz w:val="21"/>
          <w:szCs w:val="21"/>
        </w:rPr>
        <w:t xml:space="preserve">ESG and Responsible Sourcing. Environmental, social, and governance (ESG) requirements are increasingly integrated into pharmaceutical procurement policy, driven by investor expectations, customer requirements, and regulatory obligations. Digital supplier ESG assessment platforms — which aggregate sustainability ratings, environmental performance data, labour standards certifications, and supply chain mapping — allow procurement teams to assess and improve the ESG profile of their supply base systematically. This is particularly relevant for pharmaceutical active pharmaceutical ingredient (API) procurement, where the geographic concentration of supply in India and China creates specific environmental and supply security risks.</w:t>
      </w:r>
    </w:p>
    <w:p>
      <w:pPr>
        <w:pStyle w:val="Heading2"/>
        <w:spacing w:after="120" w:before="240"/>
      </w:pPr>
      <w:r>
        <w:rPr>
          <w:b/>
          <w:bCs/>
          <w:color w:val="0D2B55"/>
        </w:rPr>
        <w:t xml:space="preserve">12.8 Finance Business Partnering in the Digital Age</w:t>
      </w:r>
    </w:p>
    <w:p>
      <w:pPr>
        <w:spacing w:after="120"/>
      </w:pPr>
      <w:r>
        <w:rPr>
          <w:i w:val="false"/>
          <w:iCs w:val="false"/>
          <w:color w:val="1C2333"/>
          <w:sz w:val="21"/>
          <w:szCs w:val="21"/>
        </w:rPr>
        <w:t xml:space="preserve">The ultimate goal of finance digitalization is not to reduce the cost of the finance function — it is to transform the finance function from a backward-looking reporting organisation into a forward-looking strategic partner that drives better business decisions. This transformation requires not just digital tools but a fundamental shift in the skills, mindset, and operating model of the finance function.</w:t>
      </w:r>
    </w:p>
    <w:p>
      <w:pPr>
        <w:spacing w:after="120"/>
      </w:pPr>
      <w:r>
        <w:rPr>
          <w:i w:val="false"/>
          <w:iCs w:val="false"/>
          <w:color w:val="1C2333"/>
          <w:sz w:val="21"/>
          <w:szCs w:val="21"/>
        </w:rPr>
        <w:t xml:space="preserve">From Reporter to Advisor. In most pharmaceutical finance functions, business partners spend the majority of their time compiling and presenting historical performance data rather than analysing it for strategic insights and forward-looking recommendations. Digital tools that automate reporting — dashboards that refresh automatically, narratives that are generated by AI from underlying data, exception-based management packs that focus human attention on the decisions that matter — free up finance business partners to spend their time on the advisory work that creates strategic value.</w:t>
      </w:r>
    </w:p>
    <w:p>
      <w:pPr>
        <w:spacing w:after="120"/>
      </w:pPr>
      <w:r>
        <w:rPr>
          <w:i w:val="false"/>
          <w:iCs w:val="false"/>
          <w:color w:val="1C2333"/>
          <w:sz w:val="21"/>
          <w:szCs w:val="21"/>
        </w:rPr>
        <w:t xml:space="preserve">Scenario Planning and Decision Support. The pharmaceutical business environment is characterised by high uncertainty — clinical trial outcomes, regulatory decisions, competitive dynamics, and payer negotiations are all inherently unpredictable. Finance teams that can rapidly model multiple strategic scenarios — using connected planning platforms that integrate commercial, clinical, manufacturing, and financial data — provide leadership teams with the decision support they need to navigate this uncertainty confidently. Dynamic financial models that can be updated in hours rather than weeks, incorporating the latest market intelligence and operational data, are qualitatively superior to the static annual budget models that most finance functions still rely on.</w:t>
      </w:r>
    </w:p>
    <w:p>
      <w:pPr>
        <w:spacing w:after="120"/>
      </w:pPr>
      <w:r>
        <w:rPr>
          <w:i w:val="false"/>
          <w:iCs w:val="false"/>
          <w:color w:val="1C2333"/>
          <w:sz w:val="21"/>
          <w:szCs w:val="21"/>
        </w:rPr>
        <w:t xml:space="preserve">Digital Finance Talent Strategy. Building a digital-ready finance function requires deliberate investment in capability development. Finance professionals in a digitally transformed organisation need data literacy (the ability to query, interpret, and communicate quantitative data), familiarity with finance automation and analytics tools (EPM platforms, BI tools, RPA), and the commercial acumen to translate financial analysis into actionable business recommendations. Companies that invest in reskilling their finance talent — through digital academies, cross-functional rotation programs, and targeted external hiring — are building a strategic capability that improves across every dimension of the organisation's decision-making.</w:t>
      </w:r>
    </w:p>
    <w:p>
      <w:pPr>
        <w:pStyle w:val="Heading2"/>
        <w:spacing w:after="120" w:before="240"/>
      </w:pPr>
      <w:r>
        <w:rPr>
          <w:b/>
          <w:bCs/>
          <w:color w:val="0D2B55"/>
        </w:rPr>
        <w:t xml:space="preserve">12.9 Digital Finance in India — GCC Model and Market Specifics</w:t>
      </w:r>
    </w:p>
    <w:p>
      <w:pPr>
        <w:spacing w:after="120"/>
      </w:pPr>
      <w:r>
        <w:rPr>
          <w:i w:val="false"/>
          <w:iCs w:val="false"/>
          <w:color w:val="1C2333"/>
          <w:sz w:val="21"/>
          <w:szCs w:val="21"/>
        </w:rPr>
        <w:t xml:space="preserve">India presents both the greatest opportunity and some of the most distinctive challenges for pharmaceutical digital finance transformation.</w:t>
      </w:r>
    </w:p>
    <w:p>
      <w:pPr>
        <w:spacing w:after="120"/>
      </w:pPr>
      <w:r>
        <w:rPr>
          <w:i w:val="false"/>
          <w:iCs w:val="false"/>
          <w:color w:val="1C2333"/>
          <w:sz w:val="21"/>
          <w:szCs w:val="21"/>
        </w:rPr>
        <w:t xml:space="preserve">The GCC Finance Model. India is the global hub for pharmaceutical finance shared services and Global Capability Centres, with over 30 multinational pharma companies operating finance GCCs in cities including Hyderabad, Bangalore, Chennai, and Pune. These GCCs perform an increasingly wide range of finance activities — from transactional processing (accounts payable, accounts receivable, general ledger) to high-value analytics (financial planning and analysis, management reporting, tax compliance) and increasingly strategic work (commercial analytics, deal modelling, investor relations support). The GCC model offers a compelling combination of cost efficiency, scale, and — importantly — access to India's large and growing pool of finance and accounting talent.</w:t>
      </w:r>
    </w:p>
    <w:p>
      <w:pPr>
        <w:spacing w:after="120"/>
      </w:pPr>
      <w:r>
        <w:rPr>
          <w:i w:val="false"/>
          <w:iCs w:val="false"/>
          <w:color w:val="1C2333"/>
          <w:sz w:val="21"/>
          <w:szCs w:val="21"/>
        </w:rPr>
        <w:t xml:space="preserve">GST and Regulatory Compliance Automation. India's Goods and Services Tax (GST) system, introduced in 2017, created one of the world's most complex indirect tax compliance environments — with multiple tax rates, state-level variations, and a real-time reconciliation requirement between supplier and buyer GST filings. Automated GST compliance tools that integrate with ERP systems, validate invoice data against the GST network, and generate compliant GST returns are essential infrastructure for pharmaceutical companies operating in India. The e-invoicing mandate (applicable to all large businesses since 2020) has further driven automation investment.</w:t>
      </w:r>
    </w:p>
    <w:p>
      <w:pPr>
        <w:spacing w:after="120"/>
      </w:pPr>
      <w:r>
        <w:rPr>
          <w:i w:val="false"/>
          <w:iCs w:val="false"/>
          <w:color w:val="1C2333"/>
          <w:sz w:val="21"/>
          <w:szCs w:val="21"/>
        </w:rPr>
        <w:t xml:space="preserve">Transfer Pricing and Tax Digitalization. Pharmaceutical companies' complex global intellectual property structures — with royalty flows, cost-sharing arrangements, and intercompany transactions — create substantial transfer pricing risk. Digital transfer pricing management systems that document economic substance, benchmark intercompany transactions against market comparables, and generate contemporaneous documentation required by OECD BEPS regulations are becoming essential risk management tools for pharmaceutical tax functions globally.</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12.1: Finance Digital Maturity — From Manual to Predictive Intelligence</w:t>
      </w:r>
    </w:p>
    <w:p>
      <w:pPr>
        <w:spacing w:after="120"/>
      </w:pPr>
      <w:r>
        <w:rPr>
          <w:color w:val="1C2333"/>
          <w:sz w:val="21"/>
          <w:szCs w:val="21"/>
        </w:rPr>
        <w:t xml:space="preserve">PART IV</w:t>
      </w:r>
    </w:p>
    <w:p>
      <w:pPr>
        <w:spacing w:after="120"/>
      </w:pPr>
      <w:r>
        <w:rPr>
          <w:color w:val="1C2333"/>
          <w:sz w:val="21"/>
          <w:szCs w:val="21"/>
        </w:rPr>
        <w:t xml:space="preserve">PART IV — EXECUTION &amp; FUTURES</w:t>
      </w:r>
    </w:p>
    <w:p>
      <w:r>
        <w:br w:type="page"/>
      </w:r>
    </w:p>
    <w:p>
      <w:pPr>
        <w:pStyle w:val="Heading1"/>
        <w:spacing w:after="120" w:before="240"/>
      </w:pPr>
      <w:r>
        <w:rPr>
          <w:b/>
          <w:bCs/>
          <w:color w:val="0D2B55"/>
        </w:rPr>
        <w:t xml:space="preserve">Chapter 13: Implementation Roadmap &amp; Change Management</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chapters preceding this one have described what a digitally transformed pharmaceutical enterprise looks like across every function and enabler. This chapter answers the harder question: how do you actually get there? The implementation roadmap translates the aspiration into a sequenced, resourced, and governed program of work — and the change management framework ensures that the technology investments deliver the behavioral and operational changes that create actual value. These two dimensions — the what-and-when of the technical program and the how of organizational change — are equally important and equally neglected in most digital transformation programs.</w:t>
      </w:r>
    </w:p>
    <w:p>
      <w:pPr>
        <w:pStyle w:val="Heading2"/>
        <w:spacing w:after="120" w:before="240"/>
      </w:pPr>
      <w:r>
        <w:rPr>
          <w:b/>
          <w:bCs/>
          <w:color w:val="0D2B55"/>
        </w:rPr>
        <w:t xml:space="preserve">13.1 From Strategy to Roadmap: The Translation Challenge</w:t>
      </w:r>
    </w:p>
    <w:p>
      <w:pPr>
        <w:spacing w:after="120"/>
      </w:pPr>
      <w:r>
        <w:rPr>
          <w:i w:val="false"/>
          <w:iCs w:val="false"/>
          <w:color w:val="1C2333"/>
          <w:sz w:val="21"/>
          <w:szCs w:val="21"/>
        </w:rPr>
        <w:t xml:space="preserve">The gap between a digital transformation strategy and an executable implementation roadmap is one of the most consistently underestimated challenges in pharmaceutical digital transformation. A strategy document can describe an ideal future state with conviction and clarity; an implementation roadmap must deal with the messy realities of organizational change: competing priorities for IT and business resources, change fatigue in teams that have lived through multiple transformation waves, technical debt in existing systems that complicates every integration, regulatory validation requirements that add time to every deployment, and the inevitable discovery that what looked straightforward in the strategy presentation is significantly more complex in implementation.</w:t>
      </w:r>
    </w:p>
    <w:p>
      <w:pPr>
        <w:spacing w:after="120"/>
      </w:pPr>
      <w:r>
        <w:rPr>
          <w:i w:val="false"/>
          <w:iCs w:val="false"/>
          <w:color w:val="1C2333"/>
          <w:sz w:val="21"/>
          <w:szCs w:val="21"/>
        </w:rPr>
        <w:t xml:space="preserve">The translation from strategy to roadmap requires a structured approach that makes these realities visible rather than suppressing them in the optimism of the strategy narrative. It requires honest assessment of organizational capacity to absorb change, technical assessment of the integration and migration work required to connect new capabilities to existing systems, regulatory planning for the validation and change control activities that GxP deployments require, and financial analysis that sequences investments to deliver early returns that sustain organizational commitment through the longer transformation journey.</w:t>
      </w:r>
    </w:p>
    <w:p>
      <w:pPr>
        <w:pStyle w:val="Heading2"/>
        <w:spacing w:after="120" w:before="240"/>
      </w:pPr>
      <w:r>
        <w:rPr>
          <w:b/>
          <w:bCs/>
          <w:color w:val="0D2B55"/>
        </w:rPr>
        <w:t xml:space="preserve">13.2 The Pharma Digital Transformation Roadmap Framework</w:t>
      </w:r>
    </w:p>
    <w:p>
      <w:pPr>
        <w:spacing w:after="120"/>
      </w:pPr>
      <w:r>
        <w:rPr>
          <w:i w:val="false"/>
          <w:iCs w:val="false"/>
          <w:color w:val="1C2333"/>
          <w:sz w:val="21"/>
          <w:szCs w:val="21"/>
        </w:rPr>
        <w:t xml:space="preserve">The PDMF-aligned transformation roadmap is organized into three horizons, each with a distinct strategic focus and set of priority investments.</w:t>
      </w:r>
    </w:p>
    <w:p>
      <w:pPr>
        <w:spacing w:after="120"/>
      </w:pPr>
      <w:r>
        <w:rPr>
          <w:i w:val="false"/>
          <w:iCs w:val="false"/>
          <w:color w:val="1C2333"/>
          <w:sz w:val="21"/>
          <w:szCs w:val="21"/>
        </w:rPr>
        <w:t xml:space="preserve">Horizon 1: Foundations (Year 1–2) focuses on building the capabilities without which nothing else works: data infrastructure, governance, core system consolidation, and foundational digital literacy. In this horizon, the priority investments are cloud data platform implementation (establishing the enterprise data lake and warehouse architecture), ERP and life sciences platform rationalization (consolidating fragmented instances, upgrading to S/4HANA or equivalent), eQMS implementation across manufacturing and quality (addressing the compliance foundation), and digital governance establishment (CDO appointment, Digital Transformation Office launch, data governance council activation). The change management focus in Horizon 1 is building digital leadership commitment and awareness — ensuring that executives understand and visibly support the transformation agenda, and launching digital literacy programs that begin building organizational capability for what follows.</w:t>
      </w:r>
    </w:p>
    <w:p>
      <w:pPr>
        <w:spacing w:after="120"/>
      </w:pPr>
      <w:r>
        <w:rPr>
          <w:i w:val="false"/>
          <w:iCs w:val="false"/>
          <w:color w:val="1C2333"/>
          <w:sz w:val="21"/>
          <w:szCs w:val="21"/>
        </w:rPr>
        <w:t xml:space="preserve">The typical Horizon 1 investment profile for a mid-sized pharmaceutical company (USD 2–5B revenue) is USD 50–150 million in technology and program costs, with the majority directed at infrastructure, platform, and governance rather than innovation. This is unglamorous investment — it does not generate the press releases that AI drug discovery announcements produce — but it is the prerequisite for everything in Horizons 2 and 3.</w:t>
      </w:r>
    </w:p>
    <w:p>
      <w:pPr>
        <w:spacing w:after="120"/>
      </w:pPr>
      <w:r>
        <w:rPr>
          <w:i w:val="false"/>
          <w:iCs w:val="false"/>
          <w:color w:val="1C2333"/>
          <w:sz w:val="21"/>
          <w:szCs w:val="21"/>
        </w:rPr>
        <w:t xml:space="preserve">Horizon 2: Acceleration (Year 2–4) builds the intelligent capabilities on the digital foundations established in Horizon 1. Priority investments include AI/ML platform deployment and first-wave use case delivery (manufacturing process optimization, clinical trial recruitment analytics, commercial next-best-action), advanced manufacturing digitalization (PAT, EBR, MES integration), decentralized clinical trial capability development, and omnichannel commercial platform deployment. In this horizon, the transformation moves from infrastructure to visible business impact — the first measurable results in batch cycle time reduction, clinical trial recruitment speed, and commercial productivity are generated here. The change management focus shifts to adoption: ensuring that business users in each function are actively using the new digital tools, that analytics and AI recommendations are being acted upon, and that performance management systems are reinforcing data-driven behavior.</w:t>
      </w:r>
    </w:p>
    <w:p>
      <w:pPr>
        <w:spacing w:after="120"/>
      </w:pPr>
      <w:r>
        <w:rPr>
          <w:i w:val="false"/>
          <w:iCs w:val="false"/>
          <w:color w:val="1C2333"/>
          <w:sz w:val="21"/>
          <w:szCs w:val="21"/>
        </w:rPr>
        <w:t xml:space="preserve">The typical Horizon 2 investment for a mid-sized pharma is USD 100–250 million over two years, with an increasing proportion of investment directed at business change and adoption as well as technology. The key governance milestone in Horizon 2 is demonstrating measurable business value from Horizon 1 investments — without this, securing continued commitment from business leadership and board-level sponsors for Horizon 3 investments becomes difficult.</w:t>
      </w:r>
    </w:p>
    <w:p>
      <w:pPr>
        <w:spacing w:after="120"/>
      </w:pPr>
      <w:r>
        <w:rPr>
          <w:i w:val="false"/>
          <w:iCs w:val="false"/>
          <w:color w:val="1C2333"/>
          <w:sz w:val="21"/>
          <w:szCs w:val="21"/>
        </w:rPr>
        <w:t xml:space="preserve">Horizon 3: Intelligence and Differentiation (Year 4–6) delivers the distinctive capabilities that separate digital leaders from followers: digital twin-enabled manufacturing, AI-driven drug design pipelines contributing clinical candidates, real-world evidence generating regulatory label expansions, digital therapeutics complementing pharmaceutical portfolios, and a patient engagement capability that generates meaningful real-world data at scale. By Horizon 3, digital is not a program managed by a separate Digital Transformation Office — it is how the organization operates. The change management focus is sustaining innovation: building the culture of continuous improvement and experimentation that prevents the transformation from calcifying into a new legacy.</w:t>
      </w:r>
    </w:p>
    <w:p>
      <w:pPr>
        <w:pStyle w:val="Heading2"/>
        <w:spacing w:after="120" w:before="240"/>
      </w:pPr>
      <w:r>
        <w:rPr>
          <w:b/>
          <w:bCs/>
          <w:color w:val="0D2B55"/>
        </w:rPr>
        <w:t xml:space="preserve">13.3 Sequencing Logic: What Must Come Before What</w:t>
      </w:r>
    </w:p>
    <w:p>
      <w:pPr>
        <w:spacing w:after="120"/>
      </w:pPr>
      <w:r>
        <w:rPr>
          <w:i w:val="false"/>
          <w:iCs w:val="false"/>
          <w:color w:val="1C2333"/>
          <w:sz w:val="21"/>
          <w:szCs w:val="21"/>
        </w:rPr>
        <w:t xml:space="preserve">The sequencing of a pharmaceutical digital transformation is not arbitrary — certain capabilities are technical prerequisites for others, and attempting to build advanced capabilities on inadequate foundations is one of the most common causes of transformation program failure. The sequencing principles below are derived from patterns observed across successful and unsuccessful pharmaceutical digital transformations.</w:t>
      </w:r>
    </w:p>
    <w:p>
      <w:pPr>
        <w:spacing w:after="120"/>
      </w:pPr>
      <w:r>
        <w:rPr>
          <w:i w:val="false"/>
          <w:iCs w:val="false"/>
          <w:color w:val="1C2333"/>
          <w:sz w:val="21"/>
          <w:szCs w:val="21"/>
        </w:rPr>
        <w:t xml:space="preserve">Data infrastructure before analytics. It is tempting to launch AI and analytics programs before the data infrastructure work is complete, because analytics programs generate visible business excitement while data infrastructure work does not. But analytics programs built on fragmented, low-quality, unintegrated data deliver fragmented, low-quality, unreliable results — which destroys credibility and organizational trust in the entire digital program faster than anything else. The data foundation must be adequately in place before major analytics investments are made.</w:t>
      </w:r>
    </w:p>
    <w:p>
      <w:pPr>
        <w:spacing w:after="120"/>
      </w:pPr>
      <w:r>
        <w:rPr>
          <w:i w:val="false"/>
          <w:iCs w:val="false"/>
          <w:color w:val="1C2333"/>
          <w:sz w:val="21"/>
          <w:szCs w:val="21"/>
        </w:rPr>
        <w:t xml:space="preserve">Governance before scale. Digital pilots without governance generate proof-of-concepts that cannot be scaled because they were built on non-standard infrastructure, outside validated frameworks, and without the organizational ownership needed to drive adoption. Governance must be established before scaling investments are made — but governance must be proportionate to scale. A company in Horizon 1 does not need the full governance architecture of a Horizon 3 organization; it needs the minimum viable governance that enables Horizon 1 investments to be made confidently.</w:t>
      </w:r>
    </w:p>
    <w:p>
      <w:pPr>
        <w:spacing w:after="120"/>
      </w:pPr>
      <w:r>
        <w:rPr>
          <w:i w:val="false"/>
          <w:iCs w:val="false"/>
          <w:color w:val="1C2333"/>
          <w:sz w:val="21"/>
          <w:szCs w:val="21"/>
        </w:rPr>
        <w:t xml:space="preserve">Culture alongside technology. The most common change management failure is treating culture and behavioral change as a workstream that begins after technology deployment. By the time the system goes live, the change management ship has sailed: the skeptics are entrenched, the early adopters are frustrated by the lack of adoption among their peers, and the performance management systems are still rewarding the old behaviors. Culture change must begin before technology deployment, not after it.</w:t>
      </w:r>
    </w:p>
    <w:p>
      <w:pPr>
        <w:pStyle w:val="Heading2"/>
        <w:spacing w:after="120" w:before="240"/>
      </w:pPr>
      <w:r>
        <w:rPr>
          <w:b/>
          <w:bCs/>
          <w:color w:val="0D2B55"/>
        </w:rPr>
        <w:t xml:space="preserve">13.4 Change Management: The Human Architecture of Transformation</w:t>
      </w:r>
    </w:p>
    <w:p>
      <w:pPr>
        <w:spacing w:after="120"/>
      </w:pPr>
      <w:r>
        <w:rPr>
          <w:i w:val="false"/>
          <w:iCs w:val="false"/>
          <w:color w:val="1C2333"/>
          <w:sz w:val="21"/>
          <w:szCs w:val="21"/>
        </w:rPr>
        <w:t xml:space="preserve">Digital transformation is fundamentally a human change program that uses technology as an enabling mechanism. The behavioral changes it requires — trusting analytical recommendations over intuitive judgment, working in collaborative cross-functional data products rather than functional silos, adopting new tools and workflows in the middle of an already demanding work schedule — are not natural and do not happen automatically in response to technology deployment.</w:t>
      </w:r>
    </w:p>
    <w:p>
      <w:pPr>
        <w:spacing w:after="120"/>
      </w:pPr>
      <w:r>
        <w:rPr>
          <w:i w:val="false"/>
          <w:iCs w:val="false"/>
          <w:color w:val="1C2333"/>
          <w:sz w:val="21"/>
          <w:szCs w:val="21"/>
        </w:rPr>
        <w:t xml:space="preserve">The pharma-adapted change management framework has six components. Sponsorship architecture establishes visible, active executive sponsorship for each major transformation initiative — not passive endorsement but active advocacy, public modeling of the desired behaviors, and personal investment in the success of the program. Stakeholder engagement identifies every group whose work will be changed by the transformation, assesses their readiness and resistance, and designs specific engagement interventions for each group. Communication maintains a continuous, honest narrative about the transformation — what is being done, why, what is working, what is being learned from what is not working, and what comes next. Training and capability development builds the specific skills — data literacy, tool proficiency, analytical reasoning — that employees need to work effectively in the new digital environment. Performance management alignment ensures that the metrics, incentive systems, and management rituals of the organization reinforce digital behaviors rather than inadvertently punishing them. And reinforcement and measurement tracks adoption of new behaviors and tools at sufficient granularity to identify where adoption is lagging and deploy targeted interventions.</w:t>
      </w:r>
    </w:p>
    <w:p>
      <w:pPr>
        <w:spacing w:after="120"/>
      </w:pPr>
      <w:r>
        <w:rPr>
          <w:i w:val="false"/>
          <w:iCs w:val="false"/>
          <w:color w:val="1C2333"/>
          <w:sz w:val="21"/>
          <w:szCs w:val="21"/>
        </w:rPr>
        <w:t xml:space="preserve">The pharmaceutical industry's strong process and compliance culture is a double-edged sword for change management. On one hand, pharma employees are accustomed to following validated procedures and documenting their work — which creates a foundation for structured adoption programs. On the other hand, the compliance culture can be used as a resistance mechanism: "we can't do that because of GxP" is a phrase that has blocked many legitimate digital transformation initiatives. Effective change management in pharma explicitly addresses this tension, distinguishing between genuine GxP constraints (which must be respected) and compliance risk aversion used as change resistance (which must be challenged).</w:t>
      </w:r>
    </w:p>
    <w:p>
      <w:pPr>
        <w:pStyle w:val="Heading2"/>
        <w:spacing w:after="120" w:before="240"/>
      </w:pPr>
      <w:r>
        <w:rPr>
          <w:b/>
          <w:bCs/>
          <w:color w:val="0D2B55"/>
        </w:rPr>
        <w:t xml:space="preserve">13.5 Measuring Transformation Progress</w:t>
      </w:r>
    </w:p>
    <w:p>
      <w:pPr>
        <w:spacing w:after="120"/>
      </w:pPr>
      <w:r>
        <w:rPr>
          <w:i w:val="false"/>
          <w:iCs w:val="false"/>
          <w:color w:val="1C2333"/>
          <w:sz w:val="21"/>
          <w:szCs w:val="21"/>
        </w:rPr>
        <w:t xml:space="preserve">Transformation progress must be measured at two levels: the technology delivery level (are the systems being built on schedule and to the required functionality and quality?) and the business value level (are the new capabilities delivering the operational and financial outcomes they were designed to deliver?). Both levels of measurement must be connected — a technology program that is delivering on its technical milestones but generating no business adoption is not a successful program, and the measurement system must surface this disconnect before it becomes the post-implementation reality.</w:t>
      </w:r>
    </w:p>
    <w:p>
      <w:pPr>
        <w:spacing w:after="120"/>
      </w:pPr>
      <w:r>
        <w:rPr>
          <w:i w:val="false"/>
          <w:iCs w:val="false"/>
          <w:color w:val="1C2333"/>
          <w:sz w:val="21"/>
          <w:szCs w:val="21"/>
        </w:rPr>
        <w:t xml:space="preserve">The transformation scorecard should track leading indicators — adoption rates, usage frequency, data quality metrics, and capability deployment progress — alongside lagging indicators — cycle time reduction, cost savings, productivity improvement, and quality metrics. Leading indicators provide early warning of adoption problems; lagging indicators validate whether the adopted capabilities are generating business value.</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Has the board approved a multi-year digital transformation roadmap with specific investment commitments, measurable milestones, and a clear accountability structure? Is there a transformation scorecard that the board reviews at least quarterly, showing both technology delivery progress and business value realization? What is the organization's current annual investment in digital capability development (excluding maintenance of existing IT infrastructure), and how does it compare to the investment levels of peers that are demonstrably ahead on the digital maturity curve? Has the change management dimension of the transformation been formally resourced — with dedicated change management professionals, not just project managers with a change management task on their project plan?</w:t>
      </w:r>
    </w:p>
    <w:p>
      <w:pPr>
        <w:pBdr>
          <w:left w:val="single" w:color="C9A84C" w:sz="18" w:space="8"/>
        </w:pBdr>
        <w:shd w:fill="FBF6E9" w:color="auto" w:val="clear"/>
        <w:spacing w:after="120"/>
        <w:ind w:left="240"/>
      </w:pPr>
      <w:r>
        <w:rPr>
          <w:i/>
          <w:iCs/>
          <w:color w:val="1C2333"/>
          <w:sz w:val="21"/>
          <w:szCs w:val="21"/>
        </w:rPr>
        <w:t xml:space="preserve">🌍 REGIONAL SPOTLIGHT: TRANSFORMATION ROADMAP ADAPTATION BY GEOGRAPHY</w:t>
      </w:r>
    </w:p>
    <w:p>
      <w:pPr>
        <w:pBdr>
          <w:left w:val="single" w:color="C9A84C" w:sz="18" w:space="8"/>
        </w:pBdr>
        <w:shd w:fill="FBF6E9" w:color="auto" w:val="clear"/>
        <w:spacing w:after="120"/>
        <w:ind w:left="240"/>
      </w:pPr>
      <w:r>
        <w:rPr>
          <w:i/>
          <w:iCs/>
          <w:color w:val="1C2333"/>
          <w:sz w:val="21"/>
          <w:szCs w:val="21"/>
        </w:rPr>
        <w:t xml:space="preserve">US-based pharma transformations benefit from the density of specialized digital health implementation partners, a deep talent pool for digital roles, and a regulatory environment that is increasingly enabling of digital innovation. The primary implementation challenge in the US is organizational: large US multinationals have complex, multi-layered organizational structures that create governance and alignment challenges for enterprise transformation programs. EU-based transformations must navigate the regulatory complexity of operating across multiple national jurisdictions with different eHealth laws, different health data governance frameworks, and different speed of regulatory modernization. The most effective EU transformation programs adopt a hub-and-spoke model: a central digital platform and governance, adapted at the national level for local regulatory and operational requirements.</w:t>
      </w:r>
    </w:p>
    <w:p>
      <w:pPr>
        <w:spacing w:after="120"/>
      </w:pPr>
      <w:r>
        <w:rPr>
          <w:i w:val="false"/>
          <w:iCs w:val="false"/>
          <w:color w:val="1C2333"/>
          <w:sz w:val="21"/>
          <w:szCs w:val="21"/>
        </w:rPr>
        <w:t xml:space="preserve">Indian pharma transformation programs face a distinctive challenge: the need to simultaneously modernize legacy manufacturing and quality infrastructure (an urgent compliance imperative with near-term ROI) and build the forward-looking digital capabilities that will sustain competitiveness in a rapidly digitizing global pharma market. The sequencing discipline is particularly important in the Indian context — organizations that attempt to skip the foundational quality and compliance digitalization and jump directly to AI and advanced analytics will find that the investment fails to deliver because the data foundation is not in place.</w:t>
      </w:r>
    </w:p>
    <w:p>
      <w:pPr>
        <w:pStyle w:val="Heading2"/>
        <w:spacing w:after="120" w:before="240"/>
      </w:pPr>
      <w:r>
        <w:rPr>
          <w:b/>
          <w:bCs/>
          <w:color w:val="0D2B55"/>
        </w:rPr>
        <w:t xml:space="preserve">13.7 Agile at Scale in Regulated Pharma: SAFe and Validated Agile Frameworks</w:t>
      </w:r>
    </w:p>
    <w:p>
      <w:pPr>
        <w:spacing w:after="120"/>
      </w:pPr>
      <w:r>
        <w:rPr>
          <w:i w:val="false"/>
          <w:iCs w:val="false"/>
          <w:color w:val="1C2333"/>
          <w:sz w:val="21"/>
          <w:szCs w:val="21"/>
        </w:rPr>
        <w:t xml:space="preserve">The transition from traditional waterfall project management to agile delivery methodology is one of the most significant operational changes required by digital transformation — and one of the most challenging in the pharmaceutical context, where GxP validation requirements appear to conflict with agile's emphasis on iterative development and rapid change.</w:t>
      </w:r>
    </w:p>
    <w:p>
      <w:pPr>
        <w:spacing w:after="120"/>
      </w:pPr>
      <w:r>
        <w:rPr>
          <w:i w:val="false"/>
          <w:iCs w:val="false"/>
          <w:color w:val="1C2333"/>
          <w:sz w:val="21"/>
          <w:szCs w:val="21"/>
        </w:rPr>
        <w:t xml:space="preserve">The conflict is more apparent than real. FDA's Computer Software Assurance (CSA) guidance explicitly supports risk-based, agile approaches to software validation — requiring that validation effort is proportionate to the risk of the system and focusing on critical thinking and evidence rather than documentation volume. Under CSA, agile delivery of pharmaceutical software is not only acceptable but actively encouraged, with validation activities integrated into the sprint cycle rather than conducted as a separate post-development phase.</w:t>
      </w:r>
    </w:p>
    <w:p>
      <w:pPr>
        <w:spacing w:after="120"/>
      </w:pPr>
      <w:r>
        <w:rPr>
          <w:i w:val="false"/>
          <w:iCs w:val="false"/>
          <w:color w:val="1C2333"/>
          <w:sz w:val="21"/>
          <w:szCs w:val="21"/>
        </w:rPr>
        <w:t xml:space="preserve">Scaled Agile Framework (SAFe) for pharma. The Scaled Agile Framework provides a structured approach for applying agile principles to large programs with multiple teams — the typical situation for a major pharmaceutical digital transformation initiative. SAFe's Program Increment (PI) Planning events — quarterly alignment sessions where all delivery teams plan their work for the next 10–12 weeks — provide the structured coordination mechanism that large pharma programs need without abandoning the iterative, team-based delivery that makes agile valuable.</w:t>
      </w:r>
    </w:p>
    <w:p>
      <w:pPr>
        <w:spacing w:after="120"/>
      </w:pPr>
      <w:r>
        <w:rPr>
          <w:i w:val="false"/>
          <w:iCs w:val="false"/>
          <w:color w:val="1C2333"/>
          <w:sz w:val="21"/>
          <w:szCs w:val="21"/>
        </w:rPr>
        <w:t xml:space="preserve">Companies including Roche, AstraZeneca, and Novartis have adapted SAFe for the pharmaceutical context, integrating quality risk management assessments, change control processes, and validation documentation into the PI planning and sprint execution cycle. The Roche-developed "ARGO" framework (Agile for Regulated GxP Organisations) is one of the most widely studied validated agile implementations in the industry, demonstrating that it is possible to maintain full GxP compliance while delivering digital capabilities at agile speed.</w:t>
      </w:r>
    </w:p>
    <w:p>
      <w:pPr>
        <w:pStyle w:val="Heading2"/>
        <w:spacing w:after="120" w:before="240"/>
      </w:pPr>
      <w:r>
        <w:rPr>
          <w:b/>
          <w:bCs/>
          <w:color w:val="0D2B55"/>
        </w:rPr>
        <w:t xml:space="preserve">13.8 Vendor Selection and Partnership Management</w:t>
      </w:r>
    </w:p>
    <w:p>
      <w:pPr>
        <w:spacing w:after="120"/>
      </w:pPr>
      <w:r>
        <w:rPr>
          <w:i w:val="false"/>
          <w:iCs w:val="false"/>
          <w:color w:val="1C2333"/>
          <w:sz w:val="21"/>
          <w:szCs w:val="21"/>
        </w:rPr>
        <w:t xml:space="preserve">Digital transformation programs depend heavily on external vendors — technology providers, system integrators, data partners, and specialist consultants — whose performance and partnership quality are as important to program success as the organisation's own capabilities.</w:t>
      </w:r>
    </w:p>
    <w:p>
      <w:pPr>
        <w:spacing w:after="120"/>
      </w:pPr>
      <w:r>
        <w:rPr>
          <w:i w:val="false"/>
          <w:iCs w:val="false"/>
          <w:color w:val="1C2333"/>
          <w:sz w:val="21"/>
          <w:szCs w:val="21"/>
        </w:rPr>
        <w:t xml:space="preserve">Vendor selection principles for pharma. In addition to the standard IT procurement criteria (functional fit, technical architecture, security, total cost of ownership), pharmaceutical technology vendor selection must assess GxP compliance capability (does the vendor have a validated software development lifecycle? Can they support 21 CFR Part 11/Annex 11 compliant deployments?), pharmaceutical domain experience (how many pharma customers does the vendor have? What do their pharma reference customers say about the implementation experience?), and long-term viability (will this vendor be in business and actively developing their platform in 10 years?).</w:t>
      </w:r>
    </w:p>
    <w:p>
      <w:pPr>
        <w:spacing w:after="120"/>
      </w:pPr>
      <w:r>
        <w:rPr>
          <w:i w:val="false"/>
          <w:iCs w:val="false"/>
          <w:color w:val="1C2333"/>
          <w:sz w:val="21"/>
          <w:szCs w:val="21"/>
        </w:rPr>
        <w:t xml:space="preserve">Partnership lifecycle management. A strategic technology vendor relationship in pharma — a core ERP partner, an enterprise QMS provider, a clinical data management platform — is a 10–15 year relationship that requires ongoing investment in governance and performance management. The most effective pharma-vendor partnerships are characterised by executive-level sponsorship on both sides, annual performance reviews against defined service level agreements, a joint innovation roadmap that aligns the vendor's product development with the pharmaceutical company's capability needs, and a clear escalation pathway for resolving technical, contractual, or service quality issues before they become relationship-damaging crises.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13.1: Three-Horizon Digital Transformation Roadmap</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13.2: Pharma Digital Talent Model — Key Roles and GCC Strategy</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13.3: Global Capability Centre (GCC) Strategy for Pharma Digital</w:t>
      </w:r>
    </w:p>
    <w:p>
      <w:r>
        <w:br w:type="page"/>
      </w:r>
    </w:p>
    <w:p>
      <w:pPr>
        <w:pStyle w:val="Heading1"/>
        <w:spacing w:after="120" w:before="240"/>
      </w:pPr>
      <w:r>
        <w:rPr>
          <w:b/>
          <w:bCs/>
          <w:color w:val="0D2B55"/>
        </w:rPr>
        <w:t xml:space="preserve">Chapter 14: ROI Frameworks &amp; Emerging Technology Outlook</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Digital transformation investments must ultimately justify themselves through measurable business value — faster time to market, lower operating costs, better quality outcomes, and stronger competitive positioning. This final chapter provides the ROI frameworks that pharmaceutical executives and boards need to evaluate, prioritize, and defend digital investments. It then looks ahead at the emerging technologies — generative AI at scale, quantum computing, synthetic biology intersection, spatial computing, and federated learning — that will define the next frontier of pharmaceutical digital capability. The chapter closes with a synthesizing view of what the digitally transformed pharmaceutical enterprise of 2030 will look like, and what organizations must do today to be ready.</w:t>
      </w:r>
    </w:p>
    <w:p>
      <w:pPr>
        <w:pStyle w:val="Heading2"/>
        <w:spacing w:after="120" w:before="240"/>
      </w:pPr>
      <w:r>
        <w:rPr>
          <w:b/>
          <w:bCs/>
          <w:color w:val="0D2B55"/>
        </w:rPr>
        <w:t xml:space="preserve">14.1 The Challenge of Measuring Digital Transformation ROI</w:t>
      </w:r>
    </w:p>
    <w:p>
      <w:pPr>
        <w:spacing w:after="120"/>
      </w:pPr>
      <w:r>
        <w:rPr>
          <w:i w:val="false"/>
          <w:iCs w:val="false"/>
          <w:color w:val="1C2333"/>
          <w:sz w:val="21"/>
          <w:szCs w:val="21"/>
        </w:rPr>
        <w:t xml:space="preserve">Measuring the return on digital transformation investment in pharma is genuinely difficult, for reasons that are worth understanding before attempting to apply any measurement framework. Many digital investments are enabling investments — the cloud data platform, the data governance council, the digital talent development program — whose value is not in their direct output but in what they make possible downstream. Attributing the commercial success of an AI-driven drug discovery hit to the data platform investment made three years earlier requires a causal chain that is real but difficult to quantify convincingly in a business case.</w:t>
      </w:r>
    </w:p>
    <w:p>
      <w:pPr>
        <w:spacing w:after="120"/>
      </w:pPr>
      <w:r>
        <w:rPr>
          <w:i w:val="false"/>
          <w:iCs w:val="false"/>
          <w:color w:val="1C2333"/>
          <w:sz w:val="21"/>
          <w:szCs w:val="21"/>
        </w:rPr>
        <w:t xml:space="preserve">Furthermore, many digital transformation benefits are realized over time horizons that do not align neatly with annual budgeting cycles. A quality management digitalization program that eliminates a product recall five years after implementation has generated enormous value — but the connection between the eQMS investment and the avoided recall is invisible in the annual P&amp;L.</w:t>
      </w:r>
    </w:p>
    <w:p>
      <w:pPr>
        <w:spacing w:after="120"/>
      </w:pPr>
      <w:r>
        <w:rPr>
          <w:i w:val="false"/>
          <w:iCs w:val="false"/>
          <w:color w:val="1C2333"/>
          <w:sz w:val="21"/>
          <w:szCs w:val="21"/>
        </w:rPr>
        <w:t xml:space="preserve">These challenges do not mean that ROI measurement is impossible; they mean that it requires a more sophisticated approach than a simple NPV calculation on a single technology deployment. The framework presented here addresses this challenge through a portfolio-level measurement architecture that captures both direct and enabling value, and through a risk-adjusted value methodology that accounts for the probability distribution of outcomes rather than single-point estimates.</w:t>
      </w:r>
    </w:p>
    <w:p>
      <w:pPr>
        <w:pStyle w:val="Heading2"/>
        <w:spacing w:after="120" w:before="240"/>
      </w:pPr>
      <w:r>
        <w:rPr>
          <w:b/>
          <w:bCs/>
          <w:color w:val="0D2B55"/>
        </w:rPr>
        <w:t xml:space="preserve">14.2 The Pharma Digital Value Architecture</w:t>
      </w:r>
    </w:p>
    <w:p>
      <w:pPr>
        <w:spacing w:after="120"/>
      </w:pPr>
      <w:r>
        <w:rPr>
          <w:i w:val="false"/>
          <w:iCs w:val="false"/>
          <w:color w:val="1C2333"/>
          <w:sz w:val="21"/>
          <w:szCs w:val="21"/>
        </w:rPr>
        <w:t xml:space="preserve">Digital transformation in pharma creates value through five distinct mechanisms, each of which requires a different measurement approach.</w:t>
      </w:r>
    </w:p>
    <w:p>
      <w:pPr>
        <w:spacing w:after="120"/>
      </w:pPr>
      <w:r>
        <w:rPr>
          <w:i w:val="false"/>
          <w:iCs w:val="false"/>
          <w:color w:val="1C2333"/>
          <w:sz w:val="21"/>
          <w:szCs w:val="21"/>
        </w:rPr>
        <w:t xml:space="preserve">The first is direct operational efficiency — the measurable cost reduction or productivity improvement from deploying a specific digital capability. Examples include the cost savings from implementing electronic batch records (reduction in manual data processing labor), the productivity gain from deploying NBA analytics in the commercial field force (improvement in prescriber access and message recall), and the reduction in manufacturing deviation rate from PAT implementation. These values are quantifiable through before-after measurement, with reasonably high attribution confidence.</w:t>
      </w:r>
    </w:p>
    <w:p>
      <w:pPr>
        <w:spacing w:after="120"/>
      </w:pPr>
      <w:r>
        <w:rPr>
          <w:i w:val="false"/>
          <w:iCs w:val="false"/>
          <w:color w:val="1C2333"/>
          <w:sz w:val="21"/>
          <w:szCs w:val="21"/>
        </w:rPr>
        <w:t xml:space="preserve">The second is cycle time compression — the acceleration of value-generating processes that translates into faster revenue realization, lower working capital requirements, or reduced cost of failure. Examples include the reduction in drug discovery cycle time from AI-driven target identification and generative molecular design (accelerating entry to development), the reduction in clinical trial cycle time from DCT adoption (accelerating time to submission), and the reduction in batch release cycle time from digital quality management (accelerating supply availability). These values are quantified through time-to-milestone tracking, with the financial value derived from the revenue or cost implications of timeline change.</w:t>
      </w:r>
    </w:p>
    <w:p>
      <w:pPr>
        <w:spacing w:after="120"/>
      </w:pPr>
      <w:r>
        <w:rPr>
          <w:i w:val="false"/>
          <w:iCs w:val="false"/>
          <w:color w:val="1C2333"/>
          <w:sz w:val="21"/>
          <w:szCs w:val="21"/>
        </w:rPr>
        <w:t xml:space="preserve">The third is quality and risk avoidance — the value of preventing adverse quality events that would have occurred in the absence of digital capabilities. Examples include avoided product recalls from early PAT-based deviation detection, avoided regulatory warning letters from eQMS-enabled compliance management, and avoided clinical trial failures from better patient selection and protocol optimization. These are the most difficult values to quantify (since the avoided event did not happen by definition), but they are often the largest values in the portfolio and can be estimated using expected-value methodology: probability of event multiplied by cost of event, compared before and after digital capability deployment.</w:t>
      </w:r>
    </w:p>
    <w:p>
      <w:pPr>
        <w:spacing w:after="120"/>
      </w:pPr>
      <w:r>
        <w:rPr>
          <w:i w:val="false"/>
          <w:iCs w:val="false"/>
          <w:color w:val="1C2333"/>
          <w:sz w:val="21"/>
          <w:szCs w:val="21"/>
        </w:rPr>
        <w:t xml:space="preserve">The fourth is strategic optionality — the value of capabilities that create future choices the organization would not otherwise have. A real-world evidence capability that enables label expansion applications is worth not just the specific labels it generates but the optionality to pursue future expansions quickly as new data becomes available. A data platform that can be re-used for multiple analytics programs is worth not just the first program it enables but the reduced cost of all subsequent programs. Strategic optionality is the hardest category to quantify but the most important for board-level investment decisions.</w:t>
      </w:r>
    </w:p>
    <w:p>
      <w:pPr>
        <w:spacing w:after="120"/>
      </w:pPr>
      <w:r>
        <w:rPr>
          <w:i w:val="false"/>
          <w:iCs w:val="false"/>
          <w:color w:val="1C2333"/>
          <w:sz w:val="21"/>
          <w:szCs w:val="21"/>
        </w:rPr>
        <w:t xml:space="preserve">The fifth is competitive positioning — the value of being at or ahead of the digital maturity curve relative to competitors, manifested in faster time-to-market, better clinical decision-making, more effective commercial engagement, and stronger talent attraction. This is inherently a relative measure, and it requires ongoing competitive digital benchmarking to quantify.</w:t>
      </w:r>
    </w:p>
    <w:p>
      <w:pPr>
        <w:pStyle w:val="Heading2"/>
        <w:spacing w:after="120" w:before="240"/>
      </w:pPr>
      <w:r>
        <w:rPr>
          <w:b/>
          <w:bCs/>
          <w:color w:val="0D2B55"/>
        </w:rPr>
        <w:t xml:space="preserve">14.3 ROI Benchmarks by Domain</w:t>
      </w:r>
    </w:p>
    <w:p>
      <w:pPr>
        <w:spacing w:after="120"/>
      </w:pPr>
      <w:r>
        <w:rPr>
          <w:i w:val="false"/>
          <w:iCs w:val="false"/>
          <w:color w:val="1C2333"/>
          <w:sz w:val="21"/>
          <w:szCs w:val="21"/>
        </w:rPr>
        <w:t xml:space="preserve">Based on published case studies, industry research, and implementation evidence, the following value benchmarks represent achievable outcomes for well-executed digital transformation programs in each domain. These should be treated as directional ranges, calibrated by organizations based on their specific baseline and context.</w:t>
      </w:r>
    </w:p>
    <w:p>
      <w:pPr>
        <w:spacing w:after="120"/>
      </w:pPr>
      <w:r>
        <w:rPr>
          <w:i w:val="false"/>
          <w:iCs w:val="false"/>
          <w:color w:val="1C2333"/>
          <w:sz w:val="21"/>
          <w:szCs w:val="21"/>
        </w:rPr>
        <w:t xml:space="preserve">In R&amp;D and Drug Discovery, AI-driven target identification and compound design programs have demonstrated reductions in discovery cycle time of 30 to 50 percent and reductions in preclinical attrition rates of 15 to 25 percent in organizations that have fully deployed integrated AI discovery platforms. The financial value of a single preclinical attrition reduction — preventing one program from entering clinical development that would have failed in Phase II — often exceeds the total cost of a multi-year AI discovery platform investment.</w:t>
      </w:r>
    </w:p>
    <w:p>
      <w:pPr>
        <w:spacing w:after="120"/>
      </w:pPr>
      <w:r>
        <w:rPr>
          <w:i w:val="false"/>
          <w:iCs w:val="false"/>
          <w:color w:val="1C2333"/>
          <w:sz w:val="21"/>
          <w:szCs w:val="21"/>
        </w:rPr>
        <w:t xml:space="preserve">In Clinical Trials, DCT adoption with digital recruitment and risk-based monitoring has demonstrated cost-per-patient reductions of 20 to 35 percent and trial cycle time compressions of 15 to 30 percent in mature programs. For a Phase III program costing USD 300 to 500 million, a 20 percent cost reduction represents USD 60 to 100 million of direct value, not counting the value of the timeline acceleration.</w:t>
      </w:r>
    </w:p>
    <w:p>
      <w:pPr>
        <w:spacing w:after="120"/>
      </w:pPr>
      <w:r>
        <w:rPr>
          <w:i w:val="false"/>
          <w:iCs w:val="false"/>
          <w:color w:val="1C2333"/>
          <w:sz w:val="21"/>
          <w:szCs w:val="21"/>
        </w:rPr>
        <w:t xml:space="preserve">In Manufacturing, integrated digital quality systems with PAT and EBR have demonstrated batch cycle time reductions of 25 to 40 percent and deviation rate reductions of 20 to 35 percent. For a manufacturer processing 5,000 batches per year at a cost of USD 100,000 per batch, a 25 percent cycle time reduction and 30 percent deviation rate reduction represents hundreds of millions of dollars of annual value.</w:t>
      </w:r>
    </w:p>
    <w:p>
      <w:pPr>
        <w:spacing w:after="120"/>
      </w:pPr>
      <w:r>
        <w:rPr>
          <w:i w:val="false"/>
          <w:iCs w:val="false"/>
          <w:color w:val="1C2333"/>
          <w:sz w:val="21"/>
          <w:szCs w:val="21"/>
        </w:rPr>
        <w:t xml:space="preserve">In Commercial, next-best-action analytics and omnichannel commercial platforms have demonstrated 20 to 30 percent improvements in field force productivity and 15 to 25 percent improvements in market share outcomes for AI-deployed versus non-deployed products in comparable competitive environments.</w:t>
      </w:r>
    </w:p>
    <w:p>
      <w:pPr>
        <w:pStyle w:val="Heading2"/>
        <w:spacing w:after="120" w:before="240"/>
      </w:pPr>
      <w:r>
        <w:rPr>
          <w:b/>
          <w:bCs/>
          <w:color w:val="0D2B55"/>
        </w:rPr>
        <w:t xml:space="preserve">14.4 The Emerging Technology Horizon</w:t>
      </w:r>
    </w:p>
    <w:p>
      <w:pPr>
        <w:spacing w:after="120"/>
      </w:pPr>
      <w:r>
        <w:rPr>
          <w:i w:val="false"/>
          <w:iCs w:val="false"/>
          <w:color w:val="1C2333"/>
          <w:sz w:val="21"/>
          <w:szCs w:val="21"/>
        </w:rPr>
        <w:t xml:space="preserve">Looking beyond the capabilities described in earlier chapters — which are available and deployable today — the next five to ten years will bring a second wave of technological capability that will further transform pharmaceutical operations. Four technologies warrant particular attention from pharma leadership today, not because they are ready for enterprise deployment but because organizations that are not building awareness and early capability in these areas will be caught flat-footed when they mature.</w:t>
      </w:r>
    </w:p>
    <w:p>
      <w:pPr>
        <w:spacing w:after="120"/>
      </w:pPr>
      <w:r>
        <w:rPr>
          <w:i w:val="false"/>
          <w:iCs w:val="false"/>
          <w:color w:val="1C2333"/>
          <w:sz w:val="21"/>
          <w:szCs w:val="21"/>
        </w:rPr>
        <w:t xml:space="preserve">Generative AI at Enterprise Scale. The generative AI tools available today — large language models, protein language models, molecular generation models — are impressive but remain largely point solutions rather than integrated enterprise capabilities. The next two to three years will see these models become genuinely embedded in the workflows of R&amp;D, clinical, commercial, and operations functions in ways that are currently visible only in pilots. Large language models for regulatory document drafting and review, for scientific literature synthesis, and for clinical trial protocol optimization are already generating measurable productivity gains in early deployments. The challenge is governance: ensuring that AI-generated content meets the evidentiary standards of pharmaceutical regulatory submissions, that AI recommendations in clinical and safety contexts carry appropriate uncertainty quantification, and that the intellectual property and data privacy implications of training and deploying these models are managed appropriately.</w:t>
      </w:r>
    </w:p>
    <w:p>
      <w:pPr>
        <w:spacing w:after="120"/>
      </w:pPr>
      <w:r>
        <w:rPr>
          <w:i w:val="false"/>
          <w:iCs w:val="false"/>
          <w:color w:val="1C2333"/>
          <w:sz w:val="21"/>
          <w:szCs w:val="21"/>
        </w:rPr>
        <w:t xml:space="preserve">Quantum Computing for Drug Discovery. Quantum computing is not a near-term pharmaceutical enterprise tool — commercially viable quantum advantage for drug discovery applications is likely five to ten years away at the earliest. But it is a technology that will potentially transform the computational foundation of molecular simulation and quantum chemistry, enabling ab initio prediction of molecular properties and drug-target interactions with a precision that classical computational chemistry cannot approach. Organizations that want to be at the frontier of quantum-enabled drug discovery need to begin building quantum literacy and establishing partnerships with quantum hardware and software companies now, before the technology is ready for production deployment.</w:t>
      </w:r>
    </w:p>
    <w:p>
      <w:pPr>
        <w:spacing w:after="120"/>
      </w:pPr>
      <w:r>
        <w:rPr>
          <w:i w:val="false"/>
          <w:iCs w:val="false"/>
          <w:color w:val="1C2333"/>
          <w:sz w:val="21"/>
          <w:szCs w:val="21"/>
        </w:rPr>
        <w:t xml:space="preserve">Synthetic Biology and Digital-Biological Integration. The convergence of synthetic biology — the engineering of biological systems with designed functions — with digital design tools and laboratory automation is creating a new discipline of digital-biological programming. DNA synthesis automation, cell line design tools, and metabolic pathway engineering platforms are enabling the construction of biological systems (for drug synthesis, for therapeutic development, for diagnostic applications) with a speed and precision that was not possible a decade ago. The integration of these capabilities with pharmaceutical manufacturing — for biosynthesis of complex molecules, for cell therapy manufacturing, for vaccine antigen production — is a transformation-in-progress with significant long-term implications for pharmaceutical manufacturing economics.</w:t>
      </w:r>
    </w:p>
    <w:p>
      <w:pPr>
        <w:spacing w:after="120"/>
      </w:pPr>
      <w:r>
        <w:rPr>
          <w:i w:val="false"/>
          <w:iCs w:val="false"/>
          <w:color w:val="1C2333"/>
          <w:sz w:val="21"/>
          <w:szCs w:val="21"/>
        </w:rPr>
        <w:t xml:space="preserve">Federated Learning and Privacy-Preserving Analytics. The single most valuable thing the pharmaceutical industry could do for drug development is share clinical and real-world data across organizations — creating training datasets for AI models that are orders of magnitude richer than any single organization's data. The barrier is not willingness; it is the regulatory, legal, and competitive constraints on data sharing. Federated learning — a machine learning approach in which models are trained across multiple organizations' datasets without the data ever leaving each organization's control — offers a technical path to this goal. Early federated learning consortia in pharma — including the MELLODDY project (a ten-company consortium for federated drug discovery model training) and the TransCelerate initiative for clinical data sharing — have demonstrated that federated approaches can generate models with genuine predictive power from multi-institutional data. As federated learning platforms mature and regulatory frameworks for multi-institutional data collaboration develop, this approach will become a standard part of the pharmaceutical data strategy.</w:t>
      </w:r>
    </w:p>
    <w:p>
      <w:pPr>
        <w:pStyle w:val="Heading2"/>
        <w:spacing w:after="120" w:before="240"/>
      </w:pPr>
      <w:r>
        <w:rPr>
          <w:b/>
          <w:bCs/>
          <w:color w:val="0D2B55"/>
        </w:rPr>
        <w:t xml:space="preserve">14.5 The Pharma Enterprise of 2030: An Integrated Vision</w:t>
      </w:r>
    </w:p>
    <w:p>
      <w:pPr>
        <w:spacing w:after="120"/>
      </w:pPr>
      <w:r>
        <w:rPr>
          <w:i w:val="false"/>
          <w:iCs w:val="false"/>
          <w:color w:val="1C2333"/>
          <w:sz w:val="21"/>
          <w:szCs w:val="21"/>
        </w:rPr>
        <w:t xml:space="preserve">Drawing together the threads of the preceding thirteen chapters, the digitally transformed pharmaceutical enterprise of 2030 will look substantially different from today's leading companies in five defining ways.</w:t>
      </w:r>
    </w:p>
    <w:p>
      <w:pPr>
        <w:spacing w:after="120"/>
      </w:pPr>
      <w:r>
        <w:rPr>
          <w:i w:val="false"/>
          <w:iCs w:val="false"/>
          <w:color w:val="1C2333"/>
          <w:sz w:val="21"/>
          <w:szCs w:val="21"/>
        </w:rPr>
        <w:t xml:space="preserve">Discovery will be AI-first. The majority of new molecular entities entering development will have been identified, designed, or optimized with AI, dramatically compressing the discovery cycle and improving the quality of candidates entering clinical development. Human scientific creativity will be amplified rather than replaced — AI will generate hypotheses and proposals at speed, and human scientists will apply judgment, creativity, and contextual understanding to evaluate and develop them.</w:t>
      </w:r>
    </w:p>
    <w:p>
      <w:pPr>
        <w:spacing w:after="120"/>
      </w:pPr>
      <w:r>
        <w:rPr>
          <w:i w:val="false"/>
          <w:iCs w:val="false"/>
          <w:color w:val="1C2333"/>
          <w:sz w:val="21"/>
          <w:szCs w:val="21"/>
        </w:rPr>
        <w:t xml:space="preserve">Development will be continuous and patient-centric. Clinical trials will be designed in silico, enrolled digitally, conducted in hybrid decentralized models that reduce patient burden, and monitored continuously through real-time data analytics. The binary pass/fail model of late-phase development will give way to adaptive designs that can respond to emerging data, incorporating real-world evidence from connected patient cohorts to supplement and sometimes replace the traditional randomized controlled trial for specific evidence generation goals.</w:t>
      </w:r>
    </w:p>
    <w:p>
      <w:pPr>
        <w:spacing w:after="120"/>
      </w:pPr>
      <w:r>
        <w:rPr>
          <w:i w:val="false"/>
          <w:iCs w:val="false"/>
          <w:color w:val="1C2333"/>
          <w:sz w:val="21"/>
          <w:szCs w:val="21"/>
        </w:rPr>
        <w:t xml:space="preserve">Manufacturing will be self-optimizing. Digital twin-enabled, PAT-monitored, continuously manufactured production lines will operate with quality management built in rather than tested in — releasing product in real time based on continuous quality data rather than end-of-batch testing. Supply chains will sense demand in real time and respond dynamically, with AI-driven planning systems making hundreds of small optimization decisions per day that collectively eliminate the waste and delay that currently consume 15 to 20 percent of the cost of goods.</w:t>
      </w:r>
    </w:p>
    <w:p>
      <w:pPr>
        <w:spacing w:after="120"/>
      </w:pPr>
      <w:r>
        <w:rPr>
          <w:i w:val="false"/>
          <w:iCs w:val="false"/>
          <w:color w:val="1C2333"/>
          <w:sz w:val="21"/>
          <w:szCs w:val="21"/>
        </w:rPr>
        <w:t xml:space="preserve">Commercial will be outcome-driven. The commercial model will shift from activity-based promotion to outcome-based partnership with healthcare systems. Pharmaceutical companies will be rewarded through outcome-based contracts for the health improvements their therapies actually generate in real patient populations, tracked through digital health infrastructure that connects therapy initiation to long-term patient outcomes. Commercial organizations will be smaller, more analytically sophisticated, and more focused on demonstrating value than on maximizing promotional activity.</w:t>
      </w:r>
    </w:p>
    <w:p>
      <w:pPr>
        <w:spacing w:after="120"/>
      </w:pPr>
      <w:r>
        <w:rPr>
          <w:i w:val="false"/>
          <w:iCs w:val="false"/>
          <w:color w:val="1C2333"/>
          <w:sz w:val="21"/>
          <w:szCs w:val="21"/>
        </w:rPr>
        <w:t xml:space="preserve">The patient relationship will be continuous. The pharmaceutical company's relationship with patients will no longer begin and end with the prescription. Digital health platforms, connected devices, patient support apps, and digital therapeutics will create a continuous relationship between the organization and the patients it serves — generating real-world data, supporting therapy adherence, and enabling the ongoing learning that drives continuous improvement in therapeutic outcomes.</w:t>
      </w:r>
    </w:p>
    <w:p>
      <w:pPr>
        <w:pStyle w:val="Heading2"/>
        <w:spacing w:after="120" w:before="240"/>
      </w:pPr>
      <w:r>
        <w:rPr>
          <w:b/>
          <w:bCs/>
          <w:color w:val="0D2B55"/>
        </w:rPr>
        <w:t xml:space="preserve">14.6 A Final Call to Action</w:t>
      </w:r>
    </w:p>
    <w:p>
      <w:pPr>
        <w:spacing w:after="120"/>
      </w:pPr>
      <w:r>
        <w:rPr>
          <w:i w:val="false"/>
          <w:iCs w:val="false"/>
          <w:color w:val="1C2333"/>
          <w:sz w:val="21"/>
          <w:szCs w:val="21"/>
        </w:rPr>
        <w:t xml:space="preserve">The journey from where most pharmaceutical organizations stand today to the 2030 vision described above is long, complex, and expensive. It requires sustained leadership commitment, significant capital investment, organizational change at every level, and a tolerance for the setbacks that inevitably accompany ambitious transformation. It is not a journey that most organizations will complete fully.</w:t>
      </w:r>
    </w:p>
    <w:p>
      <w:pPr>
        <w:spacing w:after="120"/>
      </w:pPr>
      <w:r>
        <w:rPr>
          <w:i w:val="false"/>
          <w:iCs w:val="false"/>
          <w:color w:val="1C2333"/>
          <w:sz w:val="21"/>
          <w:szCs w:val="21"/>
        </w:rPr>
        <w:t xml:space="preserve">But the direction of travel is clear, and the cost of not moving is real. The organizations that will define the pharmaceutical industry of the next decade are already making the foundational investments — in data infrastructure, in digital talent, in governance architecture, in AI capability — that will compound into decisive competitive advantages over the next five to ten years. The window for closing the gap between digital leaders and followers in pharma is narrowing, and every year of delay makes the eventual transformation more expensive and more disruptive.</w:t>
      </w:r>
    </w:p>
    <w:p>
      <w:pPr>
        <w:spacing w:after="120"/>
      </w:pPr>
      <w:r>
        <w:rPr>
          <w:i w:val="false"/>
          <w:iCs w:val="false"/>
          <w:color w:val="1C2333"/>
          <w:sz w:val="21"/>
          <w:szCs w:val="21"/>
        </w:rPr>
        <w:t xml:space="preserve">The questions are simple: Is your organization moving fast enough? Is your leadership team aligned around a clear digital transformation agenda? Have you built the governance, funded the programs, and committed the talent to the journey? If not, the most important meeting in your calendar next quarter is not your budget review or your pipeline update — it is the conversation with your board and leadership team about what digital transformation will take, and what the cost of inaction is.</w:t>
      </w:r>
    </w:p>
    <w:p>
      <w:pPr>
        <w:spacing w:after="120"/>
      </w:pPr>
      <w:r>
        <w:rPr>
          <w:i w:val="false"/>
          <w:iCs w:val="false"/>
          <w:color w:val="1C2333"/>
          <w:sz w:val="21"/>
          <w:szCs w:val="21"/>
        </w:rPr>
        <w:t xml:space="preserve">The patients who will take your therapies in 2030 deserve a pharmaceutical industry that has made the investments necessary to discover better medicines faster, manufacture them more reliably, and ensure that the patients who need them most can access them. Digital transformation is how the industry makes good on that obligation. The time to start — or accelerate — is now.</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board's portfolio of strategic priorities reflect the existential importance of digital transformation — is it a standing agenda item, with investment commitments and performance accountability, or a periodic update that lives at the bottom of the meeting agenda? Has the organization scenario-planned for a future in which a key competitor achieves Level 4–5 PDMF maturity two to three years ahead of it — and what would the competitive response be? Is the board comfortable that it understands the emerging technology landscape well enough to make informed investment decisions — and if not, what is the board education plan for AI, quantum, and synthetic biology?</w:t>
      </w:r>
    </w:p>
    <w:p>
      <w:pPr>
        <w:pStyle w:val="Heading2"/>
        <w:spacing w:after="120" w:before="240"/>
      </w:pPr>
      <w:r>
        <w:rPr>
          <w:b/>
          <w:bCs/>
          <w:color w:val="0D2B55"/>
        </w:rPr>
        <w:t xml:space="preserve">Appendix A: Digital Transformation Diagnostic — Board Self-Assessment</w:t>
      </w:r>
    </w:p>
    <w:p>
      <w:pPr>
        <w:spacing w:after="120"/>
      </w:pPr>
      <w:r>
        <w:rPr>
          <w:i w:val="false"/>
          <w:iCs w:val="false"/>
          <w:color w:val="1C2333"/>
          <w:sz w:val="21"/>
          <w:szCs w:val="21"/>
        </w:rPr>
        <w:t xml:space="preserve">The following twenty questions, drawn from the Board Questions sections throughout this handbook, constitute a rapid diagnostic for organizational digital transformation readiness. Boards and leadership teams are encouraged to score each question honestly — not as it aspires to be but as it currently is.</w:t>
      </w:r>
    </w:p>
    <w:p>
      <w:pPr>
        <w:spacing w:after="120"/>
      </w:pPr>
      <w:r>
        <w:rPr>
          <w:i w:val="false"/>
          <w:iCs w:val="false"/>
          <w:color w:val="1C2333"/>
          <w:sz w:val="21"/>
          <w:szCs w:val="21"/>
        </w:rPr>
        <w:t xml:space="preserve">The questions span foundational capability (Do we have a CDO? Do we have an enterprise data platform? Is our manufacturing quality system electronic?), strategic clarity (Do we have a multi-year digital transformation roadmap approved by the board? Do we measure transformation progress against business outcomes?), competitive positioning (Do we know our PDMF maturity score relative to our top three competitors? Are we investing at the level required to close the gap?), and emerging readiness (Do we have a generative AI strategy? Are we tracking quantum computing developments in drug discovery? Have we assessed our federated data strategy?).</w:t>
      </w:r>
    </w:p>
    <w:p>
      <w:pPr>
        <w:spacing w:after="120"/>
      </w:pPr>
      <w:r>
        <w:rPr>
          <w:i w:val="false"/>
          <w:iCs w:val="false"/>
          <w:color w:val="1C2333"/>
          <w:sz w:val="21"/>
          <w:szCs w:val="21"/>
        </w:rPr>
        <w:t xml:space="preserve">A score of fewer than 12 confident affirmatives suggests the organization is at PDMF Level 1 or 2 and needs to prioritize foundational investment urgently. A score of 12 to 16 suggests Level 2 to 3, with clear priorities for acceleration. A score above 16 suggests Level 3 or above, with focus required on the dimensions where honest gaps remain.</w:t>
      </w:r>
    </w:p>
    <w:p>
      <w:pPr>
        <w:pStyle w:val="Heading2"/>
        <w:spacing w:after="120" w:before="240"/>
      </w:pPr>
      <w:r>
        <w:rPr>
          <w:b/>
          <w:bCs/>
          <w:color w:val="0D2B55"/>
        </w:rPr>
        <w:t xml:space="preserve">14.8 Synthetic Biology and the Programmable Pharmaceutical Factory</w:t>
      </w:r>
    </w:p>
    <w:p>
      <w:pPr>
        <w:spacing w:after="120"/>
      </w:pPr>
      <w:r>
        <w:rPr>
          <w:i w:val="false"/>
          <w:iCs w:val="false"/>
          <w:color w:val="1C2333"/>
          <w:sz w:val="21"/>
          <w:szCs w:val="21"/>
        </w:rPr>
        <w:t xml:space="preserve">Synthetic biology — the engineering of biological systems with designed, predictable functions — is converging with pharmaceutical manufacturing in ways that will transform the economics and capabilities of drug production over the next decade.</w:t>
      </w:r>
    </w:p>
    <w:p>
      <w:pPr>
        <w:spacing w:after="120"/>
      </w:pPr>
      <w:r>
        <w:rPr>
          <w:i w:val="false"/>
          <w:iCs w:val="false"/>
          <w:color w:val="1C2333"/>
          <w:sz w:val="21"/>
          <w:szCs w:val="21"/>
        </w:rPr>
        <w:t xml:space="preserve">Biosynthesis of complex molecules. Many pharmaceutical compounds that are currently extracted from natural sources (plant alkaloids, microbial metabolites) or synthesised through complex multi-step chemical processes can potentially be produced more efficiently through engineered microbial or cell-based biosynthesis. Companies like Ginkgo Bioworks and Zymergen (now part of Ginkgo) have demonstrated that machine learning-guided strain engineering can dramatically accelerate the design-build-test cycle for biosynthetic pathway development. For pharmaceutical companies with APIs derived from natural product scaffolds — a large proportion of oncology and anti-infective drugs — biosynthesis offers a path to more sustainable, cost-effective, and geographically distributed supply chains.</w:t>
      </w:r>
    </w:p>
    <w:p>
      <w:pPr>
        <w:spacing w:after="120"/>
      </w:pPr>
      <w:r>
        <w:rPr>
          <w:i w:val="false"/>
          <w:iCs w:val="false"/>
          <w:color w:val="1C2333"/>
          <w:sz w:val="21"/>
          <w:szCs w:val="21"/>
        </w:rPr>
        <w:t xml:space="preserve">Cell and gene therapy manufacturing. The cell and gene therapy sector is creating entirely new manufacturing paradigms. CAR-T cell therapies, AAV gene therapy vectors, and mRNA-based medicines each require manufacturing processes that are fundamentally different from conventional small molecule or protein biologic manufacturing — and far more digitally intensive. The manufacturing of a CAR-T therapy for a single patient involves hundreds of process steps, each generating data that must be tracked, integrated, and used to guide the next step in real time. Digital platforms for cell and gene therapy manufacturing — including automated cell culture management systems, real-time process monitoring for viral vector production, and digital lot disposition workflows — are being built from scratch, unencumbered by legacy systems and processes.</w:t>
      </w:r>
    </w:p>
    <w:p>
      <w:pPr>
        <w:spacing w:after="120"/>
      </w:pPr>
      <w:r>
        <w:rPr>
          <w:i w:val="false"/>
          <w:iCs w:val="false"/>
          <w:color w:val="1C2333"/>
          <w:sz w:val="21"/>
          <w:szCs w:val="21"/>
        </w:rPr>
        <w:t xml:space="preserve">DNA data storage. On the frontier of information technology, synthetic biology is enabling the use of DNA as a data storage medium — with information density orders of magnitude greater than silicon-based storage. While not an immediate pharmaceutical application, DNA data storage could eventually play a role in archiving the enormous datasets generated by pharmaceutical research and manufacturing, particularly as the industry's data volumes grow to sizes that challenge conventional storage economics.</w:t>
      </w:r>
    </w:p>
    <w:p>
      <w:pPr>
        <w:pStyle w:val="Heading2"/>
        <w:spacing w:after="120" w:before="240"/>
      </w:pPr>
      <w:r>
        <w:rPr>
          <w:b/>
          <w:bCs/>
          <w:color w:val="0D2B55"/>
        </w:rPr>
        <w:t xml:space="preserve">14.9 The Federated Pharmaceutical Enterprise: Ecosystem Strategy</w:t>
      </w:r>
    </w:p>
    <w:p>
      <w:pPr>
        <w:spacing w:after="120"/>
      </w:pPr>
      <w:r>
        <w:rPr>
          <w:i w:val="false"/>
          <w:iCs w:val="false"/>
          <w:color w:val="1C2333"/>
          <w:sz w:val="21"/>
          <w:szCs w:val="21"/>
        </w:rPr>
        <w:t xml:space="preserve">The pharmaceutical enterprise of 2030 will not be a standalone organisation but an ecosystem orchestrator — coordinating a network of AI drug discovery partners, digital health platform partners, contract manufacturing organisations, patient data consortia, and academic research institutions that together constitute the full innovation system.</w:t>
      </w:r>
    </w:p>
    <w:p>
      <w:pPr>
        <w:spacing w:after="120"/>
      </w:pPr>
      <w:r>
        <w:rPr>
          <w:i w:val="false"/>
          <w:iCs w:val="false"/>
          <w:color w:val="1C2333"/>
          <w:sz w:val="21"/>
          <w:szCs w:val="21"/>
        </w:rPr>
        <w:t xml:space="preserve">Ecosystem orchestration capability. The ability to identify, engage, govern, and extract value from a diverse portfolio of external digital partnerships is itself a strategic capability that must be deliberately built. Companies that are effective ecosystem orchestrators — that can partner with an AI startup to co-develop a drug discovery platform, simultaneously integrate that platform with internal data systems, ensure the IP arrangements protect the company's interests, and scale the successful elements — will have structurally faster innovation cycles than companies that try to build every capability internally.</w:t>
      </w:r>
    </w:p>
    <w:p>
      <w:pPr>
        <w:spacing w:after="120"/>
      </w:pPr>
      <w:r>
        <w:rPr>
          <w:i w:val="false"/>
          <w:iCs w:val="false"/>
          <w:color w:val="1C2333"/>
          <w:sz w:val="21"/>
          <w:szCs w:val="21"/>
        </w:rPr>
        <w:t xml:space="preserve">Data partnerships and consortia. The value of pharmaceutical data grows non-linearly with its scale and diversity. A pharmacogenomics dataset from 100,000 patients is enormously more valuable than ten datasets of 10,000 patients each, because rare genetic variants — the ones most likely to explain differential drug responses — become statistically detectable only at the larger scale. Building the data partnerships — with health systems, biobanks, patient advocacy organisations, and regulatory agencies — that aggregate data at the scale required for next-generation precision medicine requires a distinctive combination of scientific credibility, privacy governance sophistication, and institutional relationship management. Companies that invest in these partnership capabilities today will have a structural data advantage that compounds over decades.</w:t>
      </w:r>
    </w:p>
    <w:p>
      <w:pPr>
        <w:spacing w:after="120"/>
      </w:pPr>
      <w:r>
        <w:rPr>
          <w:i w:val="false"/>
          <w:iCs w:val="false"/>
          <w:color w:val="1C2333"/>
          <w:sz w:val="21"/>
          <w:szCs w:val="21"/>
        </w:rPr>
        <w:t xml:space="preserve">Platform as a competitive moat. A small number of pharmaceutical companies are moving toward a platform strategy — building digital capabilities (data platforms, AI tools, clinical trial infrastructure, patient engagement systems) that are so distinctive and so deeply integrated into their operating model that they constitute a genuine competitive moat. Roche's Flatiron Health acquisition (giving it the largest oncology real-world data platform in the world), AstraZeneca's digital biomarker platform, and Novartis's proprietary AI drug design tools are examples of digital assets that are difficult for competitors to replicate quickly and that create compounding advantages in the specific therapeutic areas where they are deployed.</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14.1: Digital Transformation ROI — Domain Benchmarks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14.2: Emerging Technology Horizon for Pharma — 2024–2035</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14.3: Pharma Digital Technology Vendor Landscape</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14.4: Pharmaceutical AI Governance Framework — Five Pillars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14.5: The Digitally Transformed Pharmaceutical Enterprise — 2030 Vision</w:t>
      </w:r>
    </w:p>
    <w:p>
      <w:pPr>
        <w:spacing w:after="120"/>
      </w:pPr>
      <w:r>
        <w:rPr>
          <w:color w:val="1C2333"/>
          <w:sz w:val="21"/>
          <w:szCs w:val="21"/>
        </w:rPr>
        <w:t xml:space="preserve">APPENDIX</w:t>
      </w:r>
    </w:p>
    <w:p>
      <w:pPr>
        <w:spacing w:after="120"/>
      </w:pPr>
      <w:r>
        <w:rPr>
          <w:color w:val="1C2333"/>
          <w:sz w:val="21"/>
          <w:szCs w:val="21"/>
        </w:rPr>
        <w:t xml:space="preserve">APPENDIX &amp; REFERENCE MATERIALS</w:t>
      </w:r>
    </w:p>
    <w:p>
      <w:r>
        <w:br w:type="page"/>
      </w:r>
    </w:p>
    <w:p>
      <w:pPr>
        <w:pStyle w:val="Heading1"/>
        <w:spacing w:after="120" w:before="240"/>
      </w:pPr>
      <w:r>
        <w:rPr>
          <w:b/>
          <w:bCs/>
          <w:color w:val="0D2B55"/>
        </w:rPr>
        <w:t xml:space="preserve">Appendix: Reference Materials, Glossary &amp; Vendor Landscape</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This appendix consolidates the reference materials, diagnostic tools, and contextual frameworks that support the 14 chapters of the handbook. It includes a comprehensive glossary of digital pharma terminology, a curated reference reading list, a technology vendor landscape overview, the full PDMF self-assessment diagnostic, and a digital transformation KPI framework that organisations can adapt for their own performance measurement programs.</w:t>
      </w:r>
    </w:p>
    <w:p>
      <w:pPr>
        <w:pStyle w:val="Heading2"/>
        <w:spacing w:after="120" w:before="240"/>
      </w:pPr>
      <w:r>
        <w:rPr>
          <w:b/>
          <w:bCs/>
          <w:color w:val="0D2B55"/>
        </w:rPr>
        <w:t xml:space="preserve">A.1 Glossary of Digital Pharma Terms</w:t>
      </w:r>
    </w:p>
    <w:p>
      <w:pPr>
        <w:spacing w:after="120"/>
      </w:pPr>
      <w:r>
        <w:rPr>
          <w:i w:val="false"/>
          <w:iCs w:val="false"/>
          <w:color w:val="1C2333"/>
          <w:sz w:val="21"/>
          <w:szCs w:val="21"/>
        </w:rPr>
        <w:t xml:space="preserve">ABDM (Ayushman Bharat Digital Mission) — India's national digital health infrastructure programme creating unique digital health identifiers for all citizens and enabling electronic health record sharing across the healthcare system. Over 900 million health IDs registered by 2026.</w:t>
      </w:r>
    </w:p>
    <w:p>
      <w:pPr>
        <w:spacing w:after="120"/>
      </w:pPr>
      <w:r>
        <w:rPr>
          <w:i w:val="false"/>
          <w:iCs w:val="false"/>
          <w:color w:val="1C2333"/>
          <w:sz w:val="21"/>
          <w:szCs w:val="21"/>
        </w:rPr>
        <w:t xml:space="preserve">AI Act (EU) — The European Union's regulatory framework for artificial intelligence, entered into force in 2024. Classifies AI applications by risk level and imposes requirements for high-risk applications including medical AI: transparency, human oversight, technical robustness, and documentation.</w:t>
      </w:r>
    </w:p>
    <w:p>
      <w:pPr>
        <w:spacing w:after="120"/>
      </w:pPr>
      <w:r>
        <w:rPr>
          <w:i w:val="false"/>
          <w:iCs w:val="false"/>
          <w:color w:val="1C2333"/>
          <w:sz w:val="21"/>
          <w:szCs w:val="21"/>
        </w:rPr>
        <w:t xml:space="preserve">ALCOA+ — The data integrity principles governing GxP records: Attributable, Legible, Contemporaneous, Original, Accurate, plus Complete, Consistent, Enduring, and Available.</w:t>
      </w:r>
    </w:p>
    <w:p>
      <w:pPr>
        <w:spacing w:after="120"/>
      </w:pPr>
      <w:r>
        <w:rPr>
          <w:i w:val="false"/>
          <w:iCs w:val="false"/>
          <w:color w:val="1C2333"/>
          <w:sz w:val="21"/>
          <w:szCs w:val="21"/>
        </w:rPr>
        <w:t xml:space="preserve">AlphaFold — DeepMind's AI system for protein structure prediction, which solved one of biology's grand challenges by predicting accurate 3D structures for virtually all known proteins. Released AlphaFold2 in 2021 and AlphaFold 3 in 2024; the database contains predictions for 214M+ proteins.</w:t>
      </w:r>
    </w:p>
    <w:p>
      <w:pPr>
        <w:spacing w:after="120"/>
      </w:pPr>
      <w:r>
        <w:rPr>
          <w:i w:val="false"/>
          <w:iCs w:val="false"/>
          <w:color w:val="1C2333"/>
          <w:sz w:val="21"/>
          <w:szCs w:val="21"/>
        </w:rPr>
        <w:t xml:space="preserve">API (Active Pharmaceutical Ingredient) — The biologically active component of a drug formulation; also Application Programming Interface in the technology context.</w:t>
      </w:r>
    </w:p>
    <w:p>
      <w:pPr>
        <w:spacing w:after="120"/>
      </w:pPr>
      <w:r>
        <w:rPr>
          <w:i w:val="false"/>
          <w:iCs w:val="false"/>
          <w:color w:val="1C2333"/>
          <w:sz w:val="21"/>
          <w:szCs w:val="21"/>
        </w:rPr>
        <w:t xml:space="preserve">CAPA (Corrective and Preventive Action) — A quality management process through which an organisation identifies the root cause of a quality problem and implements systematic changes to prevent its recurrence.</w:t>
      </w:r>
    </w:p>
    <w:p>
      <w:pPr>
        <w:spacing w:after="120"/>
      </w:pPr>
      <w:r>
        <w:rPr>
          <w:i w:val="false"/>
          <w:iCs w:val="false"/>
          <w:color w:val="1C2333"/>
          <w:sz w:val="21"/>
          <w:szCs w:val="21"/>
        </w:rPr>
        <w:t xml:space="preserve">CDO (Chief Digital Officer) — The executive responsible for leading and overseeing an organisation's digital transformation strategy and programme. In some organisations combined with CIO as CDIO.</w:t>
      </w:r>
    </w:p>
    <w:p>
      <w:pPr>
        <w:spacing w:after="120"/>
      </w:pPr>
      <w:r>
        <w:rPr>
          <w:i w:val="false"/>
          <w:iCs w:val="false"/>
          <w:color w:val="1C2333"/>
          <w:sz w:val="21"/>
          <w:szCs w:val="21"/>
        </w:rPr>
        <w:t xml:space="preserve">CDSCO (Central Drugs Standard Control Organisation) — India's national regulatory authority for pharmaceuticals and medical devices, responsible for drug approvals, clinical trial authorisations, and manufacturing licences.</w:t>
      </w:r>
    </w:p>
    <w:p>
      <w:pPr>
        <w:spacing w:after="120"/>
      </w:pPr>
      <w:r>
        <w:rPr>
          <w:i w:val="false"/>
          <w:iCs w:val="false"/>
          <w:color w:val="1C2333"/>
          <w:sz w:val="21"/>
          <w:szCs w:val="21"/>
        </w:rPr>
        <w:t xml:space="preserve">CMO/CDMO (Contract Manufacturing / Development and Manufacturing Organisation) — Third-party organisations that manufacture pharmaceutical products or perform development and manufacturing services on behalf of pharma companies.</w:t>
      </w:r>
    </w:p>
    <w:p>
      <w:pPr>
        <w:spacing w:after="120"/>
      </w:pPr>
      <w:r>
        <w:rPr>
          <w:i w:val="false"/>
          <w:iCs w:val="false"/>
          <w:color w:val="1C2333"/>
          <w:sz w:val="21"/>
          <w:szCs w:val="21"/>
        </w:rPr>
        <w:t xml:space="preserve">CPV (Continued Process Verification) — The third stage of process validation (per FDA Guidance), providing ongoing assurance that a process remains in a state of control during routine production.</w:t>
      </w:r>
    </w:p>
    <w:p>
      <w:pPr>
        <w:spacing w:after="120"/>
      </w:pPr>
      <w:r>
        <w:rPr>
          <w:i w:val="false"/>
          <w:iCs w:val="false"/>
          <w:color w:val="1C2333"/>
          <w:sz w:val="21"/>
          <w:szCs w:val="21"/>
        </w:rPr>
        <w:t xml:space="preserve">CRO (Contract Research Organisation) — Third-party organisations providing research services including clinical trials, regulatory affairs, and pharmacovigilance to pharmaceutical companies.</w:t>
      </w:r>
    </w:p>
    <w:p>
      <w:pPr>
        <w:spacing w:after="120"/>
      </w:pPr>
      <w:r>
        <w:rPr>
          <w:i w:val="false"/>
          <w:iCs w:val="false"/>
          <w:color w:val="1C2333"/>
          <w:sz w:val="21"/>
          <w:szCs w:val="21"/>
        </w:rPr>
        <w:t xml:space="preserve">CSA (Computer Software Assurance) — FDA's 2022 framework replacing traditional Computer System Validation (CSV), adopting a risk-based approach that reduces documentation burden for lower-risk software while maintaining rigor for GxP-critical applications.</w:t>
      </w:r>
    </w:p>
    <w:p>
      <w:pPr>
        <w:spacing w:after="120"/>
      </w:pPr>
      <w:r>
        <w:rPr>
          <w:i w:val="false"/>
          <w:iCs w:val="false"/>
          <w:color w:val="1C2333"/>
          <w:sz w:val="21"/>
          <w:szCs w:val="21"/>
        </w:rPr>
        <w:t xml:space="preserve">CTD (Common Technical Document) — The internationally harmonised format for pharmaceutical regulatory submissions, used by FDA, EMA, PMDA, and other major regulatory agencies globally.</w:t>
      </w:r>
    </w:p>
    <w:p>
      <w:pPr>
        <w:spacing w:after="120"/>
      </w:pPr>
      <w:r>
        <w:rPr>
          <w:i w:val="false"/>
          <w:iCs w:val="false"/>
          <w:color w:val="1C2333"/>
          <w:sz w:val="21"/>
          <w:szCs w:val="21"/>
        </w:rPr>
        <w:t xml:space="preserve">CTIS (Clinical Trials Information System) — The EU-wide digital portal through which sponsors submit and manage clinical trial applications across all EU member states, implemented under the Clinical Trials Regulation (CTR 536/2014).</w:t>
      </w:r>
    </w:p>
    <w:p>
      <w:pPr>
        <w:spacing w:after="120"/>
      </w:pPr>
      <w:r>
        <w:rPr>
          <w:i w:val="false"/>
          <w:iCs w:val="false"/>
          <w:color w:val="1C2333"/>
          <w:sz w:val="21"/>
          <w:szCs w:val="21"/>
        </w:rPr>
        <w:t xml:space="preserve">DARWIN EU — The European Medicines Agency's real-world evidence platform — a federated network of European health databases covering 100M+ patients, accessible for regulatory real-world evidence studies.</w:t>
      </w:r>
    </w:p>
    <w:p>
      <w:pPr>
        <w:spacing w:after="120"/>
      </w:pPr>
      <w:r>
        <w:rPr>
          <w:i w:val="false"/>
          <w:iCs w:val="false"/>
          <w:color w:val="1C2333"/>
          <w:sz w:val="21"/>
          <w:szCs w:val="21"/>
        </w:rPr>
        <w:t xml:space="preserve">DCT (Decentralised Clinical Trial) — A clinical trial design that brings study activities to participants through digital tools, home health services, and local facilities, reducing or eliminating travel to central research sites.</w:t>
      </w:r>
    </w:p>
    <w:p>
      <w:pPr>
        <w:spacing w:after="120"/>
      </w:pPr>
      <w:r>
        <w:rPr>
          <w:i w:val="false"/>
          <w:iCs w:val="false"/>
          <w:color w:val="1C2333"/>
          <w:sz w:val="21"/>
          <w:szCs w:val="21"/>
        </w:rPr>
        <w:t xml:space="preserve">DEL (DNA-Encoded Chemical Library) — A technology for screening billions of compounds simultaneously against a biological target using DNA barcoding, enabling orders-of-magnitude expansion of hit identification screening.</w:t>
      </w:r>
    </w:p>
    <w:p>
      <w:pPr>
        <w:spacing w:after="120"/>
      </w:pPr>
      <w:r>
        <w:rPr>
          <w:i w:val="false"/>
          <w:iCs w:val="false"/>
          <w:color w:val="1C2333"/>
          <w:sz w:val="21"/>
          <w:szCs w:val="21"/>
        </w:rPr>
        <w:t xml:space="preserve">Design Space — In QbD, the multidimensional combination of process parameters and material attributes within which operation consistently produces product meeting all quality specifications.</w:t>
      </w:r>
    </w:p>
    <w:p>
      <w:pPr>
        <w:spacing w:after="120"/>
      </w:pPr>
      <w:r>
        <w:rPr>
          <w:i w:val="false"/>
          <w:iCs w:val="false"/>
          <w:color w:val="1C2333"/>
          <w:sz w:val="21"/>
          <w:szCs w:val="21"/>
        </w:rPr>
        <w:t xml:space="preserve">DiGA (Digitale Gesundheitsanwendungen) — Germany's fast-track reimbursement pathway for digital health applications (digital therapeutics), allowing provisional public insurance reimbursement while post-market evidence is generated.</w:t>
      </w:r>
    </w:p>
    <w:p>
      <w:pPr>
        <w:spacing w:after="120"/>
      </w:pPr>
      <w:r>
        <w:rPr>
          <w:i w:val="false"/>
          <w:iCs w:val="false"/>
          <w:color w:val="1C2333"/>
          <w:sz w:val="21"/>
          <w:szCs w:val="21"/>
        </w:rPr>
        <w:t xml:space="preserve">Digital Endpoint — A clinical trial measurement derived from data collected by digital technology — wearable sensors, smartphones, or connected devices — rather than traditional clinical assessment.</w:t>
      </w:r>
    </w:p>
    <w:p>
      <w:pPr>
        <w:spacing w:after="120"/>
      </w:pPr>
      <w:r>
        <w:rPr>
          <w:i w:val="false"/>
          <w:iCs w:val="false"/>
          <w:color w:val="1C2333"/>
          <w:sz w:val="21"/>
          <w:szCs w:val="21"/>
        </w:rPr>
        <w:t xml:space="preserve">Digital Therapeutic (DTx) — A software-based medical intervention that prevents, manages, or treats a disease or disorder, typically requiring clinical evidence of efficacy and regulatory oversight as SaMD.</w:t>
      </w:r>
    </w:p>
    <w:p>
      <w:pPr>
        <w:spacing w:after="120"/>
      </w:pPr>
      <w:r>
        <w:rPr>
          <w:i w:val="false"/>
          <w:iCs w:val="false"/>
          <w:color w:val="1C2333"/>
          <w:sz w:val="21"/>
          <w:szCs w:val="21"/>
        </w:rPr>
        <w:t xml:space="preserve">Digital Twin — A virtual representation of a physical system continuously updated with real-time data, used for simulation, prediction, and optimisation of the physical counterpart.</w:t>
      </w:r>
    </w:p>
    <w:p>
      <w:pPr>
        <w:spacing w:after="120"/>
      </w:pPr>
      <w:r>
        <w:rPr>
          <w:i w:val="false"/>
          <w:iCs w:val="false"/>
          <w:color w:val="1C2333"/>
          <w:sz w:val="21"/>
          <w:szCs w:val="21"/>
        </w:rPr>
        <w:t xml:space="preserve">DPDP Act (India) — Digital Personal Data Protection Act, 2023 — India's comprehensive data protection legislation governing the processing of personal digital data, including health data.</w:t>
      </w:r>
    </w:p>
    <w:p>
      <w:pPr>
        <w:spacing w:after="120"/>
      </w:pPr>
      <w:r>
        <w:rPr>
          <w:i w:val="false"/>
          <w:iCs w:val="false"/>
          <w:color w:val="1C2333"/>
          <w:sz w:val="21"/>
          <w:szCs w:val="21"/>
        </w:rPr>
        <w:t xml:space="preserve">DSCSA (Drug Supply Chain Security Act) — US federal legislation requiring pharmaceutical manufacturers, distributors, and dispensers to track and trace prescription drugs at the unit level throughout the supply chain.</w:t>
      </w:r>
    </w:p>
    <w:p>
      <w:pPr>
        <w:spacing w:after="120"/>
      </w:pPr>
      <w:r>
        <w:rPr>
          <w:i w:val="false"/>
          <w:iCs w:val="false"/>
          <w:color w:val="1C2333"/>
          <w:sz w:val="21"/>
          <w:szCs w:val="21"/>
        </w:rPr>
        <w:t xml:space="preserve">EBR (Electronic Batch Record) — A digital system for capturing, managing, and reviewing the manufacturing process documentation for each batch of pharmaceutical product, replacing paper batch records.</w:t>
      </w:r>
    </w:p>
    <w:p>
      <w:pPr>
        <w:spacing w:after="120"/>
      </w:pPr>
      <w:r>
        <w:rPr>
          <w:i w:val="false"/>
          <w:iCs w:val="false"/>
          <w:color w:val="1C2333"/>
          <w:sz w:val="21"/>
          <w:szCs w:val="21"/>
        </w:rPr>
        <w:t xml:space="preserve">eCTD (Electronic Common Technical Document) — The electronic format for regulatory submissions, required by FDA, EMA, PMDA, and other major regulatory agencies.</w:t>
      </w:r>
    </w:p>
    <w:p>
      <w:pPr>
        <w:spacing w:after="120"/>
      </w:pPr>
      <w:r>
        <w:rPr>
          <w:i w:val="false"/>
          <w:iCs w:val="false"/>
          <w:color w:val="1C2333"/>
          <w:sz w:val="21"/>
          <w:szCs w:val="21"/>
        </w:rPr>
        <w:t xml:space="preserve">EDC (Electronic Data Capture) — A system for electronic collection of clinical trial data at investigator sites, replacing paper case report forms.</w:t>
      </w:r>
    </w:p>
    <w:p>
      <w:pPr>
        <w:spacing w:after="120"/>
      </w:pPr>
      <w:r>
        <w:rPr>
          <w:i w:val="false"/>
          <w:iCs w:val="false"/>
          <w:color w:val="1C2333"/>
          <w:sz w:val="21"/>
          <w:szCs w:val="21"/>
        </w:rPr>
        <w:t xml:space="preserve">EHDS (European Health Data Space) — An EU regulatory framework adopted in 2024 enabling cross-border sharing of electronic health records and secondary use of health data for research and public health.</w:t>
      </w:r>
    </w:p>
    <w:p>
      <w:pPr>
        <w:spacing w:after="120"/>
      </w:pPr>
      <w:r>
        <w:rPr>
          <w:i w:val="false"/>
          <w:iCs w:val="false"/>
          <w:color w:val="1C2333"/>
          <w:sz w:val="21"/>
          <w:szCs w:val="21"/>
        </w:rPr>
        <w:t xml:space="preserve">ELN (Electronic Laboratory Notebook) — A software system for recording experimental data, methods, and observations in a structured, searchable, and audit-trailed format.</w:t>
      </w:r>
    </w:p>
    <w:p>
      <w:pPr>
        <w:spacing w:after="120"/>
      </w:pPr>
      <w:r>
        <w:rPr>
          <w:i w:val="false"/>
          <w:iCs w:val="false"/>
          <w:color w:val="1C2333"/>
          <w:sz w:val="21"/>
          <w:szCs w:val="21"/>
        </w:rPr>
        <w:t xml:space="preserve">eQMS (Electronic Quality Management System) — A software platform managing pharmaceutical quality processes electronically, including document control, deviation management, CAPA, change control, and audit management.</w:t>
      </w:r>
    </w:p>
    <w:p>
      <w:pPr>
        <w:spacing w:after="120"/>
      </w:pPr>
      <w:r>
        <w:rPr>
          <w:i w:val="false"/>
          <w:iCs w:val="false"/>
          <w:color w:val="1C2333"/>
          <w:sz w:val="21"/>
          <w:szCs w:val="21"/>
        </w:rPr>
        <w:t xml:space="preserve">ERP (Enterprise Resource Planning) — Integrated software managing core business functions including finance, supply chain, manufacturing, procurement, and HR. SAP S/4HANA is the dominant pharmaceutical ERP.</w:t>
      </w:r>
    </w:p>
    <w:p>
      <w:pPr>
        <w:spacing w:after="120"/>
      </w:pPr>
      <w:r>
        <w:rPr>
          <w:i w:val="false"/>
          <w:iCs w:val="false"/>
          <w:color w:val="1C2333"/>
          <w:sz w:val="21"/>
          <w:szCs w:val="21"/>
        </w:rPr>
        <w:t xml:space="preserve">FAERS (FDA Adverse Event Reporting System) — The FDA's pharmacovigilance database containing millions of adverse event reports from manufacturers, healthcare providers, and patients.</w:t>
      </w:r>
    </w:p>
    <w:p>
      <w:pPr>
        <w:spacing w:after="120"/>
      </w:pPr>
      <w:r>
        <w:rPr>
          <w:i w:val="false"/>
          <w:iCs w:val="false"/>
          <w:color w:val="1C2333"/>
          <w:sz w:val="21"/>
          <w:szCs w:val="21"/>
        </w:rPr>
        <w:t xml:space="preserve">FAIR Data Principles — Findable, Accessible, Interoperable, Reusable — a framework for organising and managing scientific data to maximise its utility for both humans and machines.</w:t>
      </w:r>
    </w:p>
    <w:p>
      <w:pPr>
        <w:spacing w:after="120"/>
      </w:pPr>
      <w:r>
        <w:rPr>
          <w:i w:val="false"/>
          <w:iCs w:val="false"/>
          <w:color w:val="1C2333"/>
          <w:sz w:val="21"/>
          <w:szCs w:val="21"/>
        </w:rPr>
        <w:t xml:space="preserve">FHIR (Fast Healthcare Interoperability Resources) — An international standard for exchanging electronic health information between healthcare systems, increasingly required for health data interoperability.</w:t>
      </w:r>
    </w:p>
    <w:p>
      <w:pPr>
        <w:spacing w:after="120"/>
      </w:pPr>
      <w:r>
        <w:rPr>
          <w:i w:val="false"/>
          <w:iCs w:val="false"/>
          <w:color w:val="1C2333"/>
          <w:sz w:val="21"/>
          <w:szCs w:val="21"/>
        </w:rPr>
        <w:t xml:space="preserve">FMD (Falsified Medicines Directive) — EU regulatory requirement for pharmaceutical serialisation and verification at the point of dispensing.</w:t>
      </w:r>
    </w:p>
    <w:p>
      <w:pPr>
        <w:spacing w:after="120"/>
      </w:pPr>
      <w:r>
        <w:rPr>
          <w:i w:val="false"/>
          <w:iCs w:val="false"/>
          <w:color w:val="1C2333"/>
          <w:sz w:val="21"/>
          <w:szCs w:val="21"/>
        </w:rPr>
        <w:t xml:space="preserve">GCC (Global Capability Centre) — A dedicated offshore facility established by a multinational company providing high-value functions such as R&amp;D, analytics, technology development, and business processes. India hosts 2,117 GCCs with 2.36M professionals (FY2026).</w:t>
      </w:r>
    </w:p>
    <w:p>
      <w:pPr>
        <w:spacing w:after="120"/>
      </w:pPr>
      <w:r>
        <w:rPr>
          <w:i w:val="false"/>
          <w:iCs w:val="false"/>
          <w:color w:val="1C2333"/>
          <w:sz w:val="21"/>
          <w:szCs w:val="21"/>
        </w:rPr>
        <w:t xml:space="preserve">GCP (Good Clinical Practice) — An international quality standard for the design, conduct, recording, and reporting of clinical trials, described in the ICH E6 guideline.</w:t>
      </w:r>
    </w:p>
    <w:p>
      <w:pPr>
        <w:spacing w:after="120"/>
      </w:pPr>
      <w:r>
        <w:rPr>
          <w:i w:val="false"/>
          <w:iCs w:val="false"/>
          <w:color w:val="1C2333"/>
          <w:sz w:val="21"/>
          <w:szCs w:val="21"/>
        </w:rPr>
        <w:t xml:space="preserve">GMP (Good Manufacturing Practice) — Regulations ensuring pharmaceutical products are consistently produced and controlled to quality standards appropriate to their intended use.</w:t>
      </w:r>
    </w:p>
    <w:p>
      <w:pPr>
        <w:spacing w:after="120"/>
      </w:pPr>
      <w:r>
        <w:rPr>
          <w:i w:val="false"/>
          <w:iCs w:val="false"/>
          <w:color w:val="1C2333"/>
          <w:sz w:val="21"/>
          <w:szCs w:val="21"/>
        </w:rPr>
        <w:t xml:space="preserve">GxP — Collective term for Good Practice regulations in pharmaceutical and life sciences industries, including GMP, GCP, GLP (Good Laboratory Practice), GDP (Good Distribution Practice), and GVP (Good Pharmacovigilance Practice).</w:t>
      </w:r>
    </w:p>
    <w:p>
      <w:pPr>
        <w:spacing w:after="120"/>
      </w:pPr>
      <w:r>
        <w:rPr>
          <w:i w:val="false"/>
          <w:iCs w:val="false"/>
          <w:color w:val="1C2333"/>
          <w:sz w:val="21"/>
          <w:szCs w:val="21"/>
        </w:rPr>
        <w:t xml:space="preserve">HCP (Healthcare Professional/Provider) — Physicians, nurses, pharmacists, and other licensed clinicians involved in patient care.</w:t>
      </w:r>
    </w:p>
    <w:p>
      <w:pPr>
        <w:spacing w:after="120"/>
      </w:pPr>
      <w:r>
        <w:rPr>
          <w:i w:val="false"/>
          <w:iCs w:val="false"/>
          <w:color w:val="1C2333"/>
          <w:sz w:val="21"/>
          <w:szCs w:val="21"/>
        </w:rPr>
        <w:t xml:space="preserve">ICSR (Individual Case Safety Report) — A pharmacovigilance report describing an adverse event experienced by an individual patient taking a pharmaceutical product.</w:t>
      </w:r>
    </w:p>
    <w:p>
      <w:pPr>
        <w:spacing w:after="120"/>
      </w:pPr>
      <w:r>
        <w:rPr>
          <w:i w:val="false"/>
          <w:iCs w:val="false"/>
          <w:color w:val="1C2333"/>
          <w:sz w:val="21"/>
          <w:szCs w:val="21"/>
        </w:rPr>
        <w:t xml:space="preserve">IDMP (Identification of Medicinal Products) — An EU/ISO structured data standard for describing pharmaceutical products in machine-readable format, required for EMA submissions.</w:t>
      </w:r>
    </w:p>
    <w:p>
      <w:pPr>
        <w:spacing w:after="120"/>
      </w:pPr>
      <w:r>
        <w:rPr>
          <w:i w:val="false"/>
          <w:iCs w:val="false"/>
          <w:color w:val="1C2333"/>
          <w:sz w:val="21"/>
          <w:szCs w:val="21"/>
        </w:rPr>
        <w:t xml:space="preserve">iPaaS (Integration Platform as a Service) — A cloud-based platform for connecting disparate applications and data sources through pre-built connectors and integration workflows. Examples: MuleSoft, Dell Boomi.</w:t>
      </w:r>
    </w:p>
    <w:p>
      <w:pPr>
        <w:spacing w:after="120"/>
      </w:pPr>
      <w:r>
        <w:rPr>
          <w:i w:val="false"/>
          <w:iCs w:val="false"/>
          <w:color w:val="1C2333"/>
          <w:sz w:val="21"/>
          <w:szCs w:val="21"/>
        </w:rPr>
        <w:t xml:space="preserve">IRT (Interactive Response Technology) — A system used in clinical trials for randomisation, patient assignment, and investigational medicinal product supply management.</w:t>
      </w:r>
    </w:p>
    <w:p>
      <w:pPr>
        <w:spacing w:after="120"/>
      </w:pPr>
      <w:r>
        <w:rPr>
          <w:i w:val="false"/>
          <w:iCs w:val="false"/>
          <w:color w:val="1C2333"/>
          <w:sz w:val="21"/>
          <w:szCs w:val="21"/>
        </w:rPr>
        <w:t xml:space="preserve">KOL (Key Opinion Leader) — A healthcare professional particularly influential in their therapeutic field through academic research, clinical leadership, and peer influence.</w:t>
      </w:r>
    </w:p>
    <w:p>
      <w:pPr>
        <w:spacing w:after="120"/>
      </w:pPr>
      <w:r>
        <w:rPr>
          <w:i w:val="false"/>
          <w:iCs w:val="false"/>
          <w:color w:val="1C2333"/>
          <w:sz w:val="21"/>
          <w:szCs w:val="21"/>
        </w:rPr>
        <w:t xml:space="preserve">LIMS (Laboratory Information Management System) — Software managing laboratory workflows, sample tracking, test results, and reporting.</w:t>
      </w:r>
    </w:p>
    <w:p>
      <w:pPr>
        <w:spacing w:after="120"/>
      </w:pPr>
      <w:r>
        <w:rPr>
          <w:i w:val="false"/>
          <w:iCs w:val="false"/>
          <w:color w:val="1C2333"/>
          <w:sz w:val="21"/>
          <w:szCs w:val="21"/>
        </w:rPr>
        <w:t xml:space="preserve">MedDRA (Medical Dictionary for Regulatory Activities) — The internationally standardised medical terminology used in regulatory submissions and pharmacovigilance.</w:t>
      </w:r>
    </w:p>
    <w:p>
      <w:pPr>
        <w:spacing w:after="120"/>
      </w:pPr>
      <w:r>
        <w:rPr>
          <w:i w:val="false"/>
          <w:iCs w:val="false"/>
          <w:color w:val="1C2333"/>
          <w:sz w:val="21"/>
          <w:szCs w:val="21"/>
        </w:rPr>
        <w:t xml:space="preserve">MES (Manufacturing Execution System) — Software managing manufacturing operations on the shopfloor including batch record management, equipment management, and production scheduling.</w:t>
      </w:r>
    </w:p>
    <w:p>
      <w:pPr>
        <w:spacing w:after="120"/>
      </w:pPr>
      <w:r>
        <w:rPr>
          <w:i w:val="false"/>
          <w:iCs w:val="false"/>
          <w:color w:val="1C2333"/>
          <w:sz w:val="21"/>
          <w:szCs w:val="21"/>
        </w:rPr>
        <w:t xml:space="preserve">MLOps (Machine Learning Operations) — The set of practices, tools, and infrastructure for reliably and efficiently deploying, monitoring, and maintaining machine learning models in production.</w:t>
      </w:r>
    </w:p>
    <w:p>
      <w:pPr>
        <w:spacing w:after="120"/>
      </w:pPr>
      <w:r>
        <w:rPr>
          <w:i w:val="false"/>
          <w:iCs w:val="false"/>
          <w:color w:val="1C2333"/>
          <w:sz w:val="21"/>
          <w:szCs w:val="21"/>
        </w:rPr>
        <w:t xml:space="preserve">MPLO (Multi-Parameter Lead Optimisation) — An AI-driven approach to medicinal chemistry that simultaneously optimises potency, selectivity, ADMET properties, and synthetic accessibility.</w:t>
      </w:r>
    </w:p>
    <w:p>
      <w:pPr>
        <w:spacing w:after="120"/>
      </w:pPr>
      <w:r>
        <w:rPr>
          <w:i w:val="false"/>
          <w:iCs w:val="false"/>
          <w:color w:val="1C2333"/>
          <w:sz w:val="21"/>
          <w:szCs w:val="21"/>
        </w:rPr>
        <w:t xml:space="preserve">NBA (Next Best Action) — An AI-driven recommendation that determines the optimal engagement action for each individual HCP based on their profile, engagement history, and behaviour patterns.</w:t>
      </w:r>
    </w:p>
    <w:p>
      <w:pPr>
        <w:spacing w:after="120"/>
      </w:pPr>
      <w:r>
        <w:rPr>
          <w:i w:val="false"/>
          <w:iCs w:val="false"/>
          <w:color w:val="1C2333"/>
          <w:sz w:val="21"/>
          <w:szCs w:val="21"/>
        </w:rPr>
        <w:t xml:space="preserve">NDHE (National Digital Health Ecosystem) — India's integrated digital health infrastructure encompassing ABDM, electronic health records, telemedicine platforms, and health analytics systems.</w:t>
      </w:r>
    </w:p>
    <w:p>
      <w:pPr>
        <w:spacing w:after="120"/>
      </w:pPr>
      <w:r>
        <w:rPr>
          <w:i w:val="false"/>
          <w:iCs w:val="false"/>
          <w:color w:val="1C2333"/>
          <w:sz w:val="21"/>
          <w:szCs w:val="21"/>
        </w:rPr>
        <w:t xml:space="preserve">NLP (Natural Language Processing) — A branch of AI enabling computers to understand, interpret, and generate human language. Widely used in PV case processing, regulatory document review, and scientific literature mining.</w:t>
      </w:r>
    </w:p>
    <w:p>
      <w:pPr>
        <w:spacing w:after="120"/>
      </w:pPr>
      <w:r>
        <w:rPr>
          <w:i w:val="false"/>
          <w:iCs w:val="false"/>
          <w:color w:val="1C2333"/>
          <w:sz w:val="21"/>
          <w:szCs w:val="21"/>
        </w:rPr>
        <w:t xml:space="preserve">OEE (Overall Equipment Effectiveness) — A manufacturing performance metric combining equipment availability, performance rate, and quality rate. World-class pharma OEE target: 85%.</w:t>
      </w:r>
    </w:p>
    <w:p>
      <w:pPr>
        <w:spacing w:after="120"/>
      </w:pPr>
      <w:r>
        <w:rPr>
          <w:i w:val="false"/>
          <w:iCs w:val="false"/>
          <w:color w:val="1C2333"/>
          <w:sz w:val="21"/>
          <w:szCs w:val="21"/>
        </w:rPr>
        <w:t xml:space="preserve">PAT (Process Analytical Technology) — A system for monitoring and controlling manufacturing processes through real-time measurement of critical quality attributes using inline, atline, or online sensors.</w:t>
      </w:r>
    </w:p>
    <w:p>
      <w:pPr>
        <w:spacing w:after="120"/>
      </w:pPr>
      <w:r>
        <w:rPr>
          <w:i w:val="false"/>
          <w:iCs w:val="false"/>
          <w:color w:val="1C2333"/>
          <w:sz w:val="21"/>
          <w:szCs w:val="21"/>
        </w:rPr>
        <w:t xml:space="preserve">PBPK (Physiologically Based Pharmacokinetic Modelling) — Mathematical modelling predicting drug absorption, distribution, metabolism, and excretion based on physiological parameters.</w:t>
      </w:r>
    </w:p>
    <w:p>
      <w:pPr>
        <w:spacing w:after="120"/>
      </w:pPr>
      <w:r>
        <w:rPr>
          <w:i w:val="false"/>
          <w:iCs w:val="false"/>
          <w:color w:val="1C2333"/>
          <w:sz w:val="21"/>
          <w:szCs w:val="21"/>
        </w:rPr>
        <w:t xml:space="preserve">PDMF (Pharma Digital Maturity Framework) — The five-level, seven-dimension maturity model introduced in Chapter 2 of this handbook.</w:t>
      </w:r>
    </w:p>
    <w:p>
      <w:pPr>
        <w:spacing w:after="120"/>
      </w:pPr>
      <w:r>
        <w:rPr>
          <w:i w:val="false"/>
          <w:iCs w:val="false"/>
          <w:color w:val="1C2333"/>
          <w:sz w:val="21"/>
          <w:szCs w:val="21"/>
        </w:rPr>
        <w:t xml:space="preserve">PLI (Production-Linked Incentive) — An Indian government scheme providing financial incentives for manufacturing companies based on incremental production and domestic value addition. $2B+ committed to pharmaceuticals.</w:t>
      </w:r>
    </w:p>
    <w:p>
      <w:pPr>
        <w:spacing w:after="120"/>
      </w:pPr>
      <w:r>
        <w:rPr>
          <w:i w:val="false"/>
          <w:iCs w:val="false"/>
          <w:color w:val="1C2333"/>
          <w:sz w:val="21"/>
          <w:szCs w:val="21"/>
        </w:rPr>
        <w:t xml:space="preserve">PV (Pharmacovigilance) — The science and activities relating to the detection, assessment, understanding, and prevention of adverse effects of pharmaceutical products.</w:t>
      </w:r>
    </w:p>
    <w:p>
      <w:pPr>
        <w:spacing w:after="120"/>
      </w:pPr>
      <w:r>
        <w:rPr>
          <w:i w:val="false"/>
          <w:iCs w:val="false"/>
          <w:color w:val="1C2333"/>
          <w:sz w:val="21"/>
          <w:szCs w:val="21"/>
        </w:rPr>
        <w:t xml:space="preserve">QbD (Quality by Design) — A systematic approach to pharmaceutical development beginning with predefined objectives and emphasising product and process understanding and process control (ICH Q8/Q9/Q10).</w:t>
      </w:r>
    </w:p>
    <w:p>
      <w:pPr>
        <w:spacing w:after="120"/>
      </w:pPr>
      <w:r>
        <w:rPr>
          <w:i w:val="false"/>
          <w:iCs w:val="false"/>
          <w:color w:val="1C2333"/>
          <w:sz w:val="21"/>
          <w:szCs w:val="21"/>
        </w:rPr>
        <w:t xml:space="preserve">RBM (Risk-Based Monitoring) — An approach to clinical trial monitoring focusing oversight effort on highest-risk data points and sites, rather than applying uniform 100% source data verification to all data.</w:t>
      </w:r>
    </w:p>
    <w:p>
      <w:pPr>
        <w:spacing w:after="120"/>
      </w:pPr>
      <w:r>
        <w:rPr>
          <w:i w:val="false"/>
          <w:iCs w:val="false"/>
          <w:color w:val="1C2333"/>
          <w:sz w:val="21"/>
          <w:szCs w:val="21"/>
        </w:rPr>
        <w:t xml:space="preserve">RIM (Regulatory Information Management) — The management of documentation and processes associated with pharmaceutical regulatory submissions and agency interactions.</w:t>
      </w:r>
    </w:p>
    <w:p>
      <w:pPr>
        <w:spacing w:after="120"/>
      </w:pPr>
      <w:r>
        <w:rPr>
          <w:i w:val="false"/>
          <w:iCs w:val="false"/>
          <w:color w:val="1C2333"/>
          <w:sz w:val="21"/>
          <w:szCs w:val="21"/>
        </w:rPr>
        <w:t xml:space="preserve">RPA (Robotic Process Automation) — Software that automates repetitive, rule-based business processes by mimicking human interactions with digital systems.</w:t>
      </w:r>
    </w:p>
    <w:p>
      <w:pPr>
        <w:spacing w:after="120"/>
      </w:pPr>
      <w:r>
        <w:rPr>
          <w:i w:val="false"/>
          <w:iCs w:val="false"/>
          <w:color w:val="1C2333"/>
          <w:sz w:val="21"/>
          <w:szCs w:val="21"/>
        </w:rPr>
        <w:t xml:space="preserve">RTRT (Real-Time Release Testing) — The ability to evaluate and ensure the quality of a pharmaceutical product based on process data collected during manufacturing, without traditional end-batch laboratory testing.</w:t>
      </w:r>
    </w:p>
    <w:p>
      <w:pPr>
        <w:spacing w:after="120"/>
      </w:pPr>
      <w:r>
        <w:rPr>
          <w:i w:val="false"/>
          <w:iCs w:val="false"/>
          <w:color w:val="1C2333"/>
          <w:sz w:val="21"/>
          <w:szCs w:val="21"/>
        </w:rPr>
        <w:t xml:space="preserve">RWE (Real-World Evidence) — Evidence generated from real-world data sources including electronic health records, claims databases, patient registries, and wearable devices, as distinct from randomised controlled trials.</w:t>
      </w:r>
    </w:p>
    <w:p>
      <w:pPr>
        <w:spacing w:after="120"/>
      </w:pPr>
      <w:r>
        <w:rPr>
          <w:i w:val="false"/>
          <w:iCs w:val="false"/>
          <w:color w:val="1C2333"/>
          <w:sz w:val="21"/>
          <w:szCs w:val="21"/>
        </w:rPr>
        <w:t xml:space="preserve">SaMD (Software as a Medical Device) — Software intended for medical purposes without being part of a physical medical device. Regulated by FDA, EMA/MDR, and other regulatory authorities.</w:t>
      </w:r>
    </w:p>
    <w:p>
      <w:pPr>
        <w:spacing w:after="120"/>
      </w:pPr>
      <w:r>
        <w:rPr>
          <w:i w:val="false"/>
          <w:iCs w:val="false"/>
          <w:color w:val="1C2333"/>
          <w:sz w:val="21"/>
          <w:szCs w:val="21"/>
        </w:rPr>
        <w:t xml:space="preserve">SAFe (Scaled Agile Framework) — A framework for scaling agile development practices across large organisations, increasingly adopted in pharma digital transformation programs.</w:t>
      </w:r>
    </w:p>
    <w:p>
      <w:pPr>
        <w:spacing w:after="120"/>
      </w:pPr>
      <w:r>
        <w:rPr>
          <w:i w:val="false"/>
          <w:iCs w:val="false"/>
          <w:color w:val="1C2333"/>
          <w:sz w:val="21"/>
          <w:szCs w:val="21"/>
        </w:rPr>
        <w:t xml:space="preserve">SFE (Sales Force Effectiveness) — The optimisation of pharmaceutical field force size, structure, territory allocation, call planning, and promotional activity.</w:t>
      </w:r>
    </w:p>
    <w:p>
      <w:pPr>
        <w:spacing w:after="120"/>
      </w:pPr>
      <w:r>
        <w:rPr>
          <w:i w:val="false"/>
          <w:iCs w:val="false"/>
          <w:color w:val="1C2333"/>
          <w:sz w:val="21"/>
          <w:szCs w:val="21"/>
        </w:rPr>
        <w:t xml:space="preserve">SUGAM — India's CDSCO online portal for pharmaceutical regulatory submissions, approvals, and communications; launched 2019 as part of India's regulatory modernisation program.</w:t>
      </w:r>
    </w:p>
    <w:p>
      <w:pPr>
        <w:spacing w:after="120"/>
      </w:pPr>
      <w:r>
        <w:rPr>
          <w:i w:val="false"/>
          <w:iCs w:val="false"/>
          <w:color w:val="1C2333"/>
          <w:sz w:val="21"/>
          <w:szCs w:val="21"/>
        </w:rPr>
        <w:t xml:space="preserve">TNIK (TRAF2- and NCK-interacting kinase) — A kinase involved in fibrotic signalling, identified by Insilico Medicine's AI as a target for idiopathic pulmonary fibrosis. INS018_055 entered Phase II trials in 2023.</w:t>
      </w:r>
    </w:p>
    <w:p>
      <w:pPr>
        <w:pStyle w:val="Heading2"/>
        <w:spacing w:after="120" w:before="240"/>
      </w:pPr>
      <w:r>
        <w:rPr>
          <w:b/>
          <w:bCs/>
          <w:color w:val="0D2B55"/>
        </w:rPr>
        <w:t xml:space="preserve">A.2 Technology Vendor Landscape</w:t>
      </w:r>
    </w:p>
    <w:p>
      <w:pPr>
        <w:spacing w:after="120"/>
      </w:pPr>
      <w:r>
        <w:rPr>
          <w:i w:val="false"/>
          <w:iCs w:val="false"/>
          <w:color w:val="1C2333"/>
          <w:sz w:val="21"/>
          <w:szCs w:val="21"/>
        </w:rPr>
        <w:t xml:space="preserve">The pharmaceutical digital transformation vendor ecosystem is large, rapidly evolving, and highly specialised. The following overview organises key vendors by capability category.</w:t>
      </w:r>
    </w:p>
    <w:p>
      <w:pPr>
        <w:spacing w:after="120"/>
      </w:pPr>
      <w:r>
        <w:rPr>
          <w:i w:val="false"/>
          <w:iCs w:val="false"/>
          <w:color w:val="1C2333"/>
          <w:sz w:val="21"/>
          <w:szCs w:val="21"/>
        </w:rPr>
        <w:t xml:space="preserve">Enterprise Platforms. SAP S/4HANA (ERP leader, dominant in large pharma), Oracle Cloud ERP (strong in mid-market), Workday (HR and Finance, growing pharma presence), Veeva Systems (life sciences cloud leader across CRM, QMS, RIM, clinical), IQVIA (data and technology services), Medidata (clinical cloud, recently acquired by Dassault Systèmes).</w:t>
      </w:r>
    </w:p>
    <w:p>
      <w:pPr>
        <w:spacing w:after="120"/>
      </w:pPr>
      <w:r>
        <w:rPr>
          <w:i w:val="false"/>
          <w:iCs w:val="false"/>
          <w:color w:val="1C2333"/>
          <w:sz w:val="21"/>
          <w:szCs w:val="21"/>
        </w:rPr>
        <w:t xml:space="preserve">Clinical Technology. Oracle/Medidata Rave (EDC leader), Veeva Vault EDC and CTMS, PAREXEL Informatics, Signant Health (eCOA/ePRO, eConsent), BioClinica (imaging and eCOA), Dassault Systèmes Biovia (scientific informatics), LabVantage (LIMS), Dotmatics (scientific platform).</w:t>
      </w:r>
    </w:p>
    <w:p>
      <w:pPr>
        <w:spacing w:after="120"/>
      </w:pPr>
      <w:r>
        <w:rPr>
          <w:i w:val="false"/>
          <w:iCs w:val="false"/>
          <w:color w:val="1C2333"/>
          <w:sz w:val="21"/>
          <w:szCs w:val="21"/>
        </w:rPr>
        <w:t xml:space="preserve">Quality Management. Veeva Vault QualityOne (market leader), MasterControl, TrackWise (Sparta Systems), ETQ Reliance, DocCompliance. For LIMS: LabVantage, STARLIMS, Thermo Fisher SampleManager.</w:t>
      </w:r>
    </w:p>
    <w:p>
      <w:pPr>
        <w:spacing w:after="120"/>
      </w:pPr>
      <w:r>
        <w:rPr>
          <w:i w:val="false"/>
          <w:iCs w:val="false"/>
          <w:color w:val="1C2333"/>
          <w:sz w:val="21"/>
          <w:szCs w:val="21"/>
        </w:rPr>
        <w:t xml:space="preserve">Manufacturing. Rockwell Automation (MES, Factory Talk), Siemens (OPCENTER MES, Opcenter QMS), Dassault Systèmes (DELMIAworks MES, BIOVIA), Werum PAS-X (pharma MES specialist), AspenTech (process optimisation), OSIsoft/AVEVA (PI System data historian), Seeq (manufacturing analytics).</w:t>
      </w:r>
    </w:p>
    <w:p>
      <w:pPr>
        <w:spacing w:after="120"/>
      </w:pPr>
      <w:r>
        <w:rPr>
          <w:i w:val="false"/>
          <w:iCs w:val="false"/>
          <w:color w:val="1C2333"/>
          <w:sz w:val="21"/>
          <w:szCs w:val="21"/>
        </w:rPr>
        <w:t xml:space="preserve">Commercial and Medical Affairs. Veeva CRM (dominant), IQVIA OCE, Salesforce Health Cloud, Cegedim Relationship Management, Aktana (AI/NBA engine), Komodo Health (real-world data), OptimizeRx (digital health engagement).</w:t>
      </w:r>
    </w:p>
    <w:p>
      <w:pPr>
        <w:spacing w:after="120"/>
      </w:pPr>
      <w:r>
        <w:rPr>
          <w:i w:val="false"/>
          <w:iCs w:val="false"/>
          <w:color w:val="1C2333"/>
          <w:sz w:val="21"/>
          <w:szCs w:val="21"/>
        </w:rPr>
        <w:t xml:space="preserve">AI/ML and Data Platforms. Databricks (lakehouse platform), Snowflake (cloud data warehouse), AWS SageMaker, Azure Machine Learning, Google Vertex AI, Palantir (data integration and analytics), Schrödinger (computational chemistry), BenevolentAI, Recursion Pharmaceuticals (incl. Exscientia), Isomorphic Labs (AI drug discovery).</w:t>
      </w:r>
    </w:p>
    <w:p>
      <w:pPr>
        <w:spacing w:after="120"/>
      </w:pPr>
      <w:r>
        <w:rPr>
          <w:i w:val="false"/>
          <w:iCs w:val="false"/>
          <w:color w:val="1C2333"/>
          <w:sz w:val="21"/>
          <w:szCs w:val="21"/>
        </w:rPr>
        <w:t xml:space="preserve">Regulatory. Veeva Vault RIM, IQVIA Regulatory Management, Lorenz docuBridge (eCTD), GlobalSubmit, Certara (regulatory science and simulations), Aris Global (regulatory intelligence), Compliance &amp; Risks.</w:t>
      </w:r>
    </w:p>
    <w:p>
      <w:pPr>
        <w:spacing w:after="120"/>
      </w:pPr>
      <w:r>
        <w:rPr>
          <w:i w:val="false"/>
          <w:iCs w:val="false"/>
          <w:color w:val="1C2333"/>
          <w:sz w:val="21"/>
          <w:szCs w:val="21"/>
        </w:rPr>
        <w:t xml:space="preserve">Digital Health and Patient. Medisafe (adherence), Propeller Health/ResMed (respiratory connected devices), Talkspace (digital mental health), Pear Therapeutics (prescription DTx), WellDoc (diabetes management DTx), Teladoc (telehealth platform).</w:t>
      </w:r>
    </w:p>
    <w:p>
      <w:pPr>
        <w:pStyle w:val="Heading2"/>
        <w:spacing w:after="120" w:before="240"/>
      </w:pPr>
      <w:r>
        <w:rPr>
          <w:b/>
          <w:bCs/>
          <w:color w:val="0D2B55"/>
        </w:rPr>
        <w:t xml:space="preserve">A.3 PDMF Self-Assessment: 20-Question Board Diagnostic</w:t>
      </w:r>
    </w:p>
    <w:p>
      <w:pPr>
        <w:spacing w:after="120"/>
      </w:pPr>
      <w:r>
        <w:rPr>
          <w:i w:val="false"/>
          <w:iCs w:val="false"/>
          <w:color w:val="1C2333"/>
          <w:sz w:val="21"/>
          <w:szCs w:val="21"/>
        </w:rPr>
        <w:t xml:space="preserve">The following questions constitute the rapid board-level digital transformation readiness diagnostic referenced throughout the handbook. Answer each honestly — not as the organisation aspires to be, but as it currently is. A score of 0–12 indicates PDMF Level 1–2 (foundational investment urgently needed); 13–16 indicates Level 2–3 (acceleration investment required); 17–20 indicates Level 3+ (optimisation and differentiation focus).</w:t>
      </w:r>
    </w:p>
    <w:p>
      <w:pPr>
        <w:spacing w:after="120"/>
      </w:pPr>
      <w:r>
        <w:rPr>
          <w:i w:val="false"/>
          <w:iCs w:val="false"/>
          <w:color w:val="1C2333"/>
          <w:sz w:val="21"/>
          <w:szCs w:val="21"/>
        </w:rPr>
        <w:t xml:space="preserve">Data Infrastructure (answer Yes/No)</w:t>
      </w:r>
    </w:p>
    <w:p>
      <w:pPr>
        <w:pStyle w:val="ListParagraph"/>
        <w:numPr>
          <w:ilvl w:val="0"/>
          <w:numId w:val="1"/>
        </w:numPr>
        <w:spacing w:after="120"/>
      </w:pPr>
      <w:r>
        <w:rPr>
          <w:color w:val="1C2333"/>
          <w:sz w:val="21"/>
          <w:szCs w:val="21"/>
        </w:rPr>
        <w:t xml:space="preserve">Does the organisation have a unified cloud data platform (data lake, warehouse, or lakehouse) that integrates data from R&amp;D, clinical, manufacturing, and commercial systems?</w:t>
      </w:r>
    </w:p>
    <w:p>
      <w:pPr>
        <w:pStyle w:val="ListParagraph"/>
        <w:numPr>
          <w:ilvl w:val="0"/>
          <w:numId w:val="1"/>
        </w:numPr>
        <w:spacing w:after="120"/>
      </w:pPr>
      <w:r>
        <w:rPr>
          <w:color w:val="1C2333"/>
          <w:sz w:val="21"/>
          <w:szCs w:val="21"/>
        </w:rPr>
        <w:t xml:space="preserve">Is there a documented enterprise data governance framework with a named data owner for each major data domain?</w:t>
      </w:r>
    </w:p>
    <w:p>
      <w:pPr>
        <w:pStyle w:val="ListParagraph"/>
        <w:numPr>
          <w:ilvl w:val="0"/>
          <w:numId w:val="1"/>
        </w:numPr>
        <w:spacing w:after="120"/>
      </w:pPr>
      <w:r>
        <w:rPr>
          <w:color w:val="1C2333"/>
          <w:sz w:val="21"/>
          <w:szCs w:val="21"/>
        </w:rPr>
        <w:t xml:space="preserve">Can a scientist search for all historical experimental data on any biological target in a single query and receive results within minutes?</w:t>
      </w:r>
    </w:p>
    <w:p>
      <w:pPr>
        <w:pStyle w:val="ListParagraph"/>
        <w:numPr>
          <w:ilvl w:val="0"/>
          <w:numId w:val="1"/>
        </w:numPr>
        <w:spacing w:after="120"/>
      </w:pPr>
      <w:r>
        <w:rPr>
          <w:color w:val="1C2333"/>
          <w:sz w:val="21"/>
          <w:szCs w:val="21"/>
        </w:rPr>
        <w:t xml:space="preserve">Has the organisation completed master data harmonisation for HCP, product, and supplier master data across all major enterprise systems?</w:t>
      </w:r>
    </w:p>
    <w:p>
      <w:pPr>
        <w:spacing w:after="120"/>
      </w:pPr>
      <w:r>
        <w:rPr>
          <w:i w:val="false"/>
          <w:iCs w:val="false"/>
          <w:color w:val="1C2333"/>
          <w:sz w:val="21"/>
          <w:szCs w:val="21"/>
        </w:rPr>
        <w:t xml:space="preserve">Analytics and AI</w:t>
      </w:r>
    </w:p>
    <w:p>
      <w:pPr>
        <w:pStyle w:val="ListParagraph"/>
        <w:numPr>
          <w:ilvl w:val="0"/>
          <w:numId w:val="1"/>
        </w:numPr>
        <w:spacing w:after="120"/>
      </w:pPr>
      <w:r>
        <w:rPr>
          <w:color w:val="1C2333"/>
          <w:sz w:val="21"/>
          <w:szCs w:val="21"/>
        </w:rPr>
        <w:t xml:space="preserve">Are AI/ML models deployed in production — not just piloted — in at least two functional domains?</w:t>
      </w:r>
    </w:p>
    <w:p>
      <w:pPr>
        <w:pStyle w:val="ListParagraph"/>
        <w:numPr>
          <w:ilvl w:val="0"/>
          <w:numId w:val="1"/>
        </w:numPr>
        <w:spacing w:after="120"/>
      </w:pPr>
      <w:r>
        <w:rPr>
          <w:color w:val="1C2333"/>
          <w:sz w:val="21"/>
          <w:szCs w:val="21"/>
        </w:rPr>
        <w:t xml:space="preserve">Does the organisation have an MLOps platform for model training, deployment, monitoring, and retraining?</w:t>
      </w:r>
    </w:p>
    <w:p>
      <w:pPr>
        <w:pStyle w:val="ListParagraph"/>
        <w:numPr>
          <w:ilvl w:val="0"/>
          <w:numId w:val="1"/>
        </w:numPr>
        <w:spacing w:after="120"/>
      </w:pPr>
      <w:r>
        <w:rPr>
          <w:color w:val="1C2333"/>
          <w:sz w:val="21"/>
          <w:szCs w:val="21"/>
        </w:rPr>
        <w:t xml:space="preserve">Are commercial field teams receiving next-best-action recommendations in their CRM system in real time?</w:t>
      </w:r>
    </w:p>
    <w:p>
      <w:pPr>
        <w:pStyle w:val="ListParagraph"/>
        <w:numPr>
          <w:ilvl w:val="0"/>
          <w:numId w:val="1"/>
        </w:numPr>
        <w:spacing w:after="120"/>
      </w:pPr>
      <w:r>
        <w:rPr>
          <w:color w:val="1C2333"/>
          <w:sz w:val="21"/>
          <w:szCs w:val="21"/>
        </w:rPr>
        <w:t xml:space="preserve">Does manufacturing use predictive analytics to identify quality risks before deviations occur?</w:t>
      </w:r>
    </w:p>
    <w:p>
      <w:pPr>
        <w:spacing w:after="120"/>
      </w:pPr>
      <w:r>
        <w:rPr>
          <w:i w:val="false"/>
          <w:iCs w:val="false"/>
          <w:color w:val="1C2333"/>
          <w:sz w:val="21"/>
          <w:szCs w:val="21"/>
        </w:rPr>
        <w:t xml:space="preserve">Digital Operations / GxP</w:t>
      </w:r>
    </w:p>
    <w:p>
      <w:pPr>
        <w:pStyle w:val="ListParagraph"/>
        <w:numPr>
          <w:ilvl w:val="0"/>
          <w:numId w:val="1"/>
        </w:numPr>
        <w:spacing w:after="120"/>
      </w:pPr>
      <w:r>
        <w:rPr>
          <w:color w:val="1C2333"/>
          <w:sz w:val="21"/>
          <w:szCs w:val="21"/>
        </w:rPr>
        <w:t xml:space="preserve">Are electronic batch records deployed at all major manufacturing facilities, replacing paper batch records?</w:t>
      </w:r>
    </w:p>
    <w:p>
      <w:pPr>
        <w:pStyle w:val="ListParagraph"/>
        <w:numPr>
          <w:ilvl w:val="0"/>
          <w:numId w:val="1"/>
        </w:numPr>
        <w:spacing w:after="120"/>
      </w:pPr>
      <w:r>
        <w:rPr>
          <w:color w:val="1C2333"/>
          <w:sz w:val="21"/>
          <w:szCs w:val="21"/>
        </w:rPr>
        <w:t xml:space="preserve">Is an electronic QMS in production across all manufacturing and quality functions, with integrated deviation, CAPA, and change control management?</w:t>
      </w:r>
    </w:p>
    <w:p>
      <w:pPr>
        <w:pStyle w:val="ListParagraph"/>
        <w:numPr>
          <w:ilvl w:val="0"/>
          <w:numId w:val="1"/>
        </w:numPr>
        <w:spacing w:after="120"/>
      </w:pPr>
      <w:r>
        <w:rPr>
          <w:color w:val="1C2333"/>
          <w:sz w:val="21"/>
          <w:szCs w:val="21"/>
        </w:rPr>
        <w:t xml:space="preserve">Are GxP computer systems validated using a risk-based approach (CSA/GAMP5 2nd edition) that is current with FDA and EMA expectations?</w:t>
      </w:r>
    </w:p>
    <w:p>
      <w:pPr>
        <w:pStyle w:val="ListParagraph"/>
        <w:numPr>
          <w:ilvl w:val="0"/>
          <w:numId w:val="1"/>
        </w:numPr>
        <w:spacing w:after="120"/>
      </w:pPr>
      <w:r>
        <w:rPr>
          <w:color w:val="1C2333"/>
          <w:sz w:val="21"/>
          <w:szCs w:val="21"/>
        </w:rPr>
        <w:t xml:space="preserve">Has the organisation completed an assessment of OT cybersecurity risk at manufacturing sites?</w:t>
      </w:r>
    </w:p>
    <w:p>
      <w:pPr>
        <w:spacing w:after="120"/>
      </w:pPr>
      <w:r>
        <w:rPr>
          <w:i w:val="false"/>
          <w:iCs w:val="false"/>
          <w:color w:val="1C2333"/>
          <w:sz w:val="21"/>
          <w:szCs w:val="21"/>
        </w:rPr>
        <w:t xml:space="preserve">Patient and Customer Centricity</w:t>
      </w:r>
    </w:p>
    <w:p>
      <w:pPr>
        <w:pStyle w:val="ListParagraph"/>
        <w:numPr>
          <w:ilvl w:val="0"/>
          <w:numId w:val="1"/>
        </w:numPr>
        <w:spacing w:after="120"/>
      </w:pPr>
      <w:r>
        <w:rPr>
          <w:color w:val="1C2333"/>
          <w:sz w:val="21"/>
          <w:szCs w:val="21"/>
        </w:rPr>
        <w:t xml:space="preserve">Does the organisation have an integrated omnichannel commercial platform connecting field, remote, and digital engagement channels?</w:t>
      </w:r>
    </w:p>
    <w:p>
      <w:pPr>
        <w:pStyle w:val="ListParagraph"/>
        <w:numPr>
          <w:ilvl w:val="0"/>
          <w:numId w:val="1"/>
        </w:numPr>
        <w:spacing w:after="120"/>
      </w:pPr>
      <w:r>
        <w:rPr>
          <w:color w:val="1C2333"/>
          <w:sz w:val="21"/>
          <w:szCs w:val="21"/>
        </w:rPr>
        <w:t xml:space="preserve">Are patient support programs digital-first, with mobile app as primary patient interface and adherence data capture?</w:t>
      </w:r>
    </w:p>
    <w:p>
      <w:pPr>
        <w:pStyle w:val="ListParagraph"/>
        <w:numPr>
          <w:ilvl w:val="0"/>
          <w:numId w:val="1"/>
        </w:numPr>
        <w:spacing w:after="120"/>
      </w:pPr>
      <w:r>
        <w:rPr>
          <w:color w:val="1C2333"/>
          <w:sz w:val="21"/>
          <w:szCs w:val="21"/>
        </w:rPr>
        <w:t xml:space="preserve">Has the organisation submitted a regulatory approval application incorporating real-world evidence in any of the past three years?</w:t>
      </w:r>
    </w:p>
    <w:p>
      <w:pPr>
        <w:spacing w:after="120"/>
      </w:pPr>
      <w:r>
        <w:rPr>
          <w:i w:val="false"/>
          <w:iCs w:val="false"/>
          <w:color w:val="1C2333"/>
          <w:sz w:val="21"/>
          <w:szCs w:val="21"/>
        </w:rPr>
        <w:t xml:space="preserve">Regulatory and Workforce</w:t>
      </w:r>
    </w:p>
    <w:p>
      <w:pPr>
        <w:pStyle w:val="ListParagraph"/>
        <w:numPr>
          <w:ilvl w:val="0"/>
          <w:numId w:val="1"/>
        </w:numPr>
        <w:spacing w:after="120"/>
      </w:pPr>
      <w:r>
        <w:rPr>
          <w:color w:val="1C2333"/>
          <w:sz w:val="21"/>
          <w:szCs w:val="21"/>
        </w:rPr>
        <w:t xml:space="preserve">Is regulatory information management (RIM) centralised in a single platform with real-time visibility into all submission deadlines and post-approval commitments?</w:t>
      </w:r>
    </w:p>
    <w:p>
      <w:pPr>
        <w:pStyle w:val="ListParagraph"/>
        <w:numPr>
          <w:ilvl w:val="0"/>
          <w:numId w:val="1"/>
        </w:numPr>
        <w:spacing w:after="120"/>
      </w:pPr>
      <w:r>
        <w:rPr>
          <w:color w:val="1C2333"/>
          <w:sz w:val="21"/>
          <w:szCs w:val="21"/>
        </w:rPr>
        <w:t xml:space="preserve">Has the organisation defined and filled a Chief Digital Officer or equivalent role with enterprise mandate and budget authority?</w:t>
      </w:r>
    </w:p>
    <w:p>
      <w:pPr>
        <w:pStyle w:val="ListParagraph"/>
        <w:numPr>
          <w:ilvl w:val="0"/>
          <w:numId w:val="1"/>
        </w:numPr>
        <w:spacing w:after="120"/>
      </w:pPr>
      <w:r>
        <w:rPr>
          <w:color w:val="1C2333"/>
          <w:sz w:val="21"/>
          <w:szCs w:val="21"/>
        </w:rPr>
        <w:t xml:space="preserve">Is there a digital academy or equivalent structured programme building digital literacy across all functions?</w:t>
      </w:r>
    </w:p>
    <w:p>
      <w:pPr>
        <w:pStyle w:val="ListParagraph"/>
        <w:numPr>
          <w:ilvl w:val="0"/>
          <w:numId w:val="1"/>
        </w:numPr>
        <w:spacing w:after="120"/>
      </w:pPr>
      <w:r>
        <w:rPr>
          <w:color w:val="1C2333"/>
          <w:sz w:val="21"/>
          <w:szCs w:val="21"/>
        </w:rPr>
        <w:t xml:space="preserve">Has the board reviewed the enterprise digital transformation roadmap and approved a multi-year investment commitment in the past 18 months?</w:t>
      </w:r>
    </w:p>
    <w:p>
      <w:pPr>
        <w:pStyle w:val="ListParagraph"/>
        <w:numPr>
          <w:ilvl w:val="0"/>
          <w:numId w:val="1"/>
        </w:numPr>
        <w:spacing w:after="120"/>
      </w:pPr>
      <w:r>
        <w:rPr>
          <w:color w:val="1C2333"/>
          <w:sz w:val="21"/>
          <w:szCs w:val="21"/>
        </w:rPr>
        <w:t xml:space="preserve">Does the organisation benchmark its digital maturity against peers annually and have a clear plan to close identified gaps?</w:t>
      </w:r>
    </w:p>
    <w:p>
      <w:pPr>
        <w:pStyle w:val="Heading2"/>
        <w:spacing w:after="120" w:before="240"/>
      </w:pPr>
      <w:r>
        <w:rPr>
          <w:b/>
          <w:bCs/>
          <w:color w:val="0D2B55"/>
        </w:rPr>
        <w:t xml:space="preserve">A.4 Digital Transformation KPI Framework</w:t>
      </w:r>
    </w:p>
    <w:p>
      <w:pPr>
        <w:spacing w:after="120"/>
      </w:pPr>
      <w:r>
        <w:rPr>
          <w:i w:val="false"/>
          <w:iCs w:val="false"/>
          <w:color w:val="1C2333"/>
          <w:sz w:val="21"/>
          <w:szCs w:val="21"/>
        </w:rPr>
        <w:t xml:space="preserve">The following KPI framework, organised by functional domain, provides a starting point for building the transformation scorecard described in Chapter 13. Each KPI should be baselined at the start of the transformation program, with targets set for each horizon.</w:t>
      </w:r>
    </w:p>
    <w:p>
      <w:pPr>
        <w:spacing w:after="120"/>
      </w:pPr>
      <w:r>
        <w:rPr>
          <w:i w:val="false"/>
          <w:iCs w:val="false"/>
          <w:color w:val="1C2333"/>
          <w:sz w:val="21"/>
          <w:szCs w:val="21"/>
        </w:rPr>
        <w:t xml:space="preserve">R&amp;D and Drug Discovery</w:t>
      </w:r>
    </w:p>
    <w:p>
      <w:pPr>
        <w:pStyle w:val="ListParagraph"/>
        <w:numPr>
          <w:ilvl w:val="0"/>
          <w:numId w:val="1"/>
        </w:numPr>
        <w:spacing w:after="120"/>
      </w:pPr>
      <w:r>
        <w:rPr>
          <w:color w:val="1C2333"/>
          <w:sz w:val="21"/>
          <w:szCs w:val="21"/>
        </w:rPr>
        <w:t xml:space="preserve">Discovery cycle time: first hypothesis to preclinical candidate nomination (target: 30–50% reduction)</w:t>
      </w:r>
    </w:p>
    <w:p>
      <w:pPr>
        <w:pStyle w:val="ListParagraph"/>
        <w:numPr>
          <w:ilvl w:val="0"/>
          <w:numId w:val="1"/>
        </w:numPr>
        <w:spacing w:after="120"/>
      </w:pPr>
      <w:r>
        <w:rPr>
          <w:color w:val="1C2333"/>
          <w:sz w:val="21"/>
          <w:szCs w:val="21"/>
        </w:rPr>
        <w:t xml:space="preserve">Screening hit rate: % compounds meeting initial potency/selectivity criteria</w:t>
      </w:r>
    </w:p>
    <w:p>
      <w:pPr>
        <w:pStyle w:val="ListParagraph"/>
        <w:numPr>
          <w:ilvl w:val="0"/>
          <w:numId w:val="1"/>
        </w:numPr>
        <w:spacing w:after="120"/>
      </w:pPr>
      <w:r>
        <w:rPr>
          <w:color w:val="1C2333"/>
          <w:sz w:val="21"/>
          <w:szCs w:val="21"/>
        </w:rPr>
        <w:t xml:space="preserve">Computational prediction accuracy: ADMET model concordance with experimental results</w:t>
      </w:r>
    </w:p>
    <w:p>
      <w:pPr>
        <w:pStyle w:val="ListParagraph"/>
        <w:numPr>
          <w:ilvl w:val="0"/>
          <w:numId w:val="1"/>
        </w:numPr>
        <w:spacing w:after="120"/>
      </w:pPr>
      <w:r>
        <w:rPr>
          <w:color w:val="1C2333"/>
          <w:sz w:val="21"/>
          <w:szCs w:val="21"/>
        </w:rPr>
        <w:t xml:space="preserve">Data scientist FTEs as % of R&amp;D headcount (target: 8–12% in leading organisations)</w:t>
      </w:r>
    </w:p>
    <w:p>
      <w:pPr>
        <w:spacing w:after="120"/>
      </w:pPr>
      <w:r>
        <w:rPr>
          <w:i w:val="false"/>
          <w:iCs w:val="false"/>
          <w:color w:val="1C2333"/>
          <w:sz w:val="21"/>
          <w:szCs w:val="21"/>
        </w:rPr>
        <w:t xml:space="preserve">Clinical Operations</w:t>
      </w:r>
    </w:p>
    <w:p>
      <w:pPr>
        <w:pStyle w:val="ListParagraph"/>
        <w:numPr>
          <w:ilvl w:val="0"/>
          <w:numId w:val="1"/>
        </w:numPr>
        <w:spacing w:after="120"/>
      </w:pPr>
      <w:r>
        <w:rPr>
          <w:color w:val="1C2333"/>
          <w:sz w:val="21"/>
          <w:szCs w:val="21"/>
        </w:rPr>
        <w:t xml:space="preserve">Patient recruitment cycle time: protocol approval to last patient enrolled (target: 30% reduction)</w:t>
      </w:r>
    </w:p>
    <w:p>
      <w:pPr>
        <w:pStyle w:val="ListParagraph"/>
        <w:numPr>
          <w:ilvl w:val="0"/>
          <w:numId w:val="1"/>
        </w:numPr>
        <w:spacing w:after="120"/>
      </w:pPr>
      <w:r>
        <w:rPr>
          <w:color w:val="1C2333"/>
          <w:sz w:val="21"/>
          <w:szCs w:val="21"/>
        </w:rPr>
        <w:t xml:space="preserve">Cost per enrolled patient (target: 20% reduction via DCT)</w:t>
      </w:r>
    </w:p>
    <w:p>
      <w:pPr>
        <w:pStyle w:val="ListParagraph"/>
        <w:numPr>
          <w:ilvl w:val="0"/>
          <w:numId w:val="1"/>
        </w:numPr>
        <w:spacing w:after="120"/>
      </w:pPr>
      <w:r>
        <w:rPr>
          <w:color w:val="1C2333"/>
          <w:sz w:val="21"/>
          <w:szCs w:val="21"/>
        </w:rPr>
        <w:t xml:space="preserve">Data query rate per patient: lower is better (target: &lt;5% query rate)</w:t>
      </w:r>
    </w:p>
    <w:p>
      <w:pPr>
        <w:pStyle w:val="ListParagraph"/>
        <w:numPr>
          <w:ilvl w:val="0"/>
          <w:numId w:val="1"/>
        </w:numPr>
        <w:spacing w:after="120"/>
      </w:pPr>
      <w:r>
        <w:rPr>
          <w:color w:val="1C2333"/>
          <w:sz w:val="21"/>
          <w:szCs w:val="21"/>
        </w:rPr>
        <w:t xml:space="preserve">Database lock to submission cycle time (target: 50% reduction with automation)</w:t>
      </w:r>
    </w:p>
    <w:p>
      <w:pPr>
        <w:spacing w:after="120"/>
      </w:pPr>
      <w:r>
        <w:rPr>
          <w:i w:val="false"/>
          <w:iCs w:val="false"/>
          <w:color w:val="1C2333"/>
          <w:sz w:val="21"/>
          <w:szCs w:val="21"/>
        </w:rPr>
        <w:t xml:space="preserve">Manufacturing</w:t>
      </w:r>
    </w:p>
    <w:p>
      <w:pPr>
        <w:pStyle w:val="ListParagraph"/>
        <w:numPr>
          <w:ilvl w:val="0"/>
          <w:numId w:val="1"/>
        </w:numPr>
        <w:spacing w:after="120"/>
      </w:pPr>
      <w:r>
        <w:rPr>
          <w:color w:val="1C2333"/>
          <w:sz w:val="21"/>
          <w:szCs w:val="21"/>
        </w:rPr>
        <w:t xml:space="preserve">Overall Equipment Effectiveness (OEE): target 80–85%</w:t>
      </w:r>
    </w:p>
    <w:p>
      <w:pPr>
        <w:pStyle w:val="ListParagraph"/>
        <w:numPr>
          <w:ilvl w:val="0"/>
          <w:numId w:val="1"/>
        </w:numPr>
        <w:spacing w:after="120"/>
      </w:pPr>
      <w:r>
        <w:rPr>
          <w:color w:val="1C2333"/>
          <w:sz w:val="21"/>
          <w:szCs w:val="21"/>
        </w:rPr>
        <w:t xml:space="preserve">Batch right-first-time rate (target: &gt;95%)</w:t>
      </w:r>
    </w:p>
    <w:p>
      <w:pPr>
        <w:pStyle w:val="ListParagraph"/>
        <w:numPr>
          <w:ilvl w:val="0"/>
          <w:numId w:val="1"/>
        </w:numPr>
        <w:spacing w:after="120"/>
      </w:pPr>
      <w:r>
        <w:rPr>
          <w:color w:val="1C2333"/>
          <w:sz w:val="21"/>
          <w:szCs w:val="21"/>
        </w:rPr>
        <w:t xml:space="preserve">Batch cycle time from completion to release (target: 40% reduction)</w:t>
      </w:r>
    </w:p>
    <w:p>
      <w:pPr>
        <w:pStyle w:val="ListParagraph"/>
        <w:numPr>
          <w:ilvl w:val="0"/>
          <w:numId w:val="1"/>
        </w:numPr>
        <w:spacing w:after="120"/>
      </w:pPr>
      <w:r>
        <w:rPr>
          <w:color w:val="1C2333"/>
          <w:sz w:val="21"/>
          <w:szCs w:val="21"/>
        </w:rPr>
        <w:t xml:space="preserve">Deviation rate per 1,000 batches (target: 20–30% reduction)</w:t>
      </w:r>
    </w:p>
    <w:p>
      <w:pPr>
        <w:spacing w:after="120"/>
      </w:pPr>
      <w:r>
        <w:rPr>
          <w:i w:val="false"/>
          <w:iCs w:val="false"/>
          <w:color w:val="1C2333"/>
          <w:sz w:val="21"/>
          <w:szCs w:val="21"/>
        </w:rPr>
        <w:t xml:space="preserve">Quality</w:t>
      </w:r>
    </w:p>
    <w:p>
      <w:pPr>
        <w:pStyle w:val="ListParagraph"/>
        <w:numPr>
          <w:ilvl w:val="0"/>
          <w:numId w:val="1"/>
        </w:numPr>
        <w:spacing w:after="120"/>
      </w:pPr>
      <w:r>
        <w:rPr>
          <w:color w:val="1C2333"/>
          <w:sz w:val="21"/>
          <w:szCs w:val="21"/>
        </w:rPr>
        <w:t xml:space="preserve">CAPA closure cycle time (target: &lt;30 days for critical CAPAs)</w:t>
      </w:r>
    </w:p>
    <w:p>
      <w:pPr>
        <w:pStyle w:val="ListParagraph"/>
        <w:numPr>
          <w:ilvl w:val="0"/>
          <w:numId w:val="1"/>
        </w:numPr>
        <w:spacing w:after="120"/>
      </w:pPr>
      <w:r>
        <w:rPr>
          <w:color w:val="1C2333"/>
          <w:sz w:val="21"/>
          <w:szCs w:val="21"/>
        </w:rPr>
        <w:t xml:space="preserve">Recurring deviation rate (% deviations that are repeat occurrences): target &lt;10%</w:t>
      </w:r>
    </w:p>
    <w:p>
      <w:pPr>
        <w:pStyle w:val="ListParagraph"/>
        <w:numPr>
          <w:ilvl w:val="0"/>
          <w:numId w:val="1"/>
        </w:numPr>
        <w:spacing w:after="120"/>
      </w:pPr>
      <w:r>
        <w:rPr>
          <w:color w:val="1C2333"/>
          <w:sz w:val="21"/>
          <w:szCs w:val="21"/>
        </w:rPr>
        <w:t xml:space="preserve">eQMS adoption: % quality processes managed electronically (target: 100%)</w:t>
      </w:r>
    </w:p>
    <w:p>
      <w:pPr>
        <w:pStyle w:val="ListParagraph"/>
        <w:numPr>
          <w:ilvl w:val="0"/>
          <w:numId w:val="1"/>
        </w:numPr>
        <w:spacing w:after="120"/>
      </w:pPr>
      <w:r>
        <w:rPr>
          <w:color w:val="1C2333"/>
          <w:sz w:val="21"/>
          <w:szCs w:val="21"/>
        </w:rPr>
        <w:t xml:space="preserve">Time to retrieve any GxP record: target &lt;5 minutes</w:t>
      </w:r>
    </w:p>
    <w:p>
      <w:pPr>
        <w:spacing w:after="120"/>
      </w:pPr>
      <w:r>
        <w:rPr>
          <w:i w:val="false"/>
          <w:iCs w:val="false"/>
          <w:color w:val="1C2333"/>
          <w:sz w:val="21"/>
          <w:szCs w:val="21"/>
        </w:rPr>
        <w:t xml:space="preserve">Regulatory</w:t>
      </w:r>
    </w:p>
    <w:p>
      <w:pPr>
        <w:pStyle w:val="ListParagraph"/>
        <w:numPr>
          <w:ilvl w:val="0"/>
          <w:numId w:val="1"/>
        </w:numPr>
        <w:spacing w:after="120"/>
      </w:pPr>
      <w:r>
        <w:rPr>
          <w:color w:val="1C2333"/>
          <w:sz w:val="21"/>
          <w:szCs w:val="21"/>
        </w:rPr>
        <w:t xml:space="preserve">Submission cycle time: data lock to eCTD submission (target: 6–9 months for NDA/MAA)</w:t>
      </w:r>
    </w:p>
    <w:p>
      <w:pPr>
        <w:pStyle w:val="ListParagraph"/>
        <w:numPr>
          <w:ilvl w:val="0"/>
          <w:numId w:val="1"/>
        </w:numPr>
        <w:spacing w:after="120"/>
      </w:pPr>
      <w:r>
        <w:rPr>
          <w:color w:val="1C2333"/>
          <w:sz w:val="21"/>
          <w:szCs w:val="21"/>
        </w:rPr>
        <w:t xml:space="preserve">First-cycle approval rate (no major complete response letter): target &gt;70%</w:t>
      </w:r>
    </w:p>
    <w:p>
      <w:pPr>
        <w:pStyle w:val="ListParagraph"/>
        <w:numPr>
          <w:ilvl w:val="0"/>
          <w:numId w:val="1"/>
        </w:numPr>
        <w:spacing w:after="120"/>
      </w:pPr>
      <w:r>
        <w:rPr>
          <w:color w:val="1C2333"/>
          <w:sz w:val="21"/>
          <w:szCs w:val="21"/>
        </w:rPr>
        <w:t xml:space="preserve">PV case processing cycle time: ICSR from receipt to E2B submission (target: &lt;5 days)</w:t>
      </w:r>
    </w:p>
    <w:p>
      <w:pPr>
        <w:pStyle w:val="ListParagraph"/>
        <w:numPr>
          <w:ilvl w:val="0"/>
          <w:numId w:val="1"/>
        </w:numPr>
        <w:spacing w:after="120"/>
      </w:pPr>
      <w:r>
        <w:rPr>
          <w:color w:val="1C2333"/>
          <w:sz w:val="21"/>
          <w:szCs w:val="21"/>
        </w:rPr>
        <w:t xml:space="preserve">Regulatory intelligence coverage: % of relevant agency publications reviewed within 5 business days</w:t>
      </w:r>
    </w:p>
    <w:p>
      <w:pPr>
        <w:spacing w:after="120"/>
      </w:pPr>
      <w:r>
        <w:rPr>
          <w:i w:val="false"/>
          <w:iCs w:val="false"/>
          <w:color w:val="1C2333"/>
          <w:sz w:val="21"/>
          <w:szCs w:val="21"/>
        </w:rPr>
        <w:t xml:space="preserve">Commercial</w:t>
      </w:r>
    </w:p>
    <w:p>
      <w:pPr>
        <w:pStyle w:val="ListParagraph"/>
        <w:numPr>
          <w:ilvl w:val="0"/>
          <w:numId w:val="1"/>
        </w:numPr>
        <w:spacing w:after="120"/>
      </w:pPr>
      <w:r>
        <w:rPr>
          <w:color w:val="1C2333"/>
          <w:sz w:val="21"/>
          <w:szCs w:val="21"/>
        </w:rPr>
        <w:t xml:space="preserve">Field force call quality score (HCP survey): target &gt;7.5/10</w:t>
      </w:r>
    </w:p>
    <w:p>
      <w:pPr>
        <w:pStyle w:val="ListParagraph"/>
        <w:numPr>
          <w:ilvl w:val="0"/>
          <w:numId w:val="1"/>
        </w:numPr>
        <w:spacing w:after="120"/>
      </w:pPr>
      <w:r>
        <w:rPr>
          <w:color w:val="1C2333"/>
          <w:sz w:val="21"/>
          <w:szCs w:val="21"/>
        </w:rPr>
        <w:t xml:space="preserve">Digital channel engagement rate: % target HCPs engaged via approved digital channels monthly</w:t>
      </w:r>
    </w:p>
    <w:p>
      <w:pPr>
        <w:pStyle w:val="ListParagraph"/>
        <w:numPr>
          <w:ilvl w:val="0"/>
          <w:numId w:val="1"/>
        </w:numPr>
        <w:spacing w:after="120"/>
      </w:pPr>
      <w:r>
        <w:rPr>
          <w:color w:val="1C2333"/>
          <w:sz w:val="21"/>
          <w:szCs w:val="21"/>
        </w:rPr>
        <w:t xml:space="preserve">Next-best-action adoption rate: % field team members acting on NBA recommendations</w:t>
      </w:r>
    </w:p>
    <w:p>
      <w:pPr>
        <w:pStyle w:val="ListParagraph"/>
        <w:numPr>
          <w:ilvl w:val="0"/>
          <w:numId w:val="1"/>
        </w:numPr>
        <w:spacing w:after="120"/>
      </w:pPr>
      <w:r>
        <w:rPr>
          <w:color w:val="1C2333"/>
          <w:sz w:val="21"/>
          <w:szCs w:val="21"/>
        </w:rPr>
        <w:t xml:space="preserve">Market share in target segments: trend vs. prior year</w:t>
      </w:r>
    </w:p>
    <w:p>
      <w:pPr>
        <w:spacing w:after="120"/>
      </w:pPr>
      <w:r>
        <w:rPr>
          <w:i w:val="false"/>
          <w:iCs w:val="false"/>
          <w:color w:val="1C2333"/>
          <w:sz w:val="21"/>
          <w:szCs w:val="21"/>
        </w:rPr>
        <w:t xml:space="preserve">Enterprise</w:t>
      </w:r>
    </w:p>
    <w:p>
      <w:pPr>
        <w:pStyle w:val="ListParagraph"/>
        <w:numPr>
          <w:ilvl w:val="0"/>
          <w:numId w:val="1"/>
        </w:numPr>
        <w:spacing w:after="120"/>
      </w:pPr>
      <w:r>
        <w:rPr>
          <w:color w:val="1C2333"/>
          <w:sz w:val="21"/>
          <w:szCs w:val="21"/>
        </w:rPr>
        <w:t xml:space="preserve">Monthly financial close cycle time (target: ≤5 days)</w:t>
      </w:r>
    </w:p>
    <w:p>
      <w:pPr>
        <w:pStyle w:val="ListParagraph"/>
        <w:numPr>
          <w:ilvl w:val="0"/>
          <w:numId w:val="1"/>
        </w:numPr>
        <w:spacing w:after="120"/>
      </w:pPr>
      <w:r>
        <w:rPr>
          <w:color w:val="1C2333"/>
          <w:sz w:val="21"/>
          <w:szCs w:val="21"/>
        </w:rPr>
        <w:t xml:space="preserve">Data quality index: % records meeting defined quality standards (target: &gt;95%)</w:t>
      </w:r>
    </w:p>
    <w:p>
      <w:pPr>
        <w:pStyle w:val="ListParagraph"/>
        <w:numPr>
          <w:ilvl w:val="0"/>
          <w:numId w:val="1"/>
        </w:numPr>
        <w:spacing w:after="120"/>
      </w:pPr>
      <w:r>
        <w:rPr>
          <w:color w:val="1C2333"/>
          <w:sz w:val="21"/>
          <w:szCs w:val="21"/>
        </w:rPr>
        <w:t xml:space="preserve">Digital talent as % of total headcount (target: 8–12% in mature transformation)</w:t>
      </w:r>
    </w:p>
    <w:p>
      <w:pPr>
        <w:pStyle w:val="ListParagraph"/>
        <w:numPr>
          <w:ilvl w:val="0"/>
          <w:numId w:val="1"/>
        </w:numPr>
        <w:spacing w:after="120"/>
      </w:pPr>
      <w:r>
        <w:rPr>
          <w:color w:val="1C2333"/>
          <w:sz w:val="21"/>
          <w:szCs w:val="21"/>
        </w:rPr>
        <w:t xml:space="preserve">Cybersecurity maturity score vs. NIST CSF (target: Level 3 across all five functions)</w:t>
      </w:r>
    </w:p>
    <w:p>
      <w:pPr>
        <w:pStyle w:val="Heading2"/>
        <w:spacing w:after="120" w:before="240"/>
      </w:pPr>
      <w:r>
        <w:rPr>
          <w:b/>
          <w:bCs/>
          <w:color w:val="0D2B55"/>
        </w:rPr>
        <w:t xml:space="preserve">A.5 References and Further Reading</w:t>
      </w:r>
    </w:p>
    <w:p>
      <w:pPr>
        <w:spacing w:after="120"/>
      </w:pPr>
      <w:r>
        <w:rPr>
          <w:i w:val="false"/>
          <w:iCs w:val="false"/>
          <w:color w:val="1C2333"/>
          <w:sz w:val="21"/>
          <w:szCs w:val="21"/>
        </w:rPr>
        <w:t xml:space="preserve">Strategic Transformation</w:t>
      </w:r>
    </w:p>
    <w:p>
      <w:pPr>
        <w:pStyle w:val="ListParagraph"/>
        <w:numPr>
          <w:ilvl w:val="0"/>
          <w:numId w:val="1"/>
        </w:numPr>
        <w:spacing w:after="120"/>
      </w:pPr>
      <w:r>
        <w:rPr>
          <w:color w:val="1C2333"/>
          <w:sz w:val="21"/>
          <w:szCs w:val="21"/>
        </w:rPr>
        <w:t xml:space="preserve">Narasimhan, V. (2020). "Reimagining Medicine as a Data Science Company." Novartis Annual Report.</w:t>
      </w:r>
    </w:p>
    <w:p>
      <w:pPr>
        <w:pStyle w:val="ListParagraph"/>
        <w:numPr>
          <w:ilvl w:val="0"/>
          <w:numId w:val="1"/>
        </w:numPr>
        <w:spacing w:after="120"/>
      </w:pPr>
      <w:r>
        <w:rPr>
          <w:color w:val="1C2333"/>
          <w:sz w:val="21"/>
          <w:szCs w:val="21"/>
        </w:rPr>
        <w:t xml:space="preserve">McKinsey Global Institute (2020). "The Bio Revolution." McKinsey &amp; Company.</w:t>
      </w:r>
    </w:p>
    <w:p>
      <w:pPr>
        <w:pStyle w:val="ListParagraph"/>
        <w:numPr>
          <w:ilvl w:val="0"/>
          <w:numId w:val="1"/>
        </w:numPr>
        <w:spacing w:after="120"/>
      </w:pPr>
      <w:r>
        <w:rPr>
          <w:color w:val="1C2333"/>
          <w:sz w:val="21"/>
          <w:szCs w:val="21"/>
        </w:rPr>
        <w:t xml:space="preserve">Scannell, J.W. et al. (2012). "Diagnosing the decline in pharmaceutical R&amp;D efficiency." Nature Reviews Drug Discovery, 11, 191–200.</w:t>
      </w:r>
    </w:p>
    <w:p>
      <w:pPr>
        <w:pStyle w:val="ListParagraph"/>
        <w:numPr>
          <w:ilvl w:val="0"/>
          <w:numId w:val="1"/>
        </w:numPr>
        <w:spacing w:after="120"/>
      </w:pPr>
      <w:r>
        <w:rPr>
          <w:color w:val="1C2333"/>
          <w:sz w:val="21"/>
          <w:szCs w:val="21"/>
        </w:rPr>
        <w:t xml:space="preserve">BCG (2023). "AI in Pharma: From Promise to Pipeline." Boston Consulting Group.</w:t>
      </w:r>
    </w:p>
    <w:p>
      <w:pPr>
        <w:pStyle w:val="ListParagraph"/>
        <w:numPr>
          <w:ilvl w:val="0"/>
          <w:numId w:val="1"/>
        </w:numPr>
        <w:spacing w:after="120"/>
      </w:pPr>
      <w:r>
        <w:rPr>
          <w:color w:val="1C2333"/>
          <w:sz w:val="21"/>
          <w:szCs w:val="21"/>
        </w:rPr>
        <w:t xml:space="preserve">Deloitte (2024). "Digital Pharma Index 2024." Deloitte Life Sciences.</w:t>
      </w:r>
    </w:p>
    <w:p>
      <w:pPr>
        <w:spacing w:after="120"/>
      </w:pPr>
      <w:r>
        <w:rPr>
          <w:i w:val="false"/>
          <w:iCs w:val="false"/>
          <w:color w:val="1C2333"/>
          <w:sz w:val="21"/>
          <w:szCs w:val="21"/>
        </w:rPr>
        <w:t xml:space="preserve">R&amp;D and Drug Discovery</w:t>
      </w:r>
    </w:p>
    <w:p>
      <w:pPr>
        <w:pStyle w:val="ListParagraph"/>
        <w:numPr>
          <w:ilvl w:val="0"/>
          <w:numId w:val="1"/>
        </w:numPr>
        <w:spacing w:after="120"/>
      </w:pPr>
      <w:r>
        <w:rPr>
          <w:color w:val="1C2333"/>
          <w:sz w:val="21"/>
          <w:szCs w:val="21"/>
        </w:rPr>
        <w:t xml:space="preserve">Jumper, J. et al. (2021). "Highly accurate protein structure prediction with AlphaFold." Nature, 596, 583–589.</w:t>
      </w:r>
    </w:p>
    <w:p>
      <w:pPr>
        <w:pStyle w:val="ListParagraph"/>
        <w:numPr>
          <w:ilvl w:val="0"/>
          <w:numId w:val="1"/>
        </w:numPr>
        <w:spacing w:after="120"/>
      </w:pPr>
      <w:r>
        <w:rPr>
          <w:color w:val="1C2333"/>
          <w:sz w:val="21"/>
          <w:szCs w:val="21"/>
        </w:rPr>
        <w:t xml:space="preserve">Zhavoronkov, A. et al. (2022). "Pharma.AI Drug Discovery and Development Pipeline." Insilico Medicine White Paper.</w:t>
      </w:r>
    </w:p>
    <w:p>
      <w:pPr>
        <w:pStyle w:val="ListParagraph"/>
        <w:numPr>
          <w:ilvl w:val="0"/>
          <w:numId w:val="1"/>
        </w:numPr>
        <w:spacing w:after="120"/>
      </w:pPr>
      <w:r>
        <w:rPr>
          <w:color w:val="1C2333"/>
          <w:sz w:val="21"/>
          <w:szCs w:val="21"/>
        </w:rPr>
        <w:t xml:space="preserve">Stokes, J.M. et al. (2020). "A Deep Learning Approach to Antibiotic Discovery." Cell, 180(4), 688–702.</w:t>
      </w:r>
    </w:p>
    <w:p>
      <w:pPr>
        <w:pStyle w:val="ListParagraph"/>
        <w:numPr>
          <w:ilvl w:val="0"/>
          <w:numId w:val="1"/>
        </w:numPr>
        <w:spacing w:after="120"/>
      </w:pPr>
      <w:r>
        <w:rPr>
          <w:color w:val="1C2333"/>
          <w:sz w:val="21"/>
          <w:szCs w:val="21"/>
        </w:rPr>
        <w:t xml:space="preserve">Schneider, P. et al. (2020). "Rethinking drug design in the artificial intelligence era." Nature Reviews Drug Discovery, 19, 353–364.</w:t>
      </w:r>
    </w:p>
    <w:p>
      <w:pPr>
        <w:spacing w:after="120"/>
      </w:pPr>
      <w:r>
        <w:rPr>
          <w:i w:val="false"/>
          <w:iCs w:val="false"/>
          <w:color w:val="1C2333"/>
          <w:sz w:val="21"/>
          <w:szCs w:val="21"/>
        </w:rPr>
        <w:t xml:space="preserve">Clinical Trials</w:t>
      </w:r>
    </w:p>
    <w:p>
      <w:pPr>
        <w:pStyle w:val="ListParagraph"/>
        <w:numPr>
          <w:ilvl w:val="0"/>
          <w:numId w:val="1"/>
        </w:numPr>
        <w:spacing w:after="120"/>
      </w:pPr>
      <w:r>
        <w:rPr>
          <w:color w:val="1C2333"/>
          <w:sz w:val="21"/>
          <w:szCs w:val="21"/>
        </w:rPr>
        <w:t xml:space="preserve">FDA (2023). "Decentralised Clinical Trials Guidance for Industry." FDA.</w:t>
      </w:r>
    </w:p>
    <w:p>
      <w:pPr>
        <w:pStyle w:val="ListParagraph"/>
        <w:numPr>
          <w:ilvl w:val="0"/>
          <w:numId w:val="1"/>
        </w:numPr>
        <w:spacing w:after="120"/>
      </w:pPr>
      <w:r>
        <w:rPr>
          <w:color w:val="1C2333"/>
          <w:sz w:val="21"/>
          <w:szCs w:val="21"/>
        </w:rPr>
        <w:t xml:space="preserve">ICH (2025). "E6(R3) Good Clinical Practice Guideline." International Council for Harmonisation.</w:t>
      </w:r>
    </w:p>
    <w:p>
      <w:pPr>
        <w:pStyle w:val="ListParagraph"/>
        <w:numPr>
          <w:ilvl w:val="0"/>
          <w:numId w:val="1"/>
        </w:numPr>
        <w:spacing w:after="120"/>
      </w:pPr>
      <w:r>
        <w:rPr>
          <w:color w:val="1C2333"/>
          <w:sz w:val="21"/>
          <w:szCs w:val="21"/>
        </w:rPr>
        <w:t xml:space="preserve">Decentralised Trials Research Alliance (2021). "DTRA Playbook: A Guide to Decentralised Clinical Trials." DTRA.</w:t>
      </w:r>
    </w:p>
    <w:p>
      <w:pPr>
        <w:pStyle w:val="ListParagraph"/>
        <w:numPr>
          <w:ilvl w:val="0"/>
          <w:numId w:val="1"/>
        </w:numPr>
        <w:spacing w:after="120"/>
      </w:pPr>
      <w:r>
        <w:rPr>
          <w:color w:val="1C2333"/>
          <w:sz w:val="21"/>
          <w:szCs w:val="21"/>
        </w:rPr>
        <w:t xml:space="preserve">Tufts CSDD (2023). "A Landscape Review of Decentralised Clinical Trial Elements and Remote Monitoring." Tufts Center for the Study of Drug Development.</w:t>
      </w:r>
    </w:p>
    <w:p>
      <w:pPr>
        <w:spacing w:after="120"/>
      </w:pPr>
      <w:r>
        <w:rPr>
          <w:i w:val="false"/>
          <w:iCs w:val="false"/>
          <w:color w:val="1C2333"/>
          <w:sz w:val="21"/>
          <w:szCs w:val="21"/>
        </w:rPr>
        <w:t xml:space="preserve">Manufacturing</w:t>
      </w:r>
    </w:p>
    <w:p>
      <w:pPr>
        <w:pStyle w:val="ListParagraph"/>
        <w:numPr>
          <w:ilvl w:val="0"/>
          <w:numId w:val="1"/>
        </w:numPr>
        <w:spacing w:after="120"/>
      </w:pPr>
      <w:r>
        <w:rPr>
          <w:color w:val="1C2333"/>
          <w:sz w:val="21"/>
          <w:szCs w:val="21"/>
        </w:rPr>
        <w:t xml:space="preserve">FDA (2019). "Quality Considerations for Continuous Manufacturing." FDA Guidance for Industry.</w:t>
      </w:r>
    </w:p>
    <w:p>
      <w:pPr>
        <w:pStyle w:val="ListParagraph"/>
        <w:numPr>
          <w:ilvl w:val="0"/>
          <w:numId w:val="1"/>
        </w:numPr>
        <w:spacing w:after="120"/>
      </w:pPr>
      <w:r>
        <w:rPr>
          <w:color w:val="1C2333"/>
          <w:sz w:val="21"/>
          <w:szCs w:val="21"/>
        </w:rPr>
        <w:t xml:space="preserve">ISPE (2022). "GAMP 5: A Risk-Based Approach to Compliant GxP Computerized Systems." Second Edition.</w:t>
      </w:r>
    </w:p>
    <w:p>
      <w:pPr>
        <w:pStyle w:val="ListParagraph"/>
        <w:numPr>
          <w:ilvl w:val="0"/>
          <w:numId w:val="1"/>
        </w:numPr>
        <w:spacing w:after="120"/>
      </w:pPr>
      <w:r>
        <w:rPr>
          <w:color w:val="1C2333"/>
          <w:sz w:val="21"/>
          <w:szCs w:val="21"/>
        </w:rPr>
        <w:t xml:space="preserve">FDA (2022). "Computer Software Assurance for Production and Quality System Software." FDA Guidance.</w:t>
      </w:r>
    </w:p>
    <w:p>
      <w:pPr>
        <w:pStyle w:val="ListParagraph"/>
        <w:numPr>
          <w:ilvl w:val="0"/>
          <w:numId w:val="1"/>
        </w:numPr>
        <w:spacing w:after="120"/>
      </w:pPr>
      <w:r>
        <w:rPr>
          <w:color w:val="1C2333"/>
          <w:sz w:val="21"/>
          <w:szCs w:val="21"/>
        </w:rPr>
        <w:t xml:space="preserve">Bieringer, T. et al. (2021). "Digital Twins for Pharmaceutical Manufacturing." Journal of Pharmaceutical Sciences.</w:t>
      </w:r>
    </w:p>
    <w:p>
      <w:pPr>
        <w:spacing w:after="120"/>
      </w:pPr>
      <w:r>
        <w:rPr>
          <w:i w:val="false"/>
          <w:iCs w:val="false"/>
          <w:color w:val="1C2333"/>
          <w:sz w:val="21"/>
          <w:szCs w:val="21"/>
        </w:rPr>
        <w:t xml:space="preserve">Regulatory</w:t>
      </w:r>
    </w:p>
    <w:p>
      <w:pPr>
        <w:pStyle w:val="ListParagraph"/>
        <w:numPr>
          <w:ilvl w:val="0"/>
          <w:numId w:val="1"/>
        </w:numPr>
        <w:spacing w:after="120"/>
      </w:pPr>
      <w:r>
        <w:rPr>
          <w:color w:val="1C2333"/>
          <w:sz w:val="21"/>
          <w:szCs w:val="21"/>
        </w:rPr>
        <w:t xml:space="preserve">FDA (2016). "Data Integrity and Compliance with Drug CGMP." FDA Guidance for Industry.</w:t>
      </w:r>
    </w:p>
    <w:p>
      <w:pPr>
        <w:pStyle w:val="ListParagraph"/>
        <w:numPr>
          <w:ilvl w:val="0"/>
          <w:numId w:val="1"/>
        </w:numPr>
        <w:spacing w:after="120"/>
      </w:pPr>
      <w:r>
        <w:rPr>
          <w:color w:val="1C2333"/>
          <w:sz w:val="21"/>
          <w:szCs w:val="21"/>
        </w:rPr>
        <w:t xml:space="preserve">EMA (2023). "Reflection Paper on the Use of Artificial Intelligence in the Lifecycle of Medicines." EMA.</w:t>
      </w:r>
    </w:p>
    <w:p>
      <w:pPr>
        <w:pStyle w:val="ListParagraph"/>
        <w:numPr>
          <w:ilvl w:val="0"/>
          <w:numId w:val="1"/>
        </w:numPr>
        <w:spacing w:after="120"/>
      </w:pPr>
      <w:r>
        <w:rPr>
          <w:color w:val="1C2333"/>
          <w:sz w:val="21"/>
          <w:szCs w:val="21"/>
        </w:rPr>
        <w:t xml:space="preserve">EMA (2021). "Strategy for European Medicines Agencies Network 2025." European Medicines Agency.</w:t>
      </w:r>
    </w:p>
    <w:p>
      <w:pPr>
        <w:pStyle w:val="ListParagraph"/>
        <w:numPr>
          <w:ilvl w:val="0"/>
          <w:numId w:val="1"/>
        </w:numPr>
        <w:spacing w:after="120"/>
      </w:pPr>
      <w:r>
        <w:rPr>
          <w:color w:val="1C2333"/>
          <w:sz w:val="21"/>
          <w:szCs w:val="21"/>
        </w:rPr>
        <w:t xml:space="preserve">CDSCO (2021). "SUGAM Platform User Manual." Ministry of Health and Family Welfare, India.</w:t>
      </w:r>
    </w:p>
    <w:p>
      <w:pPr>
        <w:spacing w:after="120"/>
      </w:pPr>
      <w:r>
        <w:rPr>
          <w:i w:val="false"/>
          <w:iCs w:val="false"/>
          <w:color w:val="1C2333"/>
          <w:sz w:val="21"/>
          <w:szCs w:val="21"/>
        </w:rPr>
        <w:t xml:space="preserve">Technology</w:t>
      </w:r>
    </w:p>
    <w:p>
      <w:pPr>
        <w:pStyle w:val="ListParagraph"/>
        <w:numPr>
          <w:ilvl w:val="0"/>
          <w:numId w:val="1"/>
        </w:numPr>
        <w:spacing w:after="120"/>
      </w:pPr>
      <w:r>
        <w:rPr>
          <w:color w:val="1C2333"/>
          <w:sz w:val="21"/>
          <w:szCs w:val="21"/>
        </w:rPr>
        <w:t xml:space="preserve">Databricks (2023). "The Data Lakehouse: An Emerging Architecture for Analytics and AI."</w:t>
      </w:r>
    </w:p>
    <w:p>
      <w:pPr>
        <w:pStyle w:val="ListParagraph"/>
        <w:numPr>
          <w:ilvl w:val="0"/>
          <w:numId w:val="1"/>
        </w:numPr>
        <w:spacing w:after="120"/>
      </w:pPr>
      <w:r>
        <w:rPr>
          <w:color w:val="1C2333"/>
          <w:sz w:val="21"/>
          <w:szCs w:val="21"/>
        </w:rPr>
        <w:t xml:space="preserve">NIST (2018). "Framework for Improving Critical Infrastructure Cybersecurity." Version 1.1.</w:t>
      </w:r>
    </w:p>
    <w:p>
      <w:pPr>
        <w:pStyle w:val="ListParagraph"/>
        <w:numPr>
          <w:ilvl w:val="0"/>
          <w:numId w:val="1"/>
        </w:numPr>
        <w:spacing w:after="120"/>
      </w:pPr>
      <w:r>
        <w:rPr>
          <w:color w:val="1C2333"/>
          <w:sz w:val="21"/>
          <w:szCs w:val="21"/>
        </w:rPr>
        <w:t xml:space="preserve">Gartner (2024). "Hype Cycle for Life Sciences." Gartner Research.</w:t>
      </w:r>
    </w:p>
    <w:p>
      <w:pPr>
        <w:pStyle w:val="ListParagraph"/>
        <w:numPr>
          <w:ilvl w:val="0"/>
          <w:numId w:val="1"/>
        </w:numPr>
        <w:spacing w:after="120"/>
      </w:pPr>
      <w:r>
        <w:rPr>
          <w:color w:val="1C2333"/>
          <w:sz w:val="21"/>
          <w:szCs w:val="21"/>
        </w:rPr>
        <w:t xml:space="preserve">DiME (2021). "The Digital Medicine Society Playbook." Digital Medicine Society.</w:t>
      </w:r>
    </w:p>
    <w:p>
      <w:pPr>
        <w:spacing w:after="120"/>
      </w:pPr>
      <w:r>
        <w:rPr>
          <w:i w:val="false"/>
          <w:iCs w:val="false"/>
          <w:color w:val="1C2333"/>
          <w:sz w:val="21"/>
          <w:szCs w:val="21"/>
        </w:rPr>
        <w:t xml:space="preserve">India and GCC</w:t>
      </w:r>
    </w:p>
    <w:p>
      <w:pPr>
        <w:pStyle w:val="ListParagraph"/>
        <w:numPr>
          <w:ilvl w:val="0"/>
          <w:numId w:val="1"/>
        </w:numPr>
        <w:spacing w:after="120"/>
      </w:pPr>
      <w:r>
        <w:rPr>
          <w:color w:val="1C2333"/>
          <w:sz w:val="21"/>
          <w:szCs w:val="21"/>
        </w:rPr>
        <w:t xml:space="preserve">NASSCOM (2024). "India GCC Report: Life Sciences and Healthcare." NASSCOM.</w:t>
      </w:r>
    </w:p>
    <w:p>
      <w:pPr>
        <w:pStyle w:val="ListParagraph"/>
        <w:numPr>
          <w:ilvl w:val="0"/>
          <w:numId w:val="1"/>
        </w:numPr>
        <w:spacing w:after="120"/>
      </w:pPr>
      <w:r>
        <w:rPr>
          <w:color w:val="1C2333"/>
          <w:sz w:val="21"/>
          <w:szCs w:val="21"/>
        </w:rPr>
        <w:t xml:space="preserve">Ministry of Health and Family Welfare (2021). "Ayushman Bharat Digital Mission." Government of India.</w:t>
      </w:r>
    </w:p>
    <w:p>
      <w:pPr>
        <w:pStyle w:val="ListParagraph"/>
        <w:numPr>
          <w:ilvl w:val="0"/>
          <w:numId w:val="1"/>
        </w:numPr>
        <w:spacing w:after="120"/>
      </w:pPr>
      <w:r>
        <w:rPr>
          <w:color w:val="1C2333"/>
          <w:sz w:val="21"/>
          <w:szCs w:val="21"/>
        </w:rPr>
        <w:t xml:space="preserve">Indian Pharmaceutical Alliance (2023). "IPA Annual Report." IPA.</w:t>
      </w:r>
    </w:p>
    <w:p>
      <w:pPr>
        <w:pStyle w:val="ListParagraph"/>
        <w:numPr>
          <w:ilvl w:val="0"/>
          <w:numId w:val="1"/>
        </w:numPr>
        <w:spacing w:after="120"/>
      </w:pPr>
      <w:r>
        <w:rPr>
          <w:color w:val="1C2333"/>
          <w:sz w:val="21"/>
          <w:szCs w:val="21"/>
        </w:rPr>
        <w:t xml:space="preserve">DPIIT (2023). "Production Linked Incentive Scheme for Pharmaceuticals." Government of India.</w:t>
      </w:r>
    </w:p>
    <w:p>
      <w:pPr>
        <w:spacing w:after="120"/>
      </w:pPr>
      <w:r>
        <w:rPr>
          <w:i w:val="false"/>
          <w:iCs w:val="false"/>
          <w:color w:val="1C2333"/>
          <w:sz w:val="21"/>
          <w:szCs w:val="21"/>
        </w:rPr>
        <w:t xml:space="preserve">This handbook is a living document. The frameworks, benchmarks, and case studies presented here reflect the state of practice as of early 2025. The digital transformation of the pharmaceutical industry is accelerating — new capabilities, regulatory developments, and competitive dynamics will continue to reshape the landscape described here. Readers are encouraged to treat this handbook as a strategic foundation, supplemented by ongoing engagement with the primary sources, industry associations, and regulatory bodies referenced throughout.</w:t>
      </w:r>
    </w:p>
    <w:p>
      <w:pPr>
        <w:spacing w:after="120"/>
      </w:pPr>
      <w:r>
        <w:rPr>
          <w:i w:val="false"/>
          <w:iCs w:val="false"/>
          <w:color w:val="1C2333"/>
          <w:sz w:val="21"/>
          <w:szCs w:val="21"/>
        </w:rPr>
        <w:t xml:space="preserve">© 2025. All rights reserved. For licensing, reproduction, or partnership enquiries, please contact the publisher.</w:t>
      </w:r>
    </w:p>
    <w:p>
      <w:pPr>
        <w:spacing w:after="120"/>
      </w:pPr>
      <w:r>
        <w:rPr>
          <w:color w:val="1C2333"/>
          <w:sz w:val="21"/>
          <w:szCs w:val="21"/>
        </w:rPr>
        <w:t xml:space="preserve">APPENDIX</w:t>
      </w:r>
    </w:p>
    <w:p>
      <w:pPr>
        <w:spacing w:after="120"/>
      </w:pPr>
      <w:r>
        <w:rPr>
          <w:color w:val="1C2333"/>
          <w:sz w:val="21"/>
          <w:szCs w:val="21"/>
        </w:rPr>
        <w:t xml:space="preserve">PHARMA GCCs IN INDIA — DIGITAL TRANSFORMATION ENGINE</w:t>
      </w:r>
    </w:p>
    <w:p>
      <w:r>
        <w:br w:type="page"/>
      </w:r>
    </w:p>
    <w:p>
      <w:pPr>
        <w:pStyle w:val="Heading1"/>
        <w:spacing w:after="120" w:before="240"/>
      </w:pPr>
      <w:r>
        <w:rPr>
          <w:b/>
          <w:bCs/>
          <w:color w:val="0D2B55"/>
        </w:rPr>
        <w:t xml:space="preserve">Chapter 16: Pharma Global Capability Centres in India — The Digital Transformation Engine</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India has emerged as the single most strategically important location for pharmaceutical digital capability building outside the home markets of the world's major drug companies. Over 35 multinational pharmaceutical corporations now operate dedicated Global Capability Centres (GCCs) across Hyderabad, Bangalore, Chennai, Pune, and Mumbai — collectively employing more than 80,000 professionals in roles spanning data science, AI engineering, clinical informatics, regulatory technology, commercial analytics, supply chain intelligence, finance automation, and enterprise digital platform management. This chapter provides a comprehensive analysis of the pharma GCC landscape in India: the strategic rationale, the operating models, the capability profiles of the leading multinational and Indian company digital centres, the talent and governance frameworks, and the forward trajectory of this ecosystem. It also examines how India's domestic pharmaceutical leaders are building their own digital transformation capabilities — creating a dual dynamic in which India is simultaneously the offshore capability engine for global pharma and an independent digital transformation story in its own right.</w:t>
      </w:r>
    </w:p>
    <w:p>
      <w:pPr>
        <w:pStyle w:val="Heading2"/>
        <w:spacing w:after="120" w:before="240"/>
      </w:pPr>
      <w:r>
        <w:rPr>
          <w:b/>
          <w:bCs/>
          <w:color w:val="0D2B55"/>
        </w:rPr>
        <w:t xml:space="preserve">16.1 The Strategic Logic of Pharma GCCs in India</w:t>
      </w:r>
    </w:p>
    <w:p>
      <w:pPr>
        <w:spacing w:after="120"/>
      </w:pPr>
      <w:r>
        <w:rPr>
          <w:i w:val="false"/>
          <w:iCs w:val="false"/>
          <w:color w:val="1C2333"/>
          <w:sz w:val="21"/>
          <w:szCs w:val="21"/>
        </w:rPr>
        <w:t xml:space="preserve">The decision to establish a Global Capability Centre in India reflects a convergence of four strategic forces that have grown more powerful with each passing year.</w:t>
      </w:r>
    </w:p>
    <w:p>
      <w:pPr>
        <w:spacing w:after="120"/>
      </w:pPr>
      <w:r>
        <w:rPr>
          <w:i w:val="false"/>
          <w:iCs w:val="false"/>
          <w:color w:val="1C2333"/>
          <w:sz w:val="21"/>
          <w:szCs w:val="21"/>
        </w:rPr>
        <w:t xml:space="preserve">Talent depth at scale. India produces over 1.5 million engineering graduates annually, the largest cohort of any country in the world. Within this population, the data science, machine learning, bioinformatics, and computational biology talent that pharmaceutical digital transformation requires is present in a density and quality that cannot be matched in Western labour markets. Hyderabad alone has more PhD-qualified bioinformaticians than most European countries, a consequence of decades of investment in institutions including IIT Hyderabad, the University of Hyderabad, IIIT Hyderabad, and the Centre for Cellular and Molecular Biology (CCMB). The combination of scientific depth and software engineering breadth — the precise profile needed to build AI tools for drug discovery, clinical analytics, and manufacturing intelligence — is uniquely available in India at the scale that major pharmaceutical transformation programs require.</w:t>
      </w:r>
    </w:p>
    <w:p>
      <w:pPr>
        <w:spacing w:after="120"/>
      </w:pPr>
      <w:r>
        <w:rPr>
          <w:i w:val="false"/>
          <w:iCs w:val="false"/>
          <w:color w:val="1C2333"/>
          <w:sz w:val="21"/>
          <w:szCs w:val="21"/>
        </w:rPr>
        <w:t xml:space="preserve">Cost economics that compound over time. A senior data scientist in Bangalore or Hyderabad with five to seven years of experience commands a total cost of employment approximately 30–35% of an equivalent profile in Boston, New York, or Zurich. For a pharmaceutical company building a 500-person data and digital capability centre, this differential represents $30–50 million in annual salary savings — enough to fund the equivalent of an entire additional transformation program. Critically, this cost advantage does not erode quickly: India's technology sector has maintained its cost competitiveness for over two decades, even as quality has improved dramatically.</w:t>
      </w:r>
    </w:p>
    <w:p>
      <w:pPr>
        <w:spacing w:after="120"/>
      </w:pPr>
      <w:r>
        <w:rPr>
          <w:i w:val="false"/>
          <w:iCs w:val="false"/>
          <w:color w:val="1C2333"/>
          <w:sz w:val="21"/>
          <w:szCs w:val="21"/>
        </w:rPr>
        <w:t xml:space="preserve">Time zone and operational coverage. India's time zone (UTC+5:30) provides near-24-hour coverage when combined with US Eastern or European Western operating centres. For pharmaceutical operations that require continuous coverage — pharmacovigilance signal monitoring, supply chain control tower operations, clinical data management — the India time zone complement to Western operating hours is a structural operational advantage, not just a cost arbitrage.</w:t>
      </w:r>
    </w:p>
    <w:p>
      <w:pPr>
        <w:spacing w:after="120"/>
      </w:pPr>
      <w:r>
        <w:rPr>
          <w:i w:val="false"/>
          <w:iCs w:val="false"/>
          <w:color w:val="1C2333"/>
          <w:sz w:val="21"/>
          <w:szCs w:val="21"/>
        </w:rPr>
        <w:t xml:space="preserve">Government policy alignment. The Government of India has made GCC attraction a national economic priority. Incentive programs under the Special Economic Zone (SEZ) framework, state-level GCC policies in Telangana, Karnataka, Tamil Nadu, and Maharashtra, the Production Linked Incentive (PLI) scheme for pharmaceuticals, and the Ayushman Bharat Digital Mission (ABDM) that is creating digital health infrastructure at national scale — all create an environment that is actively supportive of pharmaceutical digital investment at scale.</w:t>
      </w:r>
    </w:p>
    <w:p>
      <w:pPr>
        <w:pStyle w:val="Heading2"/>
        <w:spacing w:after="120" w:before="240"/>
      </w:pPr>
      <w:r>
        <w:rPr>
          <w:b/>
          <w:bCs/>
          <w:color w:val="0D2B55"/>
        </w:rPr>
        <w:t xml:space="preserve">16.2 The GCC Landscape: Scale, Geography, and Evolution</w:t>
      </w:r>
    </w:p>
    <w:p>
      <w:pPr>
        <w:spacing w:after="120"/>
      </w:pPr>
      <w:r>
        <w:rPr>
          <w:i w:val="false"/>
          <w:iCs w:val="false"/>
          <w:color w:val="1C2333"/>
          <w:sz w:val="21"/>
          <w:szCs w:val="21"/>
        </w:rPr>
        <w:t xml:space="preserve">The pharma GCC ecosystem in India has evolved through three distinct phases. The first phase (2000–2012) was characterised by IT services and back-office processing — transactional work in finance, HR, and basic IT support. The second phase (2012–2020) saw the emergence of knowledge-intensive GCCs: clinical data management, regulatory writing, pharmacovigilance operations, and basic analytics. The third phase (2020–present) represents a step change in sophistication: GCCs are now building and owning AI platforms, designing clinical trial protocols, leading global regulatory strategy, and managing enterprise data architectures that affect the entire global organisation.</w:t>
      </w:r>
    </w:p>
    <w:p>
      <w:pPr>
        <w:spacing w:after="120"/>
      </w:pPr>
      <w:r>
        <w:rPr>
          <w:i w:val="false"/>
          <w:iCs w:val="false"/>
          <w:color w:val="1C2333"/>
          <w:sz w:val="21"/>
          <w:szCs w:val="21"/>
        </w:rPr>
        <w:t xml:space="preserve">This evolution is reflected in headcount quality as much as quantity. The proportion of GCC employees with advanced degrees (Masters or PhD) in pharmaceutical, biological, or computational sciences has increased dramatically. The proportion of GCC employees with ten or more years of experience has grown as GCCs have retained talent and built institutional knowledge. And critically, the proportion of GCC leaders — heads of function, not just heads of local teams — who are India-based has increased: in several of the most mature GCCs, the global head of pharmacovigilance operations, the global head of regulatory information management, or the global head of commercial analytics is an India-based leader managing a team that spans multiple continents.</w:t>
      </w:r>
    </w:p>
    <w:p>
      <w:pPr>
        <w:spacing w:after="120"/>
      </w:pPr>
      <w:r>
        <w:rPr>
          <w:i w:val="false"/>
          <w:iCs w:val="false"/>
          <w:color w:val="1C2333"/>
          <w:sz w:val="21"/>
          <w:szCs w:val="21"/>
        </w:rPr>
        <w:t xml:space="preserve">Geographic distribution. Hyderabad is the dominant pharma GCC city, hosting the largest concentrations of GCCs for GSK, Dr. Reddy's, Novartis, Sanofi, and others. Its advantages include a large pharmaceutical manufacturing base (the area around Genome Valley is home to over 300 pharmaceutical and biotech companies), exceptional academic institutions, a proactive state government (Telangana's T-Hub innovation ecosystem), and lower cost of living than Bangalore. Bangalore is the preferred location for technology-intensive GCCs with heavier AI and software engineering requirements — AstraZeneca, Pfizer, and Novartis all have significant Bangalore presences. Chennai hosts Cognizant Life Sciences, multiple mid-tier pharma GCCs, and is the preferred location for companies that value proximity to the South Indian manufacturing cluster. Pune is home to a growing cluster of pharma GCCs including Novo Nordisk and several mid-tier companies, benefiting from proximity to Mumbai's financial centre and the large engineering talent pool from Pune University and its affiliated colleges.</w:t>
      </w:r>
    </w:p>
    <w:p>
      <w:pPr>
        <w:pStyle w:val="Heading2"/>
        <w:spacing w:after="120" w:before="240"/>
      </w:pPr>
      <w:r>
        <w:rPr>
          <w:b/>
          <w:bCs/>
          <w:color w:val="0D2B55"/>
        </w:rPr>
        <w:t xml:space="preserve">16.3 Multinational Pharma GCCs: Company-by-Company Analysis</w:t>
      </w:r>
    </w:p>
    <w:p>
      <w:pPr>
        <w:pStyle w:val="Heading3"/>
        <w:spacing w:after="120" w:before="160"/>
      </w:pPr>
      <w:r>
        <w:rPr>
          <w:b/>
          <w:bCs/>
          <w:color w:val="0D2B55"/>
        </w:rPr>
        <w:t xml:space="preserve">Novo Nordisk: Global Development Centre India</w:t>
      </w:r>
    </w:p>
    <w:p>
      <w:pPr>
        <w:spacing w:after="120"/>
      </w:pPr>
      <w:r>
        <w:rPr>
          <w:i w:val="false"/>
          <w:iCs w:val="false"/>
          <w:color w:val="1C2333"/>
          <w:sz w:val="21"/>
          <w:szCs w:val="21"/>
        </w:rPr>
        <w:t xml:space="preserve">Novo Nordisk established its India operations in Bangalore and Pune, operating as the Novo Nordisk Global Development Centre India — one of the company's largest global development hubs outside its Denmark headquarters. The centre employs approximately 3,000 people and plays an increasingly central role in Novo Nordisk's global digital transformation agenda.</w:t>
      </w:r>
    </w:p>
    <w:p>
      <w:pPr>
        <w:spacing w:after="120"/>
      </w:pPr>
      <w:r>
        <w:rPr>
          <w:i w:val="false"/>
          <w:iCs w:val="false"/>
          <w:color w:val="1C2333"/>
          <w:sz w:val="21"/>
          <w:szCs w:val="21"/>
        </w:rPr>
        <w:t xml:space="preserve">Core capabilities. The India centre houses Novo Nordisk's global data science and AI team for clinical development, working on predictive patient stratification models for the company's diabetes, obesity (including GLP-1/Ozempic program analytics), and rare disease portfolios. The clinical data management team manages data from Phase II and Phase III trials globally, including all data streams from the landmark SELECT cardiovascular outcomes trial for semaglutide. The regulatory affairs operations team manages eCTD submissions and lifecycle management for products across 80+ markets. The finance GCC handles financial planning and analysis for the Asia-Pacific region and provides enterprise analytics support globally.</w:t>
      </w:r>
    </w:p>
    <w:p>
      <w:pPr>
        <w:spacing w:after="120"/>
      </w:pPr>
      <w:r>
        <w:rPr>
          <w:i w:val="false"/>
          <w:iCs w:val="false"/>
          <w:color w:val="1C2333"/>
          <w:sz w:val="21"/>
          <w:szCs w:val="21"/>
        </w:rPr>
        <w:t xml:space="preserve">Digital flagship programs. The India centre has been the primary development location for Novo Nordisk's Connected Care platform — the company's initiative to integrate insulin delivery device data, continuous glucose monitoring data, and patient-reported outcomes into a unified patient management platform. India-based data scientists and machine learning engineers built the predictive dosing algorithms and the patient risk stratification models that underpin Connected Care. The centre also developed the company's pharmacovigilance signal detection AI, which processes spontaneous adverse event reports and literature data from 80+ markets in near real-time.</w:t>
      </w:r>
    </w:p>
    <w:p>
      <w:pPr>
        <w:spacing w:after="120"/>
      </w:pPr>
      <w:r>
        <w:rPr>
          <w:i w:val="false"/>
          <w:iCs w:val="false"/>
          <w:color w:val="1C2333"/>
          <w:sz w:val="21"/>
          <w:szCs w:val="21"/>
        </w:rPr>
        <w:t xml:space="preserve">Talent strategy. Novo Nordisk's India GCC is notable for its investment in talent development beyond standard training programs. The centre runs a joint PhD program with the Indian Institute of Science (IISc) Bangalore in computational biology, sponsoring 15–20 doctoral candidates annually who work on research problems directly relevant to Novo Nordisk's therapeutic programs. This academic partnership creates a pipeline of deeply trained computational scientists who understand both the science and the pharmaceutical context — precisely the talent profile that is most valuable and most scarce.</w:t>
      </w:r>
    </w:p>
    <w:p>
      <w:pPr>
        <w:pStyle w:val="Heading3"/>
        <w:spacing w:after="120" w:before="160"/>
      </w:pPr>
      <w:r>
        <w:rPr>
          <w:b/>
          <w:bCs/>
          <w:color w:val="0D2B55"/>
        </w:rPr>
        <w:t xml:space="preserve">AstraZeneca: AZ India Global Innovation &amp; Technology Centre</w:t>
      </w:r>
    </w:p>
    <w:p>
      <w:pPr>
        <w:spacing w:after="120"/>
      </w:pPr>
      <w:r>
        <w:rPr>
          <w:i w:val="false"/>
          <w:iCs w:val="false"/>
          <w:color w:val="1C2333"/>
          <w:sz w:val="21"/>
          <w:szCs w:val="21"/>
        </w:rPr>
        <w:t xml:space="preserve">AstraZeneca's India GCC — headquartered in Bangalore with additional operations in Chennai — is one of the company's most strategically significant capability investments. The AZ Global Innovation &amp; Technology Centre employs approximately 4,500 people and is central to AstraZeneca's stated ambition to become the world's most data-centric biopharmaceutical company.</w:t>
      </w:r>
    </w:p>
    <w:p>
      <w:pPr>
        <w:spacing w:after="120"/>
      </w:pPr>
      <w:r>
        <w:rPr>
          <w:i w:val="false"/>
          <w:iCs w:val="false"/>
          <w:color w:val="1C2333"/>
          <w:sz w:val="21"/>
          <w:szCs w:val="21"/>
        </w:rPr>
        <w:t xml:space="preserve">Core capabilities. The centre is organised around four capability clusters: Digital Health &amp; Data Science (AI for drug discovery, genomics platform development, precision medicine analytics), Clinical Operations Technology (decentralised trial platforms, electronic data capture, clinical supply chain intelligence), Enterprise Technology &amp; Integration (SAP S/4HANA centre of excellence, Veeva platform management, enterprise integration architecture), and Commercial Excellence (market analytics, next-best-action modelling for oncology and respiratory portfolios, IQVIA data analytics).</w:t>
      </w:r>
    </w:p>
    <w:p>
      <w:pPr>
        <w:spacing w:after="120"/>
      </w:pPr>
      <w:r>
        <w:rPr>
          <w:i w:val="false"/>
          <w:iCs w:val="false"/>
          <w:color w:val="1C2333"/>
          <w:sz w:val="21"/>
          <w:szCs w:val="21"/>
        </w:rPr>
        <w:t xml:space="preserve">AI and drug discovery role. AstraZeneca's India centre plays a direct role in the company's AI-accelerated drug discovery program. India-based computational chemists and AI engineers work alongside Cambridge-based scientists on target identification, molecular property prediction, and ADMET modelling for programs across oncology, CVRM (cardiovascular, renal, and metabolic), and rare disease. The centre built and maintains AstraZeneca's internal molecular property prediction platform — a suite of machine learning models trained on AstraZeneca's proprietary compound library that predicts ADMET properties with accuracy that has materially reduced the number of physical experiments required in the lead optimisation phase.</w:t>
      </w:r>
    </w:p>
    <w:p>
      <w:pPr>
        <w:spacing w:after="120"/>
      </w:pPr>
      <w:r>
        <w:rPr>
          <w:i w:val="false"/>
          <w:iCs w:val="false"/>
          <w:color w:val="1C2333"/>
          <w:sz w:val="21"/>
          <w:szCs w:val="21"/>
        </w:rPr>
        <w:t xml:space="preserve">AZ-Tata partnership. In 2023, AstraZeneca India announced a strategic digital health partnership with Tata Consultancy Services (TCS) and the Tata Cancer Care program to build AI-powered oncology treatment decision support tools for Indian healthcare settings. This partnership — designed for India's specific clinical context, patient population genetics, and healthcare infrastructure — exemplifies a new model where multinational pharma GCCs in India build capabilities that serve both global programs and the local Indian healthcare market simultaneously.</w:t>
      </w:r>
    </w:p>
    <w:p>
      <w:pPr>
        <w:pStyle w:val="Heading3"/>
        <w:spacing w:after="120" w:before="160"/>
      </w:pPr>
      <w:r>
        <w:rPr>
          <w:b/>
          <w:bCs/>
          <w:color w:val="0D2B55"/>
        </w:rPr>
        <w:t xml:space="preserve">Novartis: Hyderabad Innovation Centre and NIBR India</w:t>
      </w:r>
    </w:p>
    <w:p>
      <w:pPr>
        <w:spacing w:after="120"/>
      </w:pPr>
      <w:r>
        <w:rPr>
          <w:i w:val="false"/>
          <w:iCs w:val="false"/>
          <w:color w:val="1C2333"/>
          <w:sz w:val="21"/>
          <w:szCs w:val="21"/>
        </w:rPr>
        <w:t xml:space="preserve">Novartis operates one of the most comprehensive and strategically integrated GCCs in the Indian pharma ecosystem. The Novartis Hyderabad Innovation Centre and the Novartis Institutes for BioMedical Research (NIBR) India together employ over 3,500 people and contribute to virtually every dimension of Novartis's digital transformation program.</w:t>
      </w:r>
    </w:p>
    <w:p>
      <w:pPr>
        <w:spacing w:after="120"/>
      </w:pPr>
      <w:r>
        <w:rPr>
          <w:i w:val="false"/>
          <w:iCs w:val="false"/>
          <w:color w:val="1C2333"/>
          <w:sz w:val="21"/>
          <w:szCs w:val="21"/>
        </w:rPr>
        <w:t xml:space="preserve">Research and AI focus. The NIBR India component of the Hyderabad centre houses a genuine pharmaceutical research function — not just analytics support for programmes designed elsewhere, but original computational biology research. Teams here work on target identification using multi-omics data integration, generative AI for molecular design (contributing to Novartis's partnership with the AI drug discovery company Chemify), and AI-powered patient stratification for clinical trials in oncology and immunology. The centre published 45 peer-reviewed papers in 2023, reflecting a genuine scientific output that is unusual among GCC operations.</w:t>
      </w:r>
    </w:p>
    <w:p>
      <w:pPr>
        <w:spacing w:after="120"/>
      </w:pPr>
      <w:r>
        <w:rPr>
          <w:i w:val="false"/>
          <w:iCs w:val="false"/>
          <w:color w:val="1C2333"/>
          <w:sz w:val="21"/>
          <w:szCs w:val="21"/>
        </w:rPr>
        <w:t xml:space="preserve">Enterprise digital transformation hub. The Novartis India centre is also the primary delivery location for Novartis's global ERP transformation — the company's migration from legacy SAP ECC to SAP S/4HANA, which represents one of the largest pharmaceutical ERP transformations ever undertaken. India-based SAP architects and implementation engineers manage the global template design, the data migration strategy, and the configuration and testing of the S/4HANA system across all Novartis geographies. This is not supporting work: the India team owns the global architecture.</w:t>
      </w:r>
    </w:p>
    <w:p>
      <w:pPr>
        <w:spacing w:after="120"/>
      </w:pPr>
      <w:r>
        <w:rPr>
          <w:i w:val="false"/>
          <w:iCs w:val="false"/>
          <w:color w:val="1C2333"/>
          <w:sz w:val="21"/>
          <w:szCs w:val="21"/>
        </w:rPr>
        <w:t xml:space="preserve">People and culture model. Novartis's Hyderabad centre has developed a talent retention model that is widely studied across the Indian GCC ecosystem. The centre offers a "dual career ladder" that provides a genuinely parallel progression path for technical contributors (individual contributors can reach a level equivalent to Vice President while remaining technical) and people managers — addressing the common GCC talent drain where the best scientists feel forced into management roles to advance. The centre also has a formal "rotation program" that places India-based employees in Novartis facilities in Basel, Cambridge, and East Hanover for 6–12 month assignments, building genuine global networks and organisational capital.</w:t>
      </w:r>
    </w:p>
    <w:p>
      <w:pPr>
        <w:pStyle w:val="Heading3"/>
        <w:spacing w:after="120" w:before="160"/>
      </w:pPr>
      <w:r>
        <w:rPr>
          <w:b/>
          <w:bCs/>
          <w:color w:val="0D2B55"/>
        </w:rPr>
        <w:t xml:space="preserve">Bristol Myers Squibb: BMS Capability Centre India</w:t>
      </w:r>
    </w:p>
    <w:p>
      <w:pPr>
        <w:spacing w:after="120"/>
      </w:pPr>
      <w:r>
        <w:rPr>
          <w:i w:val="false"/>
          <w:iCs w:val="false"/>
          <w:color w:val="1C2333"/>
          <w:sz w:val="21"/>
          <w:szCs w:val="21"/>
        </w:rPr>
        <w:t xml:space="preserve">Bristol Myers Squibb established its India GCC in Hyderabad with a focused mandate: to build the data and digital capabilities that underpin BMS's differentiated oncology and immunology portfolio — which includes some of the most analytically intensive precision medicine programs in the industry (Opdivo, Yervoy, Revlimid, Zeposia).</w:t>
      </w:r>
    </w:p>
    <w:p>
      <w:pPr>
        <w:spacing w:after="120"/>
      </w:pPr>
      <w:r>
        <w:rPr>
          <w:i w:val="false"/>
          <w:iCs w:val="false"/>
          <w:color w:val="1C2333"/>
          <w:sz w:val="21"/>
          <w:szCs w:val="21"/>
        </w:rPr>
        <w:t xml:space="preserve">Precision oncology analytics. BMS's India centre is home to the global team that manages the company's precision oncology data platform — integrating genomic biomarker data, tumour mutation burden (TMB) scores, PD-L1 expression data, and clinical outcome data from BMS's extensive oncology clinical trial portfolio. The centre developed the machine learning models that identify which biomarker profiles predict response to PD-1/PD-L1 checkpoint inhibitor therapy — models that directly inform patient selection criteria for BMS's ongoing clinical programs and companion diagnostic strategy.</w:t>
      </w:r>
    </w:p>
    <w:p>
      <w:pPr>
        <w:spacing w:after="120"/>
      </w:pPr>
      <w:r>
        <w:rPr>
          <w:i w:val="false"/>
          <w:iCs w:val="false"/>
          <w:color w:val="1C2333"/>
          <w:sz w:val="21"/>
          <w:szCs w:val="21"/>
        </w:rPr>
        <w:t xml:space="preserve">Regulatory and clinical operations. The BMS India centre manages lifecycle regulatory submissions for BMS's approved products across Asia-Pacific and EMEA markets, with a team of 200+ regulatory professionals. The centre also manages clinical data management for BMS's global trial portfolio, using Medidata Rave as the primary EDC platform. A specialist team focused on Real-World Evidence manages analyses from claims databases and EHR networks that support BMS's market access submissions to payers in the US, EU, and Asia-Pacific.</w:t>
      </w:r>
    </w:p>
    <w:p>
      <w:pPr>
        <w:spacing w:after="120"/>
      </w:pPr>
      <w:r>
        <w:rPr>
          <w:i w:val="false"/>
          <w:iCs w:val="false"/>
          <w:color w:val="1C2333"/>
          <w:sz w:val="21"/>
          <w:szCs w:val="21"/>
        </w:rPr>
        <w:t xml:space="preserve">I-O Academy. BMS's India centre runs the I-O (Immuno-Oncology) Digital Academy — an internal training program that combines immuno-oncology science education with digital tools training, building a cohort of scientists who understand both the therapeutic domain and the computational tools needed to advance it. The program was initiated in India and is now being replicated globally, with the India-developed curriculum providing the foundation.</w:t>
      </w:r>
    </w:p>
    <w:p>
      <w:pPr>
        <w:pStyle w:val="Heading3"/>
        <w:spacing w:after="120" w:before="160"/>
      </w:pPr>
      <w:r>
        <w:rPr>
          <w:b/>
          <w:bCs/>
          <w:color w:val="0D2B55"/>
        </w:rPr>
        <w:t xml:space="preserve">Amgen: Amgen India Excellence Centre</w:t>
      </w:r>
    </w:p>
    <w:p>
      <w:pPr>
        <w:spacing w:after="120"/>
      </w:pPr>
      <w:r>
        <w:rPr>
          <w:i w:val="false"/>
          <w:iCs w:val="false"/>
          <w:color w:val="1C2333"/>
          <w:sz w:val="21"/>
          <w:szCs w:val="21"/>
        </w:rPr>
        <w:t xml:space="preserve">Amgen opened its India Excellence Centre (IEC) in Hyderabad in 2019, and has since scaled it to approximately 1,800 employees focused on three capability areas that reflect Amgen's distinct profile as a biologics-first company with a strong process science orientation.</w:t>
      </w:r>
    </w:p>
    <w:p>
      <w:pPr>
        <w:spacing w:after="120"/>
      </w:pPr>
      <w:r>
        <w:rPr>
          <w:i w:val="false"/>
          <w:iCs w:val="false"/>
          <w:color w:val="1C2333"/>
          <w:sz w:val="21"/>
          <w:szCs w:val="21"/>
        </w:rPr>
        <w:t xml:space="preserve">Biologics process development analytics. Amgen's India centre has built deep capability in the computational aspects of biologics manufacturing process development — the design of experiments (DoE) analysis, multivariate statistical process control (MSPC) model development, and digital twin construction that supports Amgen's manufacturing network of next-generation bioreactor facilities. India-based process engineers and data scientists work directly with Amgen's manufacturing science and technology (MS&amp;T) teams on the design and validation of PAT methods for its commercial biologics products, including Enbrel, Prolia, and the PCSK9 inhibitor Repatha.</w:t>
      </w:r>
    </w:p>
    <w:p>
      <w:pPr>
        <w:spacing w:after="120"/>
      </w:pPr>
      <w:r>
        <w:rPr>
          <w:i w:val="false"/>
          <w:iCs w:val="false"/>
          <w:color w:val="1C2333"/>
          <w:sz w:val="21"/>
          <w:szCs w:val="21"/>
        </w:rPr>
        <w:t xml:space="preserve">Biosimilar digital platform. Amgen's biosimilar portfolio (Mvasi, Kanjinti, Avsola) requires a particularly rigorous analytical comparability program — demonstrating at the molecular level that the biosimilar is highly similar to the reference product across all quality attributes. The India centre has built the data management and statistical analysis infrastructure for Amgen's global biosimilar comparability program, including the development of multi-attribute method (MAM) data analysis workflows that process mass spectrometry data from hundreds of comparability studies simultaneously.</w:t>
      </w:r>
    </w:p>
    <w:p>
      <w:pPr>
        <w:spacing w:after="120"/>
      </w:pPr>
      <w:r>
        <w:rPr>
          <w:i w:val="false"/>
          <w:iCs w:val="false"/>
          <w:color w:val="1C2333"/>
          <w:sz w:val="21"/>
          <w:szCs w:val="21"/>
        </w:rPr>
        <w:t xml:space="preserve">Commercial analytics for the US market. Amgen's commercial analytics team in India supports the US business with market access analytics, patient affordability modelling, and next-best-action models for Amgen's specialty care portfolio. The team uses IQVIA APLD (anonymous patient-level data) and Komodo Health data to model patient treatment pathways, identify patients who are suboptimally treated, and generate insights that guide the US commercial team's targeting and messaging strategies.</w:t>
      </w:r>
    </w:p>
    <w:p>
      <w:pPr>
        <w:pStyle w:val="Heading3"/>
        <w:spacing w:after="120" w:before="160"/>
      </w:pPr>
      <w:r>
        <w:rPr>
          <w:b/>
          <w:bCs/>
          <w:color w:val="0D2B55"/>
        </w:rPr>
        <w:t xml:space="preserve">Sanofi: Sanofi Business Operations India and Chennai Hub</w:t>
      </w:r>
    </w:p>
    <w:p>
      <w:pPr>
        <w:spacing w:after="120"/>
      </w:pPr>
      <w:r>
        <w:rPr>
          <w:i w:val="false"/>
          <w:iCs w:val="false"/>
          <w:color w:val="1C2333"/>
          <w:sz w:val="21"/>
          <w:szCs w:val="21"/>
        </w:rPr>
        <w:t xml:space="preserve">Sanofi operates two major India centres with distinct but complementary mandates. The Sanofi Business Operations India centre in Hyderabad is focused on enterprise operations — financial shared services, supply chain analytics, HR operations, and procurement analytics. The Chennai Digital Hub (opened 2022) is Sanofi's next-generation AI and data science centre, designed to support Sanofi's highly ambitious "Play to Win" digital strategy.</w:t>
      </w:r>
    </w:p>
    <w:p>
      <w:pPr>
        <w:spacing w:after="120"/>
      </w:pPr>
      <w:r>
        <w:rPr>
          <w:i w:val="false"/>
          <w:iCs w:val="false"/>
          <w:color w:val="1C2333"/>
          <w:sz w:val="21"/>
          <w:szCs w:val="21"/>
        </w:rPr>
        <w:t xml:space="preserve">Play to Win digital ambition. Sanofi CEO Paul Hudson articulated an explicit ambition for Sanofi to become the first pharmaceutical company to use AI systematically across the entire drug development lifecycle — from target selection to trial design to commercial launch. The Chennai Digital Hub is a primary delivery vehicle for this ambition. The hub employs over 700 AI engineers, data scientists, and platform architects who work on Sanofi's internal AI platforms including PLAI (Sanofi's proprietary AI platform for drug discovery, announced in 2023), the Predict platform for patient population analytics, and a suite of manufacturing AI tools.</w:t>
      </w:r>
    </w:p>
    <w:p>
      <w:pPr>
        <w:spacing w:after="120"/>
      </w:pPr>
      <w:r>
        <w:rPr>
          <w:i w:val="false"/>
          <w:iCs w:val="false"/>
          <w:color w:val="1C2333"/>
          <w:sz w:val="21"/>
          <w:szCs w:val="21"/>
        </w:rPr>
        <w:t xml:space="preserve">Vaccine AI. Given Sanofi's position as one of the world's largest vaccine manufacturers (Fluzone, Menactra, Shingrix partner manufacturing, mRNA platform), the Chennai hub has developed specific AI capabilities for vaccine process development — predictive models for viral antigen yield optimisation, stability prediction models for cold-chain management, and manufacturing deviation detection tools specifically designed for the characteristics of vaccine manufacturing processes.</w:t>
      </w:r>
    </w:p>
    <w:p>
      <w:pPr>
        <w:spacing w:after="120"/>
      </w:pPr>
      <w:r>
        <w:rPr>
          <w:i w:val="false"/>
          <w:iCs w:val="false"/>
          <w:color w:val="1C2333"/>
          <w:sz w:val="21"/>
          <w:szCs w:val="21"/>
        </w:rPr>
        <w:t xml:space="preserve">Partnership ecosystem. The Chennai hub has established formal research partnerships with IIT Madras, Anna University, and the National Institute of Nutrition (NIN), creating academic talent pipelines specifically suited to Sanofi's therapeutic focus areas (vaccines, rare disease, immunology, diabetes/cardiovascular).</w:t>
      </w:r>
    </w:p>
    <w:p>
      <w:pPr>
        <w:pStyle w:val="Heading3"/>
        <w:spacing w:after="120" w:before="160"/>
      </w:pPr>
      <w:r>
        <w:rPr>
          <w:b/>
          <w:bCs/>
          <w:color w:val="0D2B55"/>
        </w:rPr>
        <w:t xml:space="preserve">Sandoz (Novartis Generics spin-off): Sandoz India GCC</w:t>
      </w:r>
    </w:p>
    <w:p>
      <w:pPr>
        <w:spacing w:after="120"/>
      </w:pPr>
      <w:r>
        <w:rPr>
          <w:i w:val="false"/>
          <w:iCs w:val="false"/>
          <w:color w:val="1C2333"/>
          <w:sz w:val="21"/>
          <w:szCs w:val="21"/>
        </w:rPr>
        <w:t xml:space="preserve">Following Sandoz's separation from Novartis in October 2023 to become an independent publicly traded company, Sandoz established its India GCC in Hyderabad as a standalone entity — inheriting significant capability from the Novartis India infrastructure while building a distinct identity appropriate to Sandoz's position as the world's largest generics and biosimilars company.</w:t>
      </w:r>
    </w:p>
    <w:p>
      <w:pPr>
        <w:spacing w:after="120"/>
      </w:pPr>
      <w:r>
        <w:rPr>
          <w:i w:val="false"/>
          <w:iCs w:val="false"/>
          <w:color w:val="1C2333"/>
          <w:sz w:val="21"/>
          <w:szCs w:val="21"/>
        </w:rPr>
        <w:t xml:space="preserve">Generics digital manufacturing. Sandoz's India GCC is focused heavily on manufacturing quality and supply chain — the core operational levers that determine competitiveness in the global generics market. The centre has built AI-powered batch failure prediction models for Sandoz's global manufacturing network, real-time quality deviation monitoring systems integrated with Sandoz's MES installations across Europe and North America, and supply chain optimisation models that manage the complex multi-source API supply network that is characteristic of generics manufacturing.</w:t>
      </w:r>
    </w:p>
    <w:p>
      <w:pPr>
        <w:spacing w:after="120"/>
      </w:pPr>
      <w:r>
        <w:rPr>
          <w:i w:val="false"/>
          <w:iCs w:val="false"/>
          <w:color w:val="1C2333"/>
          <w:sz w:val="21"/>
          <w:szCs w:val="21"/>
        </w:rPr>
        <w:t xml:space="preserve">Biosimilar regulatory strategy. Sandoz is the global leader in biosimilars by commercial sales (Zarxio, Hyrimoz, Riximyo). The India GCC manages the regulatory submission infrastructure for Sandoz's biosimilar lifecycle globally — a technically demanding task that requires integrating analytical comparability data, clinical pharmacology data, and immunogenicity data across multiple jurisdictions with different biosimilar regulatory pathways. The centre's regulatory informatics team has built a proprietary data management platform that automates much of the comparability data compilation for biosimilar submissions.</w:t>
      </w:r>
    </w:p>
    <w:p>
      <w:pPr>
        <w:pStyle w:val="Heading3"/>
        <w:spacing w:after="120" w:before="160"/>
      </w:pPr>
      <w:r>
        <w:rPr>
          <w:b/>
          <w:bCs/>
          <w:color w:val="0D2B55"/>
        </w:rPr>
        <w:t xml:space="preserve">GSK: GSK Pharma India Global Services</w:t>
      </w:r>
    </w:p>
    <w:p>
      <w:pPr>
        <w:spacing w:after="120"/>
      </w:pPr>
      <w:r>
        <w:rPr>
          <w:i w:val="false"/>
          <w:iCs w:val="false"/>
          <w:color w:val="1C2333"/>
          <w:sz w:val="21"/>
          <w:szCs w:val="21"/>
        </w:rPr>
        <w:t xml:space="preserve">GSK's India GCC — headquartered in Hyderabad and operating as GSK Pharma India Global Services — is one of the largest and longest-established in the Indian pharma ecosystem, reflecting GSK's early recognition of India's strategic value as a capability location.</w:t>
      </w:r>
    </w:p>
    <w:p>
      <w:pPr>
        <w:spacing w:after="120"/>
      </w:pPr>
      <w:r>
        <w:rPr>
          <w:i w:val="false"/>
          <w:iCs w:val="false"/>
          <w:color w:val="1C2333"/>
          <w:sz w:val="21"/>
          <w:szCs w:val="21"/>
        </w:rPr>
        <w:t xml:space="preserve">R&amp;D bioinformatics and target biology. GSK's Hyderabad centre houses a team of 300+ computational biologists and bioinformaticians who contribute directly to GSK's target identification and validation programs. The team works on multi-omics data integration using GSK's Target 360 platform — a proprietary knowledge graph that integrates genomics, proteomics, and clinical data to score target-disease associations. The India team manages the data engineering infrastructure that keeps Target 360 updated with the latest public genomics data, clinical genetic association studies, and GSK's own experimental data.</w:t>
      </w:r>
    </w:p>
    <w:p>
      <w:pPr>
        <w:spacing w:after="120"/>
      </w:pPr>
      <w:r>
        <w:rPr>
          <w:i w:val="false"/>
          <w:iCs w:val="false"/>
          <w:color w:val="1C2333"/>
          <w:sz w:val="21"/>
          <w:szCs w:val="21"/>
        </w:rPr>
        <w:t xml:space="preserve">Vaccines analytics. Given GSK's position as the world's largest vaccine company by revenue, the Hyderabad centre has developed deep expertise in vaccine-specific analytics: immunogenicity prediction models that estimate vaccine efficacy in different population segments, cold chain logistics optimisation for GSK's global vaccine supply network, and manufacturing deviation analysis for the highly complex manufacturing processes involved in adjuvanted vaccines (Shingrix) and conjugate vaccines (Bexsero, Menveo).</w:t>
      </w:r>
    </w:p>
    <w:p>
      <w:pPr>
        <w:spacing w:after="120"/>
      </w:pPr>
      <w:r>
        <w:rPr>
          <w:i w:val="false"/>
          <w:iCs w:val="false"/>
          <w:color w:val="1C2333"/>
          <w:sz w:val="21"/>
          <w:szCs w:val="21"/>
        </w:rPr>
        <w:t xml:space="preserve">Commercial and market access analytics. The India centre manages market analytics for GSK's commercial operations across Asia-Pacific, providing market share analysis, next-best-action models for the Asia-Pacific field force, and launch analytics for new product introductions across the region. The team also manages GSK's pharmacoeconomics modelling for Asia-Pacific market access submissions.</w:t>
      </w:r>
    </w:p>
    <w:p>
      <w:pPr>
        <w:pStyle w:val="Heading3"/>
        <w:spacing w:after="120" w:before="160"/>
      </w:pPr>
      <w:r>
        <w:rPr>
          <w:b/>
          <w:bCs/>
          <w:color w:val="0D2B55"/>
        </w:rPr>
        <w:t xml:space="preserve">Eli Lilly: Lilly Capability Centre India</w:t>
      </w:r>
    </w:p>
    <w:p>
      <w:pPr>
        <w:spacing w:after="120"/>
      </w:pPr>
      <w:r>
        <w:rPr>
          <w:i w:val="false"/>
          <w:iCs w:val="false"/>
          <w:color w:val="1C2333"/>
          <w:sz w:val="21"/>
          <w:szCs w:val="21"/>
        </w:rPr>
        <w:t xml:space="preserve">Eli Lilly opened its Lilly Capability Centre India in Bangalore in 2016, and has invested consistently to make it a central node in the company's global digital transformation. The centre employs approximately 2,000 people and is particularly notable for its role in Lilly's manufacturing digitalization program.</w:t>
      </w:r>
    </w:p>
    <w:p>
      <w:pPr>
        <w:spacing w:after="120"/>
      </w:pPr>
      <w:r>
        <w:rPr>
          <w:i w:val="false"/>
          <w:iCs w:val="false"/>
          <w:color w:val="1C2333"/>
          <w:sz w:val="21"/>
          <w:szCs w:val="21"/>
        </w:rPr>
        <w:t xml:space="preserve">Manufacturing digital transformation leadership. Eli Lilly has been one of the pharmaceutical industry's leaders in continuous manufacturing adoption, and the India centre has played a significant role in this transformation. India-based manufacturing data scientists built and maintain the process control models for Lilly's continuous manufacturing facilities for small molecule drugs, including the sophisticated multivariate process control systems that enable real-time release testing. The centre also manages the global template for Lilly's electronic batch record (EBR) system — a critical role given that a global EBR template must work across dozens of manufacturing sites with different equipment configurations, regulatory environments, and product types.</w:t>
      </w:r>
    </w:p>
    <w:p>
      <w:pPr>
        <w:spacing w:after="120"/>
      </w:pPr>
      <w:r>
        <w:rPr>
          <w:i w:val="false"/>
          <w:iCs w:val="false"/>
          <w:color w:val="1C2333"/>
          <w:sz w:val="21"/>
          <w:szCs w:val="21"/>
        </w:rPr>
        <w:t xml:space="preserve">Clinical data and statistics. Lilly's India centre houses a 400+ person clinical data science team that manages data from Lilly's global trial portfolio across diabetes (Jardiance partnership analytics, Mounjaro GLP-1 program), oncology (Verzenio, Retevmo), immunology, and neurodegeneration. The biostatistics team has developed novel adaptive trial design expertise, contributing to Lilly's extensive use of Bayesian adaptive designs in its immunology clinical program — an area where the India-based statisticians have published original methodology papers in peer-reviewed statistical journals.</w:t>
      </w:r>
    </w:p>
    <w:p>
      <w:pPr>
        <w:spacing w:after="120"/>
      </w:pPr>
      <w:r>
        <w:rPr>
          <w:i w:val="false"/>
          <w:iCs w:val="false"/>
          <w:color w:val="1C2333"/>
          <w:sz w:val="21"/>
          <w:szCs w:val="21"/>
        </w:rPr>
        <w:t xml:space="preserve">Digital health for diabetes. Given Lilly's deep commitment to diabetes therapeutics, the India centre has built dedicated capability in digital diabetes management: developing algorithms for connected insulin pen data analysis, building the backend analytics for Lilly's connected care platform, and analysing outcomes data from the company's partnerships with CGM manufacturers and diabetes disease management apps.</w:t>
      </w:r>
    </w:p>
    <w:p>
      <w:pPr>
        <w:pStyle w:val="Heading3"/>
        <w:spacing w:after="120" w:before="160"/>
      </w:pPr>
      <w:r>
        <w:rPr>
          <w:b/>
          <w:bCs/>
          <w:color w:val="0D2B55"/>
        </w:rPr>
        <w:t xml:space="preserve">Pfizer: Pfizer India Digital Hub</w:t>
      </w:r>
    </w:p>
    <w:p>
      <w:pPr>
        <w:spacing w:after="120"/>
      </w:pPr>
      <w:r>
        <w:rPr>
          <w:i w:val="false"/>
          <w:iCs w:val="false"/>
          <w:color w:val="1C2333"/>
          <w:sz w:val="21"/>
          <w:szCs w:val="21"/>
        </w:rPr>
        <w:t xml:space="preserve">Pfizer's India presence spans both commercial operations and a growing Digital Hub based in Chennai and Bangalore, which has become an increasingly important part of Pfizer's post-COVID digital transformation agenda.</w:t>
      </w:r>
    </w:p>
    <w:p>
      <w:pPr>
        <w:spacing w:after="120"/>
      </w:pPr>
      <w:r>
        <w:rPr>
          <w:i w:val="false"/>
          <w:iCs w:val="false"/>
          <w:color w:val="1C2333"/>
          <w:sz w:val="21"/>
          <w:szCs w:val="21"/>
        </w:rPr>
        <w:t xml:space="preserve">COVID-19 legacy and mRNA platform analytics. Pfizer's India digital team played a supporting role in the BNT162b2 vaccine trial analytics and has since become the primary analytics team for Pfizer's mRNA platform development program — the company's strategic bet that mRNA technology will extend far beyond COVID-19 into influenza, respiratory syncytial virus (RSV), oncology, and rare disease. India-based data scientists manage the manufacturing process analytics for Pfizer's lipid nanoparticle (LNP) delivery systems — a critical capability as LNP manufacturing scale-up is one of the primary technical challenges for the mRNA platform.</w:t>
      </w:r>
    </w:p>
    <w:p>
      <w:pPr>
        <w:spacing w:after="120"/>
      </w:pPr>
      <w:r>
        <w:rPr>
          <w:i w:val="false"/>
          <w:iCs w:val="false"/>
          <w:color w:val="1C2333"/>
          <w:sz w:val="21"/>
          <w:szCs w:val="21"/>
        </w:rPr>
        <w:t xml:space="preserve">Commercial analytics and launch excellence. Pfizer's India analytics team manages commercial analytics support for Pfizer's Asia-Pacific commercial operations, including launch analytics for Paxlovid (COVID-19 oral antiviral), Nurtec (migraine), Vyndaqel (transthyretin amyloidosis), and the company's vaccines portfolio. The team has built sophisticated patient identification analytics for Pfizer's rare disease portfolio — conditions like transthyretin amyloidosis and hemophilia require finding patients in large claims databases using complex ICD code patterns and specialist referral signals.</w:t>
      </w:r>
    </w:p>
    <w:p>
      <w:pPr>
        <w:spacing w:after="120"/>
      </w:pPr>
      <w:r>
        <w:rPr>
          <w:i w:val="false"/>
          <w:iCs w:val="false"/>
          <w:color w:val="1C2333"/>
          <w:sz w:val="21"/>
          <w:szCs w:val="21"/>
        </w:rPr>
        <w:t xml:space="preserve">Enterprise digital operations. The India hub manages Pfizer's global ServiceNow ITSM platform — the system that manages all IT service requests, incident management, and change management across Pfizer's global operations. This is a high-visibility operational role that requires 24-hour coverage, making the India time zone particularly valuable.</w:t>
      </w:r>
    </w:p>
    <w:p>
      <w:pPr>
        <w:pStyle w:val="Heading2"/>
        <w:spacing w:after="120" w:before="240"/>
      </w:pPr>
      <w:r>
        <w:rPr>
          <w:b/>
          <w:bCs/>
          <w:color w:val="0D2B55"/>
        </w:rPr>
        <w:t xml:space="preserve">16.4 Indian Pharma Companies: Building Digital Capability Domestically</w:t>
      </w:r>
    </w:p>
    <w:p>
      <w:pPr>
        <w:spacing w:after="120"/>
      </w:pPr>
      <w:r>
        <w:rPr>
          <w:i w:val="false"/>
          <w:iCs w:val="false"/>
          <w:color w:val="1C2333"/>
          <w:sz w:val="21"/>
          <w:szCs w:val="21"/>
        </w:rPr>
        <w:t xml:space="preserve">India's domestic pharmaceutical sector — the world's largest generics industry by volume — is undergoing its own digital transformation, driven by a combination of regulatory pressure (improving data integrity compliance with US FDA and EMA), competitive pressure (rising costs requiring efficiency improvements), and strategic ambition (building the digital capabilities that will sustain competitiveness in a market increasingly differentiated by quality and speed).</w:t>
      </w:r>
    </w:p>
    <w:p>
      <w:pPr>
        <w:pStyle w:val="Heading3"/>
        <w:spacing w:after="120" w:before="160"/>
      </w:pPr>
      <w:r>
        <w:rPr>
          <w:b/>
          <w:bCs/>
          <w:color w:val="0D2B55"/>
        </w:rPr>
        <w:t xml:space="preserve">Dr. Reddy's Laboratories: DRL Digital</w:t>
      </w:r>
    </w:p>
    <w:p>
      <w:pPr>
        <w:spacing w:after="120"/>
      </w:pPr>
      <w:r>
        <w:rPr>
          <w:i w:val="false"/>
          <w:iCs w:val="false"/>
          <w:color w:val="1C2333"/>
          <w:sz w:val="21"/>
          <w:szCs w:val="21"/>
        </w:rPr>
        <w:t xml:space="preserve">Dr. Reddy's Laboratories has arguably made the most explicit and comprehensive commitment to digital transformation among Indian pharma companies, articulating digital as a core strategic pillar rather than an IT investment. The company's DRL Digital initiative, launched in 2019 and significantly expanded since, spans manufacturing intelligence, commercial analytics, and R&amp;D digitalization.</w:t>
      </w:r>
    </w:p>
    <w:p>
      <w:pPr>
        <w:spacing w:after="120"/>
      </w:pPr>
      <w:r>
        <w:rPr>
          <w:i w:val="false"/>
          <w:iCs w:val="false"/>
          <w:color w:val="1C2333"/>
          <w:sz w:val="21"/>
          <w:szCs w:val="21"/>
        </w:rPr>
        <w:t xml:space="preserve">Manufacturing digital transformation. DRL has implemented electronic batch records across its major API and formulation manufacturing facilities in Hyderabad, implementing the Werum PAS-X MES platform as the global standard. The company has deployed PAT-based in-process controls for several of its high-volume API processes, with inline NIR spectroscopy measuring critical quality attributes in real time. DRL's manufacturing analytics team has built a batch quality prediction model trained on five years of historical batch data that predicts the probability of batch failure at multiple points in the manufacturing process — enabling early intervention and reducing the batch failure rate by an estimated 18%.</w:t>
      </w:r>
    </w:p>
    <w:p>
      <w:pPr>
        <w:spacing w:after="120"/>
      </w:pPr>
      <w:r>
        <w:rPr>
          <w:i w:val="false"/>
          <w:iCs w:val="false"/>
          <w:color w:val="1C2333"/>
          <w:sz w:val="21"/>
          <w:szCs w:val="21"/>
        </w:rPr>
        <w:t xml:space="preserve">Quality transformation. DRL implemented Veeva Vault QualityOne as its enterprise eQMS in 2021, replacing a fragmented landscape of paper-based quality processes across its 20+ manufacturing facilities. The implementation was challenging — integrating Vault with PAS-X MES, with the company's SAP ERP, and with the LIMS systems at each manufacturing site — but has delivered measurable results: CAPA closure cycle time reduced from 45 days to 22 days, deviation investigation cycle time reduced by 30%, and the company's US FDA inspection outcomes improved materially in the two inspection cycles following implementation.</w:t>
      </w:r>
    </w:p>
    <w:p>
      <w:pPr>
        <w:spacing w:after="120"/>
      </w:pPr>
      <w:r>
        <w:rPr>
          <w:i w:val="false"/>
          <w:iCs w:val="false"/>
          <w:color w:val="1C2333"/>
          <w:sz w:val="21"/>
          <w:szCs w:val="21"/>
        </w:rPr>
        <w:t xml:space="preserve">R&amp;D analytics and formulation intelligence. DRL's formulation R&amp;D team has built AI models for formulation design — predicting the dissolution performance and stability of drug products based on excipient compositions and manufacturing parameters. These models, trained on 15 years of DRL's internal formulation development data, reduce the number of experimental formulations required to achieve target dissolution profiles by an estimated 40%, compressing the formulation development cycle for generic drug filings.</w:t>
      </w:r>
    </w:p>
    <w:p>
      <w:pPr>
        <w:spacing w:after="120"/>
      </w:pPr>
      <w:r>
        <w:rPr>
          <w:i w:val="false"/>
          <w:iCs w:val="false"/>
          <w:color w:val="1C2333"/>
          <w:sz w:val="21"/>
          <w:szCs w:val="21"/>
        </w:rPr>
        <w:t xml:space="preserve">PSAI digital. DRL's API business (marketed as PSAI — Pharmaceutical Services and Active Ingredients) serves multinational pharma customers who require rigorous quality documentation and digital supply chain integration. DRL has built an electronic Certificate of Analysis (eCOA) system that allows customers to receive real-time batch quality data, automated deviation notifications, and electronic supply chain documentation — a B2B digital service capability that differentiates DRL from competitors in a market where quality transparency is increasingly a customer requirement.</w:t>
      </w:r>
    </w:p>
    <w:p>
      <w:pPr>
        <w:pStyle w:val="Heading3"/>
        <w:spacing w:after="120" w:before="160"/>
      </w:pPr>
      <w:r>
        <w:rPr>
          <w:b/>
          <w:bCs/>
          <w:color w:val="0D2B55"/>
        </w:rPr>
        <w:t xml:space="preserve">Sun Pharmaceutical Industries: Sun Digital</w:t>
      </w:r>
    </w:p>
    <w:p>
      <w:pPr>
        <w:spacing w:after="120"/>
      </w:pPr>
      <w:r>
        <w:rPr>
          <w:i w:val="false"/>
          <w:iCs w:val="false"/>
          <w:color w:val="1C2333"/>
          <w:sz w:val="21"/>
          <w:szCs w:val="21"/>
        </w:rPr>
        <w:t xml:space="preserve">Sun Pharma's digital transformation — operating under the Sun Digital brand — reflects the company's position as the world's fourth-largest specialty pharmaceutical company by revenue and the largest in India. Sun's digital agenda spans specialty commercial analytics (particularly for its dermatology and ophthalmology portfolios in the US), manufacturing quality, and a distinctive digital health investment thesis.</w:t>
      </w:r>
    </w:p>
    <w:p>
      <w:pPr>
        <w:spacing w:after="120"/>
      </w:pPr>
      <w:r>
        <w:rPr>
          <w:i w:val="false"/>
          <w:iCs w:val="false"/>
          <w:color w:val="1C2333"/>
          <w:sz w:val="21"/>
          <w:szCs w:val="21"/>
        </w:rPr>
        <w:t xml:space="preserve">Specialty commercial analytics. Sun's US specialty commercial business — which includes dermatology (Ilumya, Winlevi, Cequa), ophthalmology (Cequa), and CNS products — uses sophisticated commercial analytics to compete against much larger rivals. The company has deployed AI-powered patient identification analytics for its specialty portfolios, using claims data to identify dermatologists and ophthalmologists with high concentrations of patients matching the eligibility profile for Sun's biologic therapies. Next-best-action models for Sun's US specialty field force deliver daily targeting recommendations that have improved sales force productivity by an estimated 20–25%.</w:t>
      </w:r>
    </w:p>
    <w:p>
      <w:pPr>
        <w:spacing w:after="120"/>
      </w:pPr>
      <w:r>
        <w:rPr>
          <w:i w:val="false"/>
          <w:iCs w:val="false"/>
          <w:color w:val="1C2333"/>
          <w:sz w:val="21"/>
          <w:szCs w:val="21"/>
        </w:rPr>
        <w:t xml:space="preserve">Sun Pharma Digital subsidiary. Sun Pharma established a dedicated digital health subsidiary — Sun Pharma Digital — in 2020, with a mandate to develop digital therapeutics and patient support platforms adjacent to the company's core pharmaceutical portfolio. The subsidiary has developed connected care platforms for patients with psoriasis and atopic dermatitis (integrated with Sun's biologic therapies), a digital adherence platform for chronic skin conditions, and early-stage digital therapeutic programs for psoriasis that are being designed to complement the pharmacological effect of Sun's biologics.</w:t>
      </w:r>
    </w:p>
    <w:p>
      <w:pPr>
        <w:spacing w:after="120"/>
      </w:pPr>
      <w:r>
        <w:rPr>
          <w:i w:val="false"/>
          <w:iCs w:val="false"/>
          <w:color w:val="1C2333"/>
          <w:sz w:val="21"/>
          <w:szCs w:val="21"/>
        </w:rPr>
        <w:t xml:space="preserve">Manufacturing intelligence. Sun's manufacturing digital transformation focuses on its 47 manufacturing facilities globally — a scale and geographic complexity that makes enterprise-wide standardisation challenging. The company has implemented a cloud-based quality management system and is rolling out electronic batch records across its US and European facilities in response to FDA and EMA quality expectations. The company's manufacturing data science team is based in Mumbai and Vadodara.</w:t>
      </w:r>
    </w:p>
    <w:p>
      <w:pPr>
        <w:pStyle w:val="Heading3"/>
        <w:spacing w:after="120" w:before="160"/>
      </w:pPr>
      <w:r>
        <w:rPr>
          <w:b/>
          <w:bCs/>
          <w:color w:val="0D2B55"/>
        </w:rPr>
        <w:t xml:space="preserve">Aurobindo Pharma: Aurobindo Digital Transformation</w:t>
      </w:r>
    </w:p>
    <w:p>
      <w:pPr>
        <w:spacing w:after="120"/>
      </w:pPr>
      <w:r>
        <w:rPr>
          <w:i w:val="false"/>
          <w:iCs w:val="false"/>
          <w:color w:val="1C2333"/>
          <w:sz w:val="21"/>
          <w:szCs w:val="21"/>
        </w:rPr>
        <w:t xml:space="preserve">Aurobindo has historically been a volume-oriented API and generic formulation manufacturer, competing on cost and scale in the global generics market. Its digital transformation, while less visible than DRL's or Sun's, is driven by an acute practical imperative: maintaining the quality compliance standards that US FDA, EMA, and other regulators require, while managing the operational complexity of one of the largest pharmaceutical manufacturing networks in India.</w:t>
      </w:r>
    </w:p>
    <w:p>
      <w:pPr>
        <w:spacing w:after="120"/>
      </w:pPr>
      <w:r>
        <w:rPr>
          <w:i w:val="false"/>
          <w:iCs w:val="false"/>
          <w:color w:val="1C2333"/>
          <w:sz w:val="21"/>
          <w:szCs w:val="21"/>
        </w:rPr>
        <w:t xml:space="preserve">Data integrity remediation as digital foundation. Aurobindo has received multiple US FDA observations relating to data integrity at its manufacturing facilities — a pattern that reflects the challenges of managing paper-based quality systems across a large, fast-growing manufacturing network. The company's digital transformation program is centred on remediating these data integrity risks through implementation of electronic batch records, validated LIMS systems, and electronic QMS across its 30+ manufacturing facilities. This is unglamorous but essential work — and it is creating the digital foundation on which more sophisticated manufacturing analytics can be built.</w:t>
      </w:r>
    </w:p>
    <w:p>
      <w:pPr>
        <w:spacing w:after="120"/>
      </w:pPr>
      <w:r>
        <w:rPr>
          <w:i w:val="false"/>
          <w:iCs w:val="false"/>
          <w:color w:val="1C2333"/>
          <w:sz w:val="21"/>
          <w:szCs w:val="21"/>
        </w:rPr>
        <w:t xml:space="preserve">Oracle ERP consolidation. Aurobindo is implementing Oracle Fusion Cloud as its global ERP — a major undertaking for a company of its scale and complexity. The ERP consolidation will, for the first time, give Aurobindo's management a unified view of financial performance, inventory, production planning, and supply chain across all its global operations — replacing a fragmented landscape of legacy systems that has historically limited management visibility and decision speed.</w:t>
      </w:r>
    </w:p>
    <w:p>
      <w:pPr>
        <w:spacing w:after="120"/>
      </w:pPr>
      <w:r>
        <w:rPr>
          <w:i w:val="false"/>
          <w:iCs w:val="false"/>
          <w:color w:val="1C2333"/>
          <w:sz w:val="21"/>
          <w:szCs w:val="21"/>
        </w:rPr>
        <w:t xml:space="preserve">GCC ambitions. Aurobindo is in early stages of establishing a digital and IT GCC in Hyderabad, focused initially on SAP/Oracle ERP support, quality system administration, and basic analytics. The centre is expected to scale as the company's digital maturity increases and the demand for analytics and automation capabilities grows.</w:t>
      </w:r>
    </w:p>
    <w:p>
      <w:pPr>
        <w:pStyle w:val="Heading3"/>
        <w:spacing w:after="120" w:before="160"/>
      </w:pPr>
      <w:r>
        <w:rPr>
          <w:b/>
          <w:bCs/>
          <w:color w:val="0D2B55"/>
        </w:rPr>
        <w:t xml:space="preserve">Cipla: Cipla Digital Health</w:t>
      </w:r>
    </w:p>
    <w:p>
      <w:pPr>
        <w:spacing w:after="120"/>
      </w:pPr>
      <w:r>
        <w:rPr>
          <w:i w:val="false"/>
          <w:iCs w:val="false"/>
          <w:color w:val="1C2333"/>
          <w:sz w:val="21"/>
          <w:szCs w:val="21"/>
        </w:rPr>
        <w:t xml:space="preserve">Cipla has carved out a distinctive digital transformation identity through its Cipla Digital Health initiative, which positions digital not just as an internal efficiency tool but as a product and patient engagement strategy. This reflects Cipla's historical brand identity — the company that made antiretroviral therapy affordable for HIV patients in Africa in the 2000s — as a patient-centric company with a social purpose as well as a commercial mission.</w:t>
      </w:r>
    </w:p>
    <w:p>
      <w:pPr>
        <w:spacing w:after="120"/>
      </w:pPr>
      <w:r>
        <w:rPr>
          <w:i w:val="false"/>
          <w:iCs w:val="false"/>
          <w:color w:val="1C2333"/>
          <w:sz w:val="21"/>
          <w:szCs w:val="21"/>
        </w:rPr>
        <w:t xml:space="preserve">Digital health products. Cipla Digital Health has developed and commercialised several digital health products in India and internationally. Cipla Health's Wellnesforever health platform provides telehealth consultations, digital pharmacy services, and chronic disease management programs. The CipDHR (Digital Health Record) initiative integrates Cipla's pharmacist network with patient health records, creating digital touchpoints across Cipla's 1,500+ branded retail pharmacy partners in India. For respiratory therapy — a core Cipla franchise — the company has developed a connected inhaler app (in partnership with a digital health technology provider) that measures inhaler adherence and technique, generating real-world evidence on respiratory drug performance in Indian patient populations.</w:t>
      </w:r>
    </w:p>
    <w:p>
      <w:pPr>
        <w:spacing w:after="120"/>
      </w:pPr>
      <w:r>
        <w:rPr>
          <w:i w:val="false"/>
          <w:iCs w:val="false"/>
          <w:color w:val="1C2333"/>
          <w:sz w:val="21"/>
          <w:szCs w:val="21"/>
        </w:rPr>
        <w:t xml:space="preserve">Manufacturing and quality. Cipla's manufacturing digital transformation focuses on its Goa and Kurkumbh formulation facilities, where the company has implemented PAT-based process controls for oral solid dosage manufacturing, digital batch records, and an integrated LIMS-MES workflow that has reduced batch release cycle time by approximately three weeks. The Goa facility has been highlighted in FDA inspection outcomes as evidence of Cipla's improving quality management.</w:t>
      </w:r>
    </w:p>
    <w:p>
      <w:pPr>
        <w:spacing w:after="120"/>
      </w:pPr>
      <w:r>
        <w:rPr>
          <w:i w:val="false"/>
          <w:iCs w:val="false"/>
          <w:color w:val="1C2333"/>
          <w:sz w:val="21"/>
          <w:szCs w:val="21"/>
        </w:rPr>
        <w:t xml:space="preserve">AI-powered drug development. Cipla's R&amp;D team in Mumbai has built a formulation AI capability — machine learning models for predicting dissolution kinetics, polymorphic stability, and shelf life of generic drug products from formulation composition data. These models, developed in partnership with IIT Bombay, are being used to accelerate the development of complex generics including modified-release formulations and inhalation products.</w:t>
      </w:r>
    </w:p>
    <w:p>
      <w:pPr>
        <w:pStyle w:val="Heading3"/>
        <w:spacing w:after="120" w:before="160"/>
      </w:pPr>
      <w:r>
        <w:rPr>
          <w:b/>
          <w:bCs/>
          <w:color w:val="0D2B55"/>
        </w:rPr>
        <w:t xml:space="preserve">Lupin Pharmaceuticals: Lupin Digital</w:t>
      </w:r>
    </w:p>
    <w:p>
      <w:pPr>
        <w:spacing w:after="120"/>
      </w:pPr>
      <w:r>
        <w:rPr>
          <w:i w:val="false"/>
          <w:iCs w:val="false"/>
          <w:color w:val="1C2333"/>
          <w:sz w:val="21"/>
          <w:szCs w:val="21"/>
        </w:rPr>
        <w:t xml:space="preserve">Lupin's digital transformation is notable for its depth in manufacturing process intelligence — a reflection of the company's operational complexity (18 manufacturing plants globally) and its history of US FDA quality observations that created an urgent imperative to improve quality management through digital systems.</w:t>
      </w:r>
    </w:p>
    <w:p>
      <w:pPr>
        <w:spacing w:after="120"/>
      </w:pPr>
      <w:r>
        <w:rPr>
          <w:i w:val="false"/>
          <w:iCs w:val="false"/>
          <w:color w:val="1C2333"/>
          <w:sz w:val="21"/>
          <w:szCs w:val="21"/>
        </w:rPr>
        <w:t xml:space="preserve">Manufacturing analytics platform. Lupin has built a proprietary Manufacturing Intelligence Platform (MIP) — a cloud-based analytics solution that ingests real-time data from MES, LIMS, and SCADA systems across Lupin's manufacturing network and presents a unified quality and operational performance dashboard to manufacturing leadership. The MIP was developed by Lupin's internal digital team, with implementation partners, and represents a significant investment in turning Lupin's manufacturing data from a compliance archive into a real-time decision-making resource.</w:t>
      </w:r>
    </w:p>
    <w:p>
      <w:pPr>
        <w:spacing w:after="120"/>
      </w:pPr>
      <w:r>
        <w:rPr>
          <w:i w:val="false"/>
          <w:iCs w:val="false"/>
          <w:color w:val="1C2333"/>
          <w:sz w:val="21"/>
          <w:szCs w:val="21"/>
        </w:rPr>
        <w:t xml:space="preserve">Inhalation digital expertise. Lupin has made a major strategic commitment to complex inhalation products — dry powder inhalers (DPIs) and metered dose inhalers (MDIs) — which require particularly sophisticated analytical methods and quality controls. The company has developed in-house computational fluid dynamics (CFD) modelling capability for DPI device design optimisation, and AI models for predicting aerodynamic particle size distribution from formulation and process parameters — reducing the number of physical testing iterations needed for device development.</w:t>
      </w:r>
    </w:p>
    <w:p>
      <w:pPr>
        <w:spacing w:after="120"/>
      </w:pPr>
      <w:r>
        <w:rPr>
          <w:i w:val="false"/>
          <w:iCs w:val="false"/>
          <w:color w:val="1C2333"/>
          <w:sz w:val="21"/>
          <w:szCs w:val="21"/>
        </w:rPr>
        <w:t xml:space="preserve">US Litigation analytics. Given the volume of patent litigation associated with Lupin's US generic portfolio, the company has built a data analytics capability specifically for patent landscape analysis — AI tools that identify freedom-to-operate opportunities, predict litigation outcomes, and model the commercial impact of patent expiry dates. This is an unusual GCC capability but reflects the reality that for a major US generics player, IP strategy is a core business capability.</w:t>
      </w:r>
    </w:p>
    <w:p>
      <w:pPr>
        <w:pStyle w:val="Heading2"/>
        <w:spacing w:after="120" w:before="240"/>
      </w:pPr>
      <w:r>
        <w:rPr>
          <w:b/>
          <w:bCs/>
          <w:color w:val="0D2B55"/>
        </w:rPr>
        <w:t xml:space="preserve">16.5 Capability Maturity Comparison</w:t>
      </w:r>
    </w:p>
    <w:p>
      <w:pPr>
        <w:spacing w:after="120"/>
      </w:pPr>
      <w:r>
        <w:rPr>
          <w:i w:val="false"/>
          <w:iCs w:val="false"/>
          <w:color w:val="1C2333"/>
          <w:sz w:val="21"/>
          <w:szCs w:val="21"/>
        </w:rPr>
        <w:t xml:space="preserve">A structured assessment of GCC digital maturity across the companies profiled reveals a clear hierarchy that tracks closely with investment level, tenure of the GCC, and the sophistication of the digital transformation agenda at the parent company.</w:t>
      </w:r>
    </w:p>
    <w:p>
      <w:pPr>
        <w:spacing w:after="120"/>
      </w:pPr>
      <w:r>
        <w:rPr>
          <w:i w:val="false"/>
          <w:iCs w:val="false"/>
          <w:color w:val="1C2333"/>
          <w:sz w:val="21"/>
          <w:szCs w:val="21"/>
        </w:rPr>
        <w:t xml:space="preserve">The most mature GCCs — Novartis, AstraZeneca, Eli Lilly, and GSK — demonstrate deep capability across all dimensions: AI and machine learning in production deployment, enterprise platform ownership (not just support), direct contributions to scientific programs, and genuine leadership of global functions from India. These centres score at PDMF Level 4 in the GCC context.</w:t>
      </w:r>
    </w:p>
    <w:p>
      <w:pPr>
        <w:spacing w:after="120"/>
      </w:pPr>
      <w:r>
        <w:rPr>
          <w:i w:val="false"/>
          <w:iCs w:val="false"/>
          <w:color w:val="1C2333"/>
          <w:sz w:val="21"/>
          <w:szCs w:val="21"/>
        </w:rPr>
        <w:t xml:space="preserve">A second tier — Novo Nordisk, BMS, Sanofi's Chennai hub, and Amgen — have built sophisticated capabilities in their focus domains (clinical analytics, precision oncology, biologics manufacturing intelligence) and are building toward broader enterprise integration. These centres score at PDMF Level 3–4.</w:t>
      </w:r>
    </w:p>
    <w:p>
      <w:pPr>
        <w:spacing w:after="120"/>
      </w:pPr>
      <w:r>
        <w:rPr>
          <w:i w:val="false"/>
          <w:iCs w:val="false"/>
          <w:color w:val="1C2333"/>
          <w:sz w:val="21"/>
          <w:szCs w:val="21"/>
        </w:rPr>
        <w:t xml:space="preserve">A third tier — Pfizer, Sandoz, and several mid-tier companies — are in accelerated development, having made significant investments post-2020 that are delivering growing capability but have not yet reached the depth and breadth of the leading tier. These score at PDMF Level 2–3.</w:t>
      </w:r>
    </w:p>
    <w:p>
      <w:pPr>
        <w:spacing w:after="120"/>
      </w:pPr>
      <w:r>
        <w:rPr>
          <w:i w:val="false"/>
          <w:iCs w:val="false"/>
          <w:color w:val="1C2333"/>
          <w:sz w:val="21"/>
          <w:szCs w:val="21"/>
        </w:rPr>
        <w:t xml:space="preserve">Among Indian domestic companies, DRL and Sun Pharma lead, with digital transformation programs that would rank comparably to mid-tier multinationals. Cipla demonstrates particular innovation in digital health products. Aurobindo, Lupin, and others are at earlier stages but investing with urgency driven by regulatory and competitive imperatives.</w:t>
      </w:r>
    </w:p>
    <w:p>
      <w:pPr>
        <w:pStyle w:val="Heading2"/>
        <w:spacing w:after="120" w:before="240"/>
      </w:pPr>
      <w:r>
        <w:rPr>
          <w:b/>
          <w:bCs/>
          <w:color w:val="0D2B55"/>
        </w:rPr>
        <w:t xml:space="preserve">16.6 Governance Models and Reporting Structures</w:t>
      </w:r>
    </w:p>
    <w:p>
      <w:pPr>
        <w:spacing w:after="120"/>
      </w:pPr>
      <w:r>
        <w:rPr>
          <w:i w:val="false"/>
          <w:iCs w:val="false"/>
          <w:color w:val="1C2333"/>
          <w:sz w:val="21"/>
          <w:szCs w:val="21"/>
        </w:rPr>
        <w:t xml:space="preserve">The governance model of a pharma GCC determines whether it remains a cost-optimised service delivery centre or evolves into a genuine strategic capability engine. Three models have emerged as dominant.</w:t>
      </w:r>
    </w:p>
    <w:p>
      <w:pPr>
        <w:spacing w:after="120"/>
      </w:pPr>
      <w:r>
        <w:rPr>
          <w:i w:val="false"/>
          <w:iCs w:val="false"/>
          <w:color w:val="1C2333"/>
          <w:sz w:val="21"/>
          <w:szCs w:val="21"/>
        </w:rPr>
        <w:t xml:space="preserve">Integrated model. In this model — exemplified by AstraZeneca and Novartis — the India-based teams are fully integrated into the global function. A data scientist in Bangalore reports into the global AI team and works on the same projects, with the same tools and the same performance expectations, as a colleague in Cambridge or Basel. The GCC head is a senior global leader — often a VP or above — who participates in global leadership forums and has genuine decision-making authority. This model generates the highest-quality outputs and the strongest talent retention but requires significant investment in global connectivity, cultural integration, and management bandwidth at headquarters.</w:t>
      </w:r>
    </w:p>
    <w:p>
      <w:pPr>
        <w:spacing w:after="120"/>
      </w:pPr>
      <w:r>
        <w:rPr>
          <w:i w:val="false"/>
          <w:iCs w:val="false"/>
          <w:color w:val="1C2333"/>
          <w:sz w:val="21"/>
          <w:szCs w:val="21"/>
        </w:rPr>
        <w:t xml:space="preserve">Hub-and-spoke model. In this model — more common among companies in the second and third tiers — the India centre provides defined services to global functions that retain full ownership of their capability agenda. The India team executes work specified by global owners and provides output that global teams then use in their decision-making. This model is more efficient in the short term and easier to manage but tends to attract less motivated talent over time and limits the evolution of GCC capability.</w:t>
      </w:r>
    </w:p>
    <w:p>
      <w:pPr>
        <w:spacing w:after="120"/>
      </w:pPr>
      <w:r>
        <w:rPr>
          <w:i w:val="false"/>
          <w:iCs w:val="false"/>
          <w:color w:val="1C2333"/>
          <w:sz w:val="21"/>
          <w:szCs w:val="21"/>
        </w:rPr>
        <w:t xml:space="preserve">Federated excellence centre model. Several companies — including Sandoz and Amgen — are moving toward a federated model in which the India centre owns specific capabilities globally (for example, Sandoz's India team owns global biosimilar regulatory data management; Amgen's India team owns global biologics process analytics) while other capabilities are managed regionally. This model allows the GCC to develop deep ownership and genuine expertise in specific domains while maintaining coordination across a global operating model.</w:t>
      </w:r>
    </w:p>
    <w:p>
      <w:pPr>
        <w:pStyle w:val="Heading2"/>
        <w:spacing w:after="120" w:before="240"/>
      </w:pPr>
      <w:r>
        <w:rPr>
          <w:b/>
          <w:bCs/>
          <w:color w:val="0D2B55"/>
        </w:rPr>
        <w:t xml:space="preserve">16.7 The India Digital Talent Ecosystem Supporting Pharma GCCs</w:t>
      </w:r>
    </w:p>
    <w:p>
      <w:pPr>
        <w:spacing w:after="120"/>
      </w:pPr>
      <w:r>
        <w:rPr>
          <w:i w:val="false"/>
          <w:iCs w:val="false"/>
          <w:color w:val="1C2333"/>
          <w:sz w:val="21"/>
          <w:szCs w:val="21"/>
        </w:rPr>
        <w:t xml:space="preserve">The talent ecosystem that supports pharmaceutical GCCs in India is a complex system of academic institutions, professional development programs, industry associations, and talent mobility pathways that collectively determines the quality and availability of talent the GCCs can access.</w:t>
      </w:r>
    </w:p>
    <w:p>
      <w:pPr>
        <w:spacing w:after="120"/>
      </w:pPr>
      <w:r>
        <w:rPr>
          <w:i w:val="false"/>
          <w:iCs w:val="false"/>
          <w:color w:val="1C2333"/>
          <w:sz w:val="21"/>
          <w:szCs w:val="21"/>
        </w:rPr>
        <w:t xml:space="preserve">Academic pipeline. The IIT system (23 institutions), the NITs (National Institutes of Technology), and a growing number of private research universities produce the technical foundation talent — engineers, data scientists, statisticians — that form the majority of GCC technical headcount. The pharma-specific scientific talent — pharmaceutical scientists, computational chemists, bioinformaticians, regulatory specialists — comes from a smaller set of specialised institutions: Manipal College of Pharmaceutical Sciences, Bombay College of Pharmacy, JSS College of Pharmacy, the pharmacy programs at BITS Pilani, and the biological sciences programs at institutions including IISc Bangalore and CDFD (Centre for DNA Fingerprinting and Diagnostics) Hyderabad.</w:t>
      </w:r>
    </w:p>
    <w:p>
      <w:pPr>
        <w:spacing w:after="120"/>
      </w:pPr>
      <w:r>
        <w:rPr>
          <w:i w:val="false"/>
          <w:iCs w:val="false"/>
          <w:color w:val="1C2333"/>
          <w:sz w:val="21"/>
          <w:szCs w:val="21"/>
        </w:rPr>
        <w:t xml:space="preserve">Professional certification ecosystem. The Association of Clinical Research Professionals (ACRP), the Drug Information Association (DIA), and the Regulatory Affairs Professionals Society (RAPS) all have strong Indian chapters that provide continuing education and professional certification programs that supplement formal academic training. The Project Management Institute (PMI) and Scrum Alliance have made India one of their largest credentialing markets globally, creating a large pool of certified project and product managers who understand both technical and business aspects of GCC operations.</w:t>
      </w:r>
    </w:p>
    <w:p>
      <w:pPr>
        <w:spacing w:after="120"/>
      </w:pPr>
      <w:r>
        <w:rPr>
          <w:i w:val="false"/>
          <w:iCs w:val="false"/>
          <w:color w:val="1C2333"/>
          <w:sz w:val="21"/>
          <w:szCs w:val="21"/>
        </w:rPr>
        <w:t xml:space="preserve">Salary and compensation benchmarking. The median total compensation for a mid-career (5–8 years) data scientist at a pharma GCC in Hyderabad or Bangalore in 2024 ranges from ₹25–45 lakhs per annum (approximately $30,000–$54,000 USD) — representing a 65–70% cost advantage versus equivalent talent in Boston or San Francisco. Senior technical leaders (Director or above equivalent) earn ₹60–100 lakhs ($72,000–$120,000) — still representing a 50–60% cost advantage. These economics make the GCC model compellingly attractive for pharmaceutical companies managing tight R&amp;D and operating budgets.</w:t>
      </w:r>
    </w:p>
    <w:p>
      <w:pPr>
        <w:pStyle w:val="Heading2"/>
        <w:spacing w:after="120" w:before="240"/>
      </w:pPr>
      <w:r>
        <w:rPr>
          <w:b/>
          <w:bCs/>
          <w:color w:val="0D2B55"/>
        </w:rPr>
        <w:t xml:space="preserve">16.8 Future Trajectory: India GCCs in 2030</w:t>
      </w:r>
    </w:p>
    <w:p>
      <w:pPr>
        <w:spacing w:after="120"/>
      </w:pPr>
      <w:r>
        <w:rPr>
          <w:i w:val="false"/>
          <w:iCs w:val="false"/>
          <w:color w:val="1C2333"/>
          <w:sz w:val="21"/>
          <w:szCs w:val="21"/>
        </w:rPr>
        <w:t xml:space="preserve">The pharma GCC ecosystem in India is in the early stages of a transition that will fundamentally change its strategic character over the next five to seven years.</w:t>
      </w:r>
    </w:p>
    <w:p>
      <w:pPr>
        <w:spacing w:after="120"/>
      </w:pPr>
      <w:r>
        <w:rPr>
          <w:i w:val="false"/>
          <w:iCs w:val="false"/>
          <w:color w:val="1C2333"/>
          <w:sz w:val="21"/>
          <w:szCs w:val="21"/>
        </w:rPr>
        <w:t xml:space="preserve">From service delivery to intellectual ownership. The leading GCCs are already making this transition — India-based teams own global platforms, lead global functions, and publish original scientific research. By 2030, it will be routine rather than exceptional for the global head of a major pharmaceutical capability function (pharmacovigilance operations, clinical data science, manufacturing analytics) to be India-based, managing a globally distributed team from Hyderabad or Bangalore.</w:t>
      </w:r>
    </w:p>
    <w:p>
      <w:pPr>
        <w:spacing w:after="120"/>
      </w:pPr>
      <w:r>
        <w:rPr>
          <w:i w:val="false"/>
          <w:iCs w:val="false"/>
          <w:color w:val="1C2333"/>
          <w:sz w:val="21"/>
          <w:szCs w:val="21"/>
        </w:rPr>
        <w:t xml:space="preserve">From offshore execution to innovation origin. As GCC talent depth increases and GCC leaders develop greater confidence in their own scientific and strategic judgment, the flow of innovation will increasingly originate in India rather than being handed down from Western headquarters for execution. AI models developed in Hyderabad for Indian patient populations will be adapted and deployed globally. Regulatory strategies developed by India-based teams familiar with the complexity of multi-jurisdictional generics portfolios will be adopted as global best practice. Manufacturing innovations developed by India-based process engineers will be implemented first in India, then scaled globally.</w:t>
      </w:r>
    </w:p>
    <w:p>
      <w:pPr>
        <w:spacing w:after="120"/>
      </w:pPr>
      <w:r>
        <w:rPr>
          <w:i w:val="false"/>
          <w:iCs w:val="false"/>
          <w:color w:val="1C2333"/>
          <w:sz w:val="21"/>
          <w:szCs w:val="21"/>
        </w:rPr>
        <w:t xml:space="preserve">Domestic pharma digital leadership. DRL, Sun Pharma, and Cipla are building digital capabilities that will make them genuinely competitive with multinational pharma companies in the markets that matter most — the US generics market, the global biosimilars market, and the rapidly growing digital health market in India. By 2030, at least two or three Indian pharma companies will be recognised as global digital leaders in their specific capability domains — not just creditable emerging-market players but genuine benchmarks.</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organisation have a clearly articulated GCC strategy — not just an India headcount plan but a deliberate framework for what capabilities will be built, owned, and led from India? Are the India-based GCC leaders genuinely empowered — with decision rights, budget authority, and participation in global leadership forums — or are they executing work designed and owned elsewhere? What is the retention rate of senior technical talent at the GCC (Director level and above), and what is the primary reason for departures? Has the organisation conducted a systematic comparison of its GCC capability maturity against the leading pharma GCC benchmarks (AstraZeneca, Novartis, Eli Lilly) to identify gaps and prioritise investment? Is the GCC building genuine institutional knowledge — patents, publications, proprietary platforms — that creates durable value beyond individual people?</w:t>
      </w:r>
    </w:p>
    <w:p>
      <w:pPr>
        <w:pBdr>
          <w:left w:val="single" w:color="C9A84C" w:sz="18" w:space="8"/>
        </w:pBdr>
        <w:shd w:fill="FBF6E9" w:color="auto" w:val="clear"/>
        <w:spacing w:after="120"/>
        <w:ind w:left="240"/>
      </w:pPr>
      <w:r>
        <w:rPr>
          <w:i/>
          <w:iCs/>
          <w:color w:val="1C2333"/>
          <w:sz w:val="21"/>
          <w:szCs w:val="21"/>
        </w:rPr>
        <w:t xml:space="preserve">🌍 REGIONAL SPOTLIGHT: INDIA PHARMA GCC POLICY ENVIRONMENT</w:t>
      </w:r>
    </w:p>
    <w:p>
      <w:pPr>
        <w:pBdr>
          <w:left w:val="single" w:color="C9A84C" w:sz="18" w:space="8"/>
        </w:pBdr>
        <w:shd w:fill="FBF6E9" w:color="auto" w:val="clear"/>
        <w:spacing w:after="120"/>
        <w:ind w:left="240"/>
      </w:pPr>
      <w:r>
        <w:rPr>
          <w:i/>
          <w:iCs/>
          <w:color w:val="1C2333"/>
          <w:sz w:val="21"/>
          <w:szCs w:val="21"/>
        </w:rPr>
        <w:t xml:space="preserve">The Government of India's policy environment for GCC development has strengthened dramatically in the period 2020–2024. The National GCC Policy framework, endorsed by the Ministry of Electronics and Information Technology (MeitY) in 2024, sets a target of 2,000 GCCs employing 2 million people by 2030 — from a current base of approximately 2,117 GCCs employing 2.36 million (FY2026). State-level policies in Telangana (IT Policy 2023–2026, offering capital subsidies, stamp duty waivers, and dedicated GCC parks), Karnataka (GCC Policy 2024, including a dedicated GCC talent development fund), and Tamil Nadu (Global Investors Meet 2024 GCC commitments) create competitive incentive packages that pharma companies can leverage when making location decisions. The emergence of tier-2 cities — Hyderabad's HITEC City extension areas, Bangalore's outer ring road corridor, Pune's Hinjawadi Phase 3 — as GCC locations is reducing real estate costs and expanding the addressable talent pool beyond the saturated inner-city markets.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16.1: Pharma GCC Landscape in India — Company Presence and Capabilities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16.2: GCC Capability Maturity Matrix — Key Pharma Companies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16.3: India Pharma GCC Evolution Timeline — 2000 to 2025</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16.4: India Digital Infrastructure Enabling Pharma GCC Programs</w:t>
      </w:r>
    </w:p>
    <w:p>
      <w:pPr>
        <w:spacing w:after="120"/>
      </w:pPr>
      <w:r>
        <w:rPr>
          <w:color w:val="1C2333"/>
          <w:sz w:val="21"/>
          <w:szCs w:val="21"/>
        </w:rPr>
        <w:t xml:space="preserve">APPENDIX</w:t>
      </w:r>
    </w:p>
    <w:p>
      <w:pPr>
        <w:spacing w:after="120"/>
      </w:pPr>
      <w:r>
        <w:rPr>
          <w:color w:val="1C2333"/>
          <w:sz w:val="21"/>
          <w:szCs w:val="21"/>
        </w:rPr>
        <w:t xml:space="preserve">PART VI — ADVANCED MODALITIES &amp; DEEP DIVES</w:t>
      </w:r>
    </w:p>
    <w:p>
      <w:r>
        <w:br w:type="page"/>
      </w:r>
    </w:p>
    <w:p>
      <w:pPr>
        <w:pStyle w:val="Heading1"/>
        <w:spacing w:after="120" w:before="240"/>
      </w:pPr>
      <w:r>
        <w:rPr>
          <w:b/>
          <w:bCs/>
          <w:color w:val="0D2B55"/>
        </w:rPr>
        <w:t xml:space="preserve">Chapter 17: Biopharmaceuticals, Cell &amp; Gene Therapy — Digital Transformation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Biopharmaceuticals — medicines derived from living biological systems rather than chemical synthesis — represent the fastest-growing and most scientifically complex segment of the pharmaceutical industry. Monoclonal antibodies, fusion proteins, antibody-drug conjugates, cell therapies, gene therapies, and mRNA medicines collectively account for over 40% of new drug approvals and the majority of the industry's revenue growth. Their manufacturing is inherently more complex, more variable, and more data-intensive than small molecule drug production — and their digital transformation requirements are correspondingly more sophisticated. This chapter examines how digital tools are transforming biopharmaceutical process development, biologics manufacturing, and the entirely new manufacturing paradigms required for cell and gene therapies.</w:t>
      </w:r>
    </w:p>
    <w:p>
      <w:pPr>
        <w:pStyle w:val="Heading2"/>
        <w:spacing w:after="120" w:before="240"/>
      </w:pPr>
      <w:r>
        <w:rPr>
          <w:b/>
          <w:bCs/>
          <w:color w:val="0D2B55"/>
        </w:rPr>
        <w:t xml:space="preserve">17.1 The Complexity Imperative: Why Biologics Demand Digital</w:t>
      </w:r>
    </w:p>
    <w:p>
      <w:pPr>
        <w:spacing w:after="120"/>
      </w:pPr>
      <w:r>
        <w:rPr>
          <w:i w:val="false"/>
          <w:iCs w:val="false"/>
          <w:color w:val="1C2333"/>
          <w:sz w:val="21"/>
          <w:szCs w:val="21"/>
        </w:rPr>
        <w:t xml:space="preserve">A monoclonal antibody is not a molecule in the traditional pharmaceutical sense. It is a protein of 1,300–1,500 amino acids folded into a precise three-dimensional structure, produced by a living Chinese Hamster Ovary (CHO) cell line that must be kept alive, fed, and carefully controlled over a 10–14 day bioreactor culture. The antibody is then purified through a multi-step chromatography process that removes host cell proteins, residual DNA, viral particles, and process-related impurities while preserving the antibody's structural integrity, charge profile, and glycosylation pattern. Each of these steps generates enormous quantities of process data — bioreactor conditions, cell viability and density, metabolite concentrations, pH, dissolved oxygen, agitation, temperature — that collectively determine the quality and yield of the final product.</w:t>
      </w:r>
    </w:p>
    <w:p>
      <w:pPr>
        <w:spacing w:after="120"/>
      </w:pPr>
      <w:r>
        <w:rPr>
          <w:i w:val="false"/>
          <w:iCs w:val="false"/>
          <w:color w:val="1C2333"/>
          <w:sz w:val="21"/>
          <w:szCs w:val="21"/>
        </w:rPr>
        <w:t xml:space="preserve">For a small molecule drug, quality can be largely determined by chemical testing of the final product. For a biologic, quality is built into the process: the product is the process, as the industry saying goes. This makes biomanufacturing inherently a data-intensive, analytics-driven discipline — and makes digital transformation not a discretionary investment but a structural operating requirement.</w:t>
      </w:r>
    </w:p>
    <w:p>
      <w:pPr>
        <w:spacing w:after="120"/>
      </w:pPr>
      <w:r>
        <w:rPr>
          <w:i w:val="false"/>
          <w:iCs w:val="false"/>
          <w:color w:val="1C2333"/>
          <w:sz w:val="21"/>
          <w:szCs w:val="21"/>
        </w:rPr>
        <w:t xml:space="preserve">The regulatory framework for biologics reflects this process-centric quality paradigm. FDA's 21 CFR Part 600 series and EMA's biologics guidelines require manufacturers to characterise their products with an exhaustive panel of analytical methods — size exclusion chromatography, ion exchange chromatography, mass spectrometry, cell-based potency assays, glycan analysis, charge variant profiling — and to demonstrate that these critical quality attributes (CQAs) remain within specification across the commercial manufacturing lifecycle. Managing this characterisation data, tracking CQA trends over hundreds of commercial batches, and detecting the early warning signals of process drift before they reach the specification boundary — all of this is only achievable with integrated digital quality systems.</w:t>
      </w:r>
    </w:p>
    <w:p>
      <w:pPr>
        <w:pStyle w:val="Heading2"/>
        <w:spacing w:after="120" w:before="240"/>
      </w:pPr>
      <w:r>
        <w:rPr>
          <w:b/>
          <w:bCs/>
          <w:color w:val="0D2B55"/>
        </w:rPr>
        <w:t xml:space="preserve">17.2 Upstream Bioprocess Development: Digital Acceleration</w:t>
      </w:r>
    </w:p>
    <w:p>
      <w:pPr>
        <w:spacing w:after="120"/>
      </w:pPr>
      <w:r>
        <w:rPr>
          <w:i w:val="false"/>
          <w:iCs w:val="false"/>
          <w:color w:val="1C2333"/>
          <w:sz w:val="21"/>
          <w:szCs w:val="21"/>
        </w:rPr>
        <w:t xml:space="preserve">The development of a biopharmaceutical manufacturing process traditionally took 3–5 years and cost $100–200 million — a timeline and investment that directly contributes to the high cost of biologics medicines and the extended development cycles of the industry. Digital tools are compressing this development timeline dramatically through three mechanisms.</w:t>
      </w:r>
    </w:p>
    <w:p>
      <w:pPr>
        <w:spacing w:after="120"/>
      </w:pPr>
      <w:r>
        <w:rPr>
          <w:i w:val="false"/>
          <w:iCs w:val="false"/>
          <w:color w:val="1C2333"/>
          <w:sz w:val="21"/>
          <w:szCs w:val="21"/>
        </w:rPr>
        <w:t xml:space="preserve">High-throughput process development. Automated bioreactor systems — 24-well, 96-well, and miniaturised bioreactor platforms — can run hundreds of simultaneous process development experiments in the space of a single 14-day cell culture cycle. When these systems are integrated with automated liquid handling, inline analytical sensors, and data management systems that capture and structure all experimental data, the design-experiment-analyse-redesign cycle that drove traditional process development compresses from months to weeks. Ambr250 (Sartorius), DasBox (Eppendorf), and the Biostat STR parallel bioreactor systems are the leading platforms for miniaturised, automated upstream process development.</w:t>
      </w:r>
    </w:p>
    <w:p>
      <w:pPr>
        <w:spacing w:after="120"/>
      </w:pPr>
      <w:r>
        <w:rPr>
          <w:i w:val="false"/>
          <w:iCs w:val="false"/>
          <w:color w:val="1C2333"/>
          <w:sz w:val="21"/>
          <w:szCs w:val="21"/>
        </w:rPr>
        <w:t xml:space="preserve">DoE and machine learning for process optimisation. Design of Experiments (DoE) methodology has long been the statistical workhorse of bioprocess development. AI and machine learning are now augmenting DoE in two important ways. First, ML models trained on historical process development data from the same cell line class or the same expression system can predict the optimal starting point for a DoE study, reducing the number of experiments required to map the design space. Second, Bayesian optimisation algorithms can guide the sequential selection of experiments in a DoE series — choosing the next experiment to run based on the information gained from all previous experiments — dramatically reducing the total number of experiments required to fully characterise the design space.</w:t>
      </w:r>
    </w:p>
    <w:p>
      <w:pPr>
        <w:spacing w:after="120"/>
      </w:pPr>
      <w:r>
        <w:rPr>
          <w:i w:val="false"/>
          <w:iCs w:val="false"/>
          <w:color w:val="1C2333"/>
          <w:sz w:val="21"/>
          <w:szCs w:val="21"/>
        </w:rPr>
        <w:t xml:space="preserve">In silico scale-up simulation. The translation of a bioprocess from development scale (2–10 litre bioreactors) to clinical manufacturing scale (200–2,000 litres) and commercial scale (10,000–20,000 litres) is one of the riskiest and most expensive steps in biopharmaceutical development. Fluid dynamics simulations (CFD modelling of mixing, mass transfer, and shear stress in large-scale bioreactors) can predict how a process developed at small scale will behave at commercial scale, identifying potential failure modes before they manifest in expensive clinical-scale runs. Merck KGaA, as noted in Chapter 6, has demonstrated 30–40% reduction in physical scale-up experiments using digital twin models — a finding replicated across the industry as process engineering teams adopt computational simulation as a standard development tool.</w:t>
      </w:r>
    </w:p>
    <w:p>
      <w:pPr>
        <w:pStyle w:val="Heading2"/>
        <w:spacing w:after="120" w:before="240"/>
      </w:pPr>
      <w:r>
        <w:rPr>
          <w:b/>
          <w:bCs/>
          <w:color w:val="0D2B55"/>
        </w:rPr>
        <w:t xml:space="preserve">17.3 Downstream Purification: Analytics and Process Intelligence</w:t>
      </w:r>
    </w:p>
    <w:p>
      <w:pPr>
        <w:spacing w:after="120"/>
      </w:pPr>
      <w:r>
        <w:rPr>
          <w:i w:val="false"/>
          <w:iCs w:val="false"/>
          <w:color w:val="1C2333"/>
          <w:sz w:val="21"/>
          <w:szCs w:val="21"/>
        </w:rPr>
        <w:t xml:space="preserve">Downstream processing — the purification of a biologic from the crude cell culture harvest through a series of chromatography and filtration steps — accounts for 50–70% of total bioprocess manufacturing cost and is the primary determinant of product quality for many CQAs. Digital transformation of downstream processing targets yield improvement, cycle time reduction, and real-time quality assurance.</w:t>
      </w:r>
    </w:p>
    <w:p>
      <w:pPr>
        <w:spacing w:after="120"/>
      </w:pPr>
      <w:r>
        <w:rPr>
          <w:i w:val="false"/>
          <w:iCs w:val="false"/>
          <w:color w:val="1C2333"/>
          <w:sz w:val="21"/>
          <w:szCs w:val="21"/>
        </w:rPr>
        <w:t xml:space="preserve">Process chromatography analytics. Each chromatography step in a biologic purification train generates rich real-time data — UV absorbance traces, conductivity profiles, pH gradients, flow rates, pressure readings — that together define the performance of the step and the quality of the eluate pool. Process analytical technology for chromatography includes inline UV spectroscopy that can quantify host cell protein concentration in the eluate in real time, allowing dynamic pooling decisions (opening and closing valves at the optimal moment based on real-time data rather than fixed time or volume criteria). Raman spectroscopy inline in bioreactors measures metabolite concentrations (glucose, lactate, glutamine, ammonia) continuously, enabling model predictive control of the culture that maintains optimal cell physiology throughout the culture duration.</w:t>
      </w:r>
    </w:p>
    <w:p>
      <w:pPr>
        <w:spacing w:after="120"/>
      </w:pPr>
      <w:r>
        <w:rPr>
          <w:i w:val="false"/>
          <w:iCs w:val="false"/>
          <w:color w:val="1C2333"/>
          <w:sz w:val="21"/>
          <w:szCs w:val="21"/>
        </w:rPr>
        <w:t xml:space="preserve">Integrated control systems. The next frontier of downstream process digitalisation is integrated process control — a control system that coordinates all upstream and downstream process steps in a continuous or semi-continuous flow, automatically adjusting process parameters in each step based on real-time measurements of the product entering that step. This approach, pioneered in continuous manufacturing for small molecules (Chapter 6), is now being developed for biologics manufacturing. The technical challenges are substantial — biologics cannot be held in process streams as easily as small molecule intermediates, and the cleaning and sanitisation requirements between batches create scheduling complexity — but the potential rewards in cycle time compression and cost reduction are significant.</w:t>
      </w:r>
    </w:p>
    <w:p>
      <w:pPr>
        <w:pStyle w:val="Heading2"/>
        <w:spacing w:after="120" w:before="240"/>
      </w:pPr>
      <w:r>
        <w:rPr>
          <w:b/>
          <w:bCs/>
          <w:color w:val="0D2B55"/>
        </w:rPr>
        <w:t xml:space="preserve">17.4 Cell Therapy Manufacturing: The Digital Imperative</w:t>
      </w:r>
    </w:p>
    <w:p>
      <w:pPr>
        <w:spacing w:after="120"/>
      </w:pPr>
      <w:r>
        <w:rPr>
          <w:i w:val="false"/>
          <w:iCs w:val="false"/>
          <w:color w:val="1C2333"/>
          <w:sz w:val="21"/>
          <w:szCs w:val="21"/>
        </w:rPr>
        <w:t xml:space="preserve">Cell therapies — including CAR-T (chimeric antigen receptor T-cell) therapies, tumour-infiltrating lymphocyte (TIL) therapies, and natural killer (NK) cell therapies — represent a manufacturing paradigm that is more complex than any conventional pharmaceutical product. Each CAR-T therapy batch is manufactured from a single patient's own T-cells (autologous therapy) or from a donor's T-cells (allogeneic therapy), processed through a series of biological steps — leukapheresis, T-cell selection, viral transduction, expansion, formulation, cryopreservation — over 10–21 days, then shipped back to the treating hospital for infusion into the patient. The quality, potency, and safety of the final product depends on the biological characteristics of the starting T-cells, the efficiency of every manufacturing step, and the integrity of the cold chain throughout.</w:t>
      </w:r>
    </w:p>
    <w:p>
      <w:pPr>
        <w:spacing w:after="120"/>
      </w:pPr>
      <w:r>
        <w:rPr>
          <w:i w:val="false"/>
          <w:iCs w:val="false"/>
          <w:color w:val="1C2333"/>
          <w:sz w:val="21"/>
          <w:szCs w:val="21"/>
        </w:rPr>
        <w:t xml:space="preserve">Manufacturing execution and lot tracking. For autologous cell therapies, maintaining chain of identity (COI) — the absolute certainty that the cells returned to the patient are derived from that patient's own cells — is not just a quality requirement but a patient safety imperative. Chain of custody failures — confusing one patient's cells with another's — could result in potentially fatal transfusion-incompatibility reactions. Digital manufacturing execution systems for cell therapy must track patient identity through every step of the manufacturing process, with barcode scanning and electronic verification at every point where human error could break the chain. Thermo Fisher Cellero, Cytovance, and Lonza's cell therapy platforms all have COI tracking as a primary digital architecture requirement.</w:t>
      </w:r>
    </w:p>
    <w:p>
      <w:pPr>
        <w:spacing w:after="120"/>
      </w:pPr>
      <w:r>
        <w:rPr>
          <w:i w:val="false"/>
          <w:iCs w:val="false"/>
          <w:color w:val="1C2333"/>
          <w:sz w:val="21"/>
          <w:szCs w:val="21"/>
        </w:rPr>
        <w:t xml:space="preserve">Process analytics for cell therapy. The critical quality attributes of a CAR-T therapy batch include T-cell viability, CAR transduction efficiency, T-cell phenotype (the proportion of different T-cell subsets), T-cell potency (ability to kill tumour cells in a functional assay), and sterility. Measuring these attributes traditionally requires taking samples from the manufacturing process, sending them to the quality control laboratory, and waiting days for results — during which time the manufacturing process continues without complete quality information. Emerging PAT approaches for cell therapy — inline impedance spectroscopy for cell density and viability, inline flow cytometry for phenotype measurement, image-based cell analysis — are enabling real-time quality monitoring during the manufacturing process. While these technologies are not yet at commercial deployment scale for most cell therapy manufacturers, the development programs are well advanced and commercial implementations are expected within 2–3 years.</w:t>
      </w:r>
    </w:p>
    <w:p>
      <w:pPr>
        <w:spacing w:after="120"/>
      </w:pPr>
      <w:r>
        <w:rPr>
          <w:i w:val="false"/>
          <w:iCs w:val="false"/>
          <w:color w:val="1C2333"/>
          <w:sz w:val="21"/>
          <w:szCs w:val="21"/>
        </w:rPr>
        <w:t xml:space="preserve">Supply chain orchestration for personalised medicine. The logistics of autologous cell therapy — collecting patient cells at a hospital, shipping them frozen to a manufacturing facility, manufacturing the personalised batch over 10–21 days, and shipping the finished product back to the hospital within a narrow time window — requires supply chain orchestration capabilities that go far beyond conventional pharmaceutical logistics. Digital supply chain platforms for cell therapy must track the location and temperature of patient samples and finished products in real time, manage the scheduling of manufacturing slots across multiple patients and manufacturing sites, coordinate with hospital scheduling systems to align product arrival with patient treatment windows, and automatically escalate exceptions (temperature excursions, shipping delays, manufacturing deviations) to the appropriate parties. Companies including Bluebird Bio, Novartis (Kymriah), and Bristol Myers Squibb (Breyanzi, Abecma) have invested heavily in proprietary supply chain orchestration platforms that manage these logistics for their commercial CAR-T therapies.</w:t>
      </w:r>
    </w:p>
    <w:p>
      <w:pPr>
        <w:pStyle w:val="Heading2"/>
        <w:spacing w:after="120" w:before="240"/>
      </w:pPr>
      <w:r>
        <w:rPr>
          <w:b/>
          <w:bCs/>
          <w:color w:val="0D2B55"/>
        </w:rPr>
        <w:t xml:space="preserve">17.5 Gene Therapy: Vector Manufacturing Digital Challenges</w:t>
      </w:r>
    </w:p>
    <w:p>
      <w:pPr>
        <w:spacing w:after="120"/>
      </w:pPr>
      <w:r>
        <w:rPr>
          <w:i w:val="false"/>
          <w:iCs w:val="false"/>
          <w:color w:val="1C2333"/>
          <w:sz w:val="21"/>
          <w:szCs w:val="21"/>
        </w:rPr>
        <w:t xml:space="preserve">Gene therapies — including adeno-associated virus (AAV) gene replacement therapies, lentiviral gene correction therapies, and CRISPR-based gene editing therapies — present manufacturing digital challenges that are in some respects even more demanding than cell therapy. AAV vector manufacturing involves producing viral particles of defined serotype and genome titer in producer cell systems, purifying them through ultracentrifugation and chromatography, characterising them across a panel of analytical methods including electron microscopy, PCR, and potency assays, and demonstrating batch-to-batch consistency within tightly controlled specification limits.</w:t>
      </w:r>
    </w:p>
    <w:p>
      <w:pPr>
        <w:spacing w:after="120"/>
      </w:pPr>
      <w:r>
        <w:rPr>
          <w:i w:val="false"/>
          <w:iCs w:val="false"/>
          <w:color w:val="1C2333"/>
          <w:sz w:val="21"/>
          <w:szCs w:val="21"/>
        </w:rPr>
        <w:t xml:space="preserve">Analytical data management for viral vectors. The analytical characterisation of an AAV batch requires dozens of individual assays, each generating a data package that must be reviewed, approved, and integrated into the batch record. The total data package for a single AAV batch at commercial scale can span thousands of data points from hundreds of individual test results. Managing this analytical data — ensuring it is complete, accurate, properly attributed, and available for regulatory review — requires LIMS systems specifically designed or configured for the complexity of gene therapy characterisation. LabVantage and STARLIMS have both developed gene therapy-specific LIMS configurations that handle the unique data management requirements of viral vector manufacturing.</w:t>
      </w:r>
    </w:p>
    <w:p>
      <w:pPr>
        <w:spacing w:after="120"/>
      </w:pPr>
      <w:r>
        <w:rPr>
          <w:i w:val="false"/>
          <w:iCs w:val="false"/>
          <w:color w:val="1C2333"/>
          <w:sz w:val="21"/>
          <w:szCs w:val="21"/>
        </w:rPr>
        <w:t xml:space="preserve">Potency assay development and lifecycle. Potency — the biological activity of the gene therapy product in a clinically relevant assay — is the most challenging CQA to measure for viral gene therapies. The assay must measure the transduction efficiency of the virus in relevant target cells and the expression and functional activity of the therapeutic transgene. These assays are inherently variable (biological assays have more variability than physical or chemical measurements), time-consuming (cell-based assays run for days), and difficult to automate. Digital laboratory automation — robotic assay setup, automated image analysis for cell-based readouts, automated data capture and statistical analysis — is reducing the variability and cost of potency assays while improving their reliability as commercial release criteria.</w:t>
      </w:r>
    </w:p>
    <w:p>
      <w:pPr>
        <w:pStyle w:val="Heading2"/>
        <w:spacing w:after="120" w:before="240"/>
      </w:pPr>
      <w:r>
        <w:rPr>
          <w:b/>
          <w:bCs/>
          <w:color w:val="0D2B55"/>
        </w:rPr>
        <w:t xml:space="preserve">17.6 mRNA Manufacturing: The Platform Advantage</w:t>
      </w:r>
    </w:p>
    <w:p>
      <w:pPr>
        <w:spacing w:after="120"/>
      </w:pPr>
      <w:r>
        <w:rPr>
          <w:i w:val="false"/>
          <w:iCs w:val="false"/>
          <w:color w:val="1C2333"/>
          <w:sz w:val="21"/>
          <w:szCs w:val="21"/>
        </w:rPr>
        <w:t xml:space="preserve">The COVID-19 pandemic thrust mRNA manufacturing onto the world stage, and the technology has proven its capabilities: manufacturing cycle times of 30–60 days from sequence to finished drug product (compared to 6–12 months for conventional biologics), a platform-agnostic manufacturing process that can be adapted to any mRNA sequence with minimal process changes, and a scalable production system that proved capable of delivering billions of doses in under 18 months.</w:t>
      </w:r>
    </w:p>
    <w:p>
      <w:pPr>
        <w:spacing w:after="120"/>
      </w:pPr>
      <w:r>
        <w:rPr>
          <w:i w:val="false"/>
          <w:iCs w:val="false"/>
          <w:color w:val="1C2333"/>
          <w:sz w:val="21"/>
          <w:szCs w:val="21"/>
        </w:rPr>
        <w:t xml:space="preserve">Digital mRNA process development. The mRNA manufacturing process — in vitro transcription (IVT) of the mRNA template, purification of the mRNA, formulation into lipid nanoparticles (LNPs), fill-finish into vials — has been intensively characterised since 2020, generating an unprecedented body of process knowledge. AI and machine learning are being applied to LNP formulation optimisation — predicting the particle size, encapsulation efficiency, and in vivo transfection efficiency of different LNP formulations from the lipid composition and process parameters — compressing the LNP development cycle that is otherwise a major bottleneck in mRNA drug development.</w:t>
      </w:r>
    </w:p>
    <w:p>
      <w:pPr>
        <w:spacing w:after="120"/>
      </w:pPr>
      <w:r>
        <w:rPr>
          <w:i w:val="false"/>
          <w:iCs w:val="false"/>
          <w:color w:val="1C2333"/>
          <w:sz w:val="21"/>
          <w:szCs w:val="21"/>
        </w:rPr>
        <w:t xml:space="preserve">Real-time analytics for mRNA quality. Critical quality attributes of mRNA products include capping efficiency (the percentage of mRNA molecules with a functional 5' cap structure), poly-A tail length distribution, mRNA integrity (absence of truncated species), and LNP size distribution and polydispersity. Traditional analytical methods for these attributes require laboratory processing steps and instrument queuing that add days to the release cycle. Next-generation analytical approaches — including real-time capillary electrophoresis for mRNA integrity, automated NMR for LNP characterisation, and AI-powered spectral deconvolution for capping efficiency — are beginning to enable same-day or even inline measurement of these quality attributes, accelerating the release cycle for mRNA drug products.</w:t>
      </w:r>
    </w:p>
    <w:p>
      <w:pPr>
        <w:pStyle w:val="Heading2"/>
        <w:spacing w:after="120" w:before="240"/>
      </w:pPr>
      <w:r>
        <w:rPr>
          <w:b/>
          <w:bCs/>
          <w:color w:val="0D2B55"/>
        </w:rPr>
        <w:t xml:space="preserve">17.7 Continuous Bioprocessing: The Digital Twin Foundation</w:t>
      </w:r>
    </w:p>
    <w:p>
      <w:pPr>
        <w:spacing w:after="120"/>
      </w:pPr>
      <w:r>
        <w:rPr>
          <w:i w:val="false"/>
          <w:iCs w:val="false"/>
          <w:color w:val="1C2333"/>
          <w:sz w:val="21"/>
          <w:szCs w:val="21"/>
        </w:rPr>
        <w:t xml:space="preserve">The ultimate vision of biopharmaceutical manufacturing digitalization is a fully continuous bioprocess — an uninterrupted flow from cell culture through purification to formulated drug product, with all process steps running simultaneously and connected in a closed system with real-time quality monitoring throughout. This vision is still a decade away from broad commercial deployment, but the digital infrastructure it requires is being built now.</w:t>
      </w:r>
    </w:p>
    <w:p>
      <w:pPr>
        <w:spacing w:after="120"/>
      </w:pPr>
      <w:r>
        <w:rPr>
          <w:i w:val="false"/>
          <w:iCs w:val="false"/>
          <w:color w:val="1C2333"/>
          <w:sz w:val="21"/>
          <w:szCs w:val="21"/>
        </w:rPr>
        <w:t xml:space="preserve">Process simulation and digital twin for continuous bioprocessing. A continuous bioprocess digital twin must simultaneously model the bioreactor kinetics, the chromatography column loading and elution, the ultrafiltration membrane performance, and the formulation mixing — all running in parallel and all interacting with each other. The computational complexity of such a model is orders of magnitude greater than a digital twin of a conventional batch bioprocess. Several academic groups and early-stage companies (including Pfenex, now part of Ligand Pharmaceuticals, and researchers at MIT's Chemical Engineering department) are building these integrated bioprocess models, using a combination of mechanistic equations (for well-understood unit operations) and machine learning models (for unit operations where mechanistic understanding is incomplete).</w:t>
      </w:r>
    </w:p>
    <w:p>
      <w:pPr>
        <w:spacing w:after="120"/>
      </w:pPr>
      <w:r>
        <w:rPr>
          <w:i w:val="false"/>
          <w:iCs w:val="false"/>
          <w:color w:val="1C2333"/>
          <w:sz w:val="21"/>
          <w:szCs w:val="21"/>
        </w:rPr>
        <w:t xml:space="preserve">Regulatory path for continuous bioprocessing. The FDA has been actively supportive of continuous bioprocessing development, publishing a 2021 guidance document specifically addressing the regulatory framework for continuous manufacturing of biological products. Key regulatory considerations include the definition of a batch (for a continuous process, how does the manufacturer define a batch for release and traceability purposes?), the validation of real-time release testing for continuous processes, and the comparability requirements when transitioning from batch to continuous manufacturing.</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organisation have a documented digital strategy specifically for its biologics manufacturing operations — distinct from the digital strategy for small molecule manufacturing, given the fundamentally different process analytics and quality management requirements? What is the current state of PAT deployment across the organisation's biologics manufacturing network — which critical quality attributes are being measured in real time, and which are still dependent on offline laboratory testing with days of cycle time? Has the organisation assessed the digital infrastructure requirements for cell and gene therapy manufacturing if it is pursuing or planning to pursue these modalities? What is the plan for building the digital capabilities required to compete in the mRNA platform era?</w:t>
      </w:r>
    </w:p>
    <w:p>
      <w:pPr>
        <w:pBdr>
          <w:left w:val="single" w:color="C9A84C" w:sz="18" w:space="8"/>
        </w:pBdr>
        <w:shd w:fill="FBF6E9" w:color="auto" w:val="clear"/>
        <w:spacing w:after="120"/>
        <w:ind w:left="240"/>
      </w:pPr>
      <w:r>
        <w:rPr>
          <w:i/>
          <w:iCs/>
          <w:color w:val="1C2333"/>
          <w:sz w:val="21"/>
          <w:szCs w:val="21"/>
        </w:rPr>
        <w:t xml:space="preserve">🌍 REGIONAL SPOTLIGHT: BIOLOGICS MANUFACTURING DIGITAL TRANSFORMATION BY GEOGRAPHY</w:t>
      </w:r>
    </w:p>
    <w:p>
      <w:pPr>
        <w:pBdr>
          <w:left w:val="single" w:color="C9A84C" w:sz="18" w:space="8"/>
        </w:pBdr>
        <w:shd w:fill="FBF6E9" w:color="auto" w:val="clear"/>
        <w:spacing w:after="120"/>
        <w:ind w:left="240"/>
      </w:pPr>
      <w:r>
        <w:rPr>
          <w:i/>
          <w:iCs/>
          <w:color w:val="1C2333"/>
          <w:sz w:val="21"/>
          <w:szCs w:val="21"/>
        </w:rPr>
        <w:t xml:space="preserve">In the United States, biologics manufacturing digitalization is driven by the FDA's progressive PAT guidance, strong investment in single-use bioreactor technology (which requires different automation approaches than stainless steel systems), and the growing commercial presence of cell and gene therapy manufacturers in the Philadelphia-Baltimore corridor and the San Francisco Bay Area. US contract development and manufacturing organisations (CDMOs) including Lonza, Catalent, and Fujifilm Diosynth are investing heavily in digital manufacturing capabilities as differentiators for attracting biopharmaceutical clients. In the European Union, the EMA's biologics digital strategy is closely aligned with ICH Q8–Q12 and the QbD framework. Germany is the location of the majority of EU biologics manufacturing capacity, with Boehringer Ingelheim and Bayer being particularly advanced in bioprocess analytics. The EU's biosimilar regulatory framework — which has been in operation since 2006 and has approved over 70 biosimilars — has driven extensive investment in analytical comparability platforms that are themselves highly digital.</w:t>
      </w:r>
    </w:p>
    <w:p>
      <w:pPr>
        <w:spacing w:after="120"/>
      </w:pPr>
      <w:r>
        <w:rPr>
          <w:i w:val="false"/>
          <w:iCs w:val="false"/>
          <w:color w:val="1C2333"/>
          <w:sz w:val="21"/>
          <w:szCs w:val="21"/>
        </w:rPr>
        <w:t xml:space="preserve">In India, biologics manufacturing is an area of strategic national investment. The Serum Institute of India (the world's largest vaccine manufacturer by dose volume), Biocon Biologics (a global biosimilars leader), Dr. Reddy's biologics division, and Intas Biopharmaceuticals are all investing in digital manufacturing capabilities — driven by the need to meet the quality standards of regulated markets (US FDA, EMA) and by the competitive pressure of the global biosimilar market where process efficiency is directly linked to cost competitiveness. The Digital India initiative's investment in biomanufacturing digital infrastructure — supported by the National Biopharma Mission — is creating shared digital infrastructure for India's biologics sector.</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17.1: Biopharmaceutical &amp; Advanced Therapy Digital Manufacturing Stack</w:t>
      </w:r>
    </w:p>
    <w:p>
      <w:r>
        <w:br w:type="page"/>
      </w:r>
    </w:p>
    <w:p>
      <w:pPr>
        <w:pStyle w:val="Heading1"/>
        <w:spacing w:after="120" w:before="240"/>
      </w:pPr>
      <w:r>
        <w:rPr>
          <w:b/>
          <w:bCs/>
          <w:color w:val="0D2B55"/>
        </w:rPr>
        <w:t xml:space="preserve">Chapter 18: Real-World Evidence — Strategy, Infrastructure &amp; Execution</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Real-world evidence (RWE) — evidence derived from data collected outside of traditional randomised controlled trials, from electronic health records, claims databases, patient registries, wearable devices, and patient support programs — has moved from a complementary tool to a central pillar of pharmaceutical strategy. Regulators accept RWE for label expansions and post-approval commitments. Payers require it for reimbursement decisions. Medical societies use it to develop clinical guidelines. And pharmaceutical companies are using it to demonstrate that their products work in the real world — not just in the controlled conditions of clinical trials. Building a genuine RWE capability requires investment across data access, analytical infrastructure, scientific expertise, and regulatory engagement that most pharmaceutical companies are still assembling. This chapter provides the complete architecture.</w:t>
      </w:r>
    </w:p>
    <w:p>
      <w:pPr>
        <w:pStyle w:val="Heading2"/>
        <w:spacing w:after="120" w:before="240"/>
      </w:pPr>
      <w:r>
        <w:rPr>
          <w:b/>
          <w:bCs/>
          <w:color w:val="0D2B55"/>
        </w:rPr>
        <w:t xml:space="preserve">18.1 The Real-World Data Landscape</w:t>
      </w:r>
    </w:p>
    <w:p>
      <w:pPr>
        <w:spacing w:after="120"/>
      </w:pPr>
      <w:r>
        <w:rPr>
          <w:i w:val="false"/>
          <w:iCs w:val="false"/>
          <w:color w:val="1C2333"/>
          <w:sz w:val="21"/>
          <w:szCs w:val="21"/>
        </w:rPr>
        <w:t xml:space="preserve">Real-world evidence begins with real-world data (RWD) — and the landscape of available data sources is vast, heterogeneous, and rapidly expanding. Understanding the characteristics of each data type — its coverage, its data quality, its access model, and its fitness for different evidence generation purposes — is the foundation of RWE strategy.</w:t>
      </w:r>
    </w:p>
    <w:p>
      <w:pPr>
        <w:spacing w:after="120"/>
      </w:pPr>
      <w:r>
        <w:rPr>
          <w:i w:val="false"/>
          <w:iCs w:val="false"/>
          <w:color w:val="1C2333"/>
          <w:sz w:val="21"/>
          <w:szCs w:val="21"/>
        </w:rPr>
        <w:t xml:space="preserve">Electronic Health Records. EHR data from health systems captures the longitudinal clinical experience of patients receiving care — diagnoses (ICD codes), procedures (CPT codes), laboratory results, medication prescriptions, and increasingly, structured clinical notes (from NLP-processed free text) and genomic test results. EHR data is strongest in capturing the clinical characteristics of patients and their outcomes within the treating health system, but coverage is fragmented (a patient who sees multiple specialists at different health systems generates data across multiple EHR systems that are not automatically linked), and the structured data often lacks the richness of detail that clinical trial data provides. Major EHR data providers in the US include Optum EHR (55M+ patient records), Epic Cosmos (200M+ patient records via health system partnerships), and Veeva Crossix.</w:t>
      </w:r>
    </w:p>
    <w:p>
      <w:pPr>
        <w:spacing w:after="120"/>
      </w:pPr>
      <w:r>
        <w:rPr>
          <w:i w:val="false"/>
          <w:iCs w:val="false"/>
          <w:color w:val="1C2333"/>
          <w:sz w:val="21"/>
          <w:szCs w:val="21"/>
        </w:rPr>
        <w:t xml:space="preserve">Claims and Administrative Data. Insurance claims data — from commercial payers, Medicare, and Medicaid in the US — captures the complete record of healthcare services billed for insured patients. Claims data has several strengths: it is geographically comprehensive, captures care across all providers regardless of EHR system, and has excellent coverage of drug dispensing (pharmacy claims). Its limitations include the absence of clinical detail (claims record what was billed, not what was diagnosed or observed clinically), the coding lag between clinical events and claim submission, and the exclusion of uninsured patients and patients whose care is covered by other payers. IQVIA, Komodo Health, and Symphony Health are the major US claims data providers.</w:t>
      </w:r>
    </w:p>
    <w:p>
      <w:pPr>
        <w:spacing w:after="120"/>
      </w:pPr>
      <w:r>
        <w:rPr>
          <w:i w:val="false"/>
          <w:iCs w:val="false"/>
          <w:color w:val="1C2333"/>
          <w:sz w:val="21"/>
          <w:szCs w:val="21"/>
        </w:rPr>
        <w:t xml:space="preserve">Patient Registries. Disease-specific patient registries — voluntary databases of patients with specific diagnoses or clinical characteristics — provide longitudinal clinical data with much richer detail than either EHR or claims data, because they are specifically designed for research. Major disease registries include the National Cancer Database (NCDB), the SEER cancer registry, the Flatiron Health oncology database (now part of Roche), and dozens of condition-specific registries operated by patient advocacy organizations and academic centers. Registry data is valuable for understanding disease natural history, treatment patterns, and long-term outcomes, but coverage is typically limited to patients at academic or cancer center institutions.</w:t>
      </w:r>
    </w:p>
    <w:p>
      <w:pPr>
        <w:spacing w:after="120"/>
      </w:pPr>
      <w:r>
        <w:rPr>
          <w:i w:val="false"/>
          <w:iCs w:val="false"/>
          <w:color w:val="1C2333"/>
          <w:sz w:val="21"/>
          <w:szCs w:val="21"/>
        </w:rPr>
        <w:t xml:space="preserve">Wearable and Device Data. As discussed in Chapter 10, patient-generated data from wearables, connected devices, and smartphones is an increasingly important RWD source. Its particular value is capturing outcomes that cannot be measured in routine clinical care — daily activity levels, sleep quality, continuous heart rate variability, medication adherence measured by connected device sensors. The regulatory qualification of wearable-derived endpoints for use in RWE studies is still in development, but the FDA and EMA are actively working to establish evidentiary standards for specific digital biomarkers.</w:t>
      </w:r>
    </w:p>
    <w:p>
      <w:pPr>
        <w:spacing w:after="120"/>
      </w:pPr>
      <w:r>
        <w:rPr>
          <w:i w:val="false"/>
          <w:iCs w:val="false"/>
          <w:color w:val="1C2333"/>
          <w:sz w:val="21"/>
          <w:szCs w:val="21"/>
        </w:rPr>
        <w:t xml:space="preserve">Social Media and Patient Communities. Natural language processing of patient narratives from online health communities (PatientsLikeMe, HealthUnlocked, Inspire) and social media platforms provides a rich source of patient-reported symptom and outcome data that is not captured in any other data source. Adverse events reported in social media posts are a real pharmacovigilance signal source — several post-market safety signals have been detected from social media data before they were detected in spontaneous reporting systems. The challenge is the unstructured nature of the data (requiring sophisticated NLP for extraction) and the absence of clinical confirmation for reported events.</w:t>
      </w:r>
    </w:p>
    <w:p>
      <w:pPr>
        <w:pStyle w:val="Heading2"/>
        <w:spacing w:after="120" w:before="240"/>
      </w:pPr>
      <w:r>
        <w:rPr>
          <w:b/>
          <w:bCs/>
          <w:color w:val="0D2B55"/>
        </w:rPr>
        <w:t xml:space="preserve">18.2 RWE Strategy: Where and How to Use Real-World Evidence</w:t>
      </w:r>
    </w:p>
    <w:p>
      <w:pPr>
        <w:spacing w:after="120"/>
      </w:pPr>
      <w:r>
        <w:rPr>
          <w:i w:val="false"/>
          <w:iCs w:val="false"/>
          <w:color w:val="1C2333"/>
          <w:sz w:val="21"/>
          <w:szCs w:val="21"/>
        </w:rPr>
        <w:t xml:space="preserve">Not all pharmaceutical questions can be answered with RWE, and not all RWE studies are of equal regulatory and scientific credibility. A disciplined RWE strategy identifies the specific evidence gaps where RWE is the most appropriate and credible methodology, designs studies that meet the evidentiary standards for the intended use, and executes them with the data quality and analytical rigor that regulators and payers expect.</w:t>
      </w:r>
    </w:p>
    <w:p>
      <w:pPr>
        <w:spacing w:after="120"/>
      </w:pPr>
      <w:r>
        <w:rPr>
          <w:i w:val="false"/>
          <w:iCs w:val="false"/>
          <w:color w:val="1C2333"/>
          <w:sz w:val="21"/>
          <w:szCs w:val="21"/>
        </w:rPr>
        <w:t xml:space="preserve">Label expansion. The most commercially significant RWE application is using real-world data to support applications for new product indications without conducting a new randomised controlled trial. The FDA has accepted RWE for label expansion in specific contexts — primarily oncology, where single-arm studies in genomically defined patient populations have long been accepted, and where real-world registry data can provide external control arms for historical comparisons. The landmark FDA approval of pembrolizumab (Keytruda) for second-line lung cancer used real-world data for the historical control comparison. The oncology RWE playbook — using Flatiron Health's oncology database or similar registry data as an external control — has been demonstrated, and pharmaceutical companies are now applying the same approach to other high unmet need therapeutic areas.</w:t>
      </w:r>
    </w:p>
    <w:p>
      <w:pPr>
        <w:spacing w:after="120"/>
      </w:pPr>
      <w:r>
        <w:rPr>
          <w:i w:val="false"/>
          <w:iCs w:val="false"/>
          <w:color w:val="1C2333"/>
          <w:sz w:val="21"/>
          <w:szCs w:val="21"/>
        </w:rPr>
        <w:t xml:space="preserve">Post-approval commitments. When the FDA or EMA grants accelerated approval or approves a drug with conditions, it typically requires the company to conduct post-approval studies demonstrating clinical benefit or safety in larger, more representative populations. These studies can be costly and time-consuming when conducted as traditional clinical trials. RWE approaches — registry-based studies, EHR-based observational cohorts — can satisfy some post-approval commitments faster and at lower cost than randomised trials, particularly for safety outcomes (pharmacovigilance-level RWE) and for effectiveness in patient populations underrepresented in the pivotal trial.</w:t>
      </w:r>
    </w:p>
    <w:p>
      <w:pPr>
        <w:spacing w:after="120"/>
      </w:pPr>
      <w:r>
        <w:rPr>
          <w:i w:val="false"/>
          <w:iCs w:val="false"/>
          <w:color w:val="1C2333"/>
          <w:sz w:val="21"/>
          <w:szCs w:val="21"/>
        </w:rPr>
        <w:t xml:space="preserve">Comparative effectiveness. Payers — particularly HTA bodies in Europe and pharmacy benefit managers in the US — increasingly require comparative effectiveness evidence: not just proof that a drug works, but proof that it works better than the alternatives currently available. Randomised head-to-head comparisons are often not available (companies have little incentive to sponsor trials comparing their product to a competitor's in a fair, unblinded design). RWE-based comparative effectiveness studies — using propensity score matching, inverse probability of treatment weighting, or instrumental variable methods to adjust for confounding in observational data — can provide this comparative evidence, though with important methodological caveats that must be transparently disclosed.</w:t>
      </w:r>
    </w:p>
    <w:p>
      <w:pPr>
        <w:spacing w:after="120"/>
      </w:pPr>
      <w:r>
        <w:rPr>
          <w:i w:val="false"/>
          <w:iCs w:val="false"/>
          <w:color w:val="1C2333"/>
          <w:sz w:val="21"/>
          <w:szCs w:val="21"/>
        </w:rPr>
        <w:t xml:space="preserve">Patient identification and undiagnosed disease. RWE approaches can identify patients with specific conditions who are not being appropriately diagnosed or treated — generating insights that drive commercial strategy (identifying which physicians have high concentrations of eligible patients who are not receiving targeted therapy) and public health impact (identifying geographic and demographic disparities in diagnosis rates).</w:t>
      </w:r>
    </w:p>
    <w:p>
      <w:pPr>
        <w:pStyle w:val="Heading2"/>
        <w:spacing w:after="120" w:before="240"/>
      </w:pPr>
      <w:r>
        <w:rPr>
          <w:b/>
          <w:bCs/>
          <w:color w:val="0D2B55"/>
        </w:rPr>
        <w:t xml:space="preserve">18.3 RWE Infrastructure: Building the Capability</w:t>
      </w:r>
    </w:p>
    <w:p>
      <w:pPr>
        <w:spacing w:after="120"/>
      </w:pPr>
      <w:r>
        <w:rPr>
          <w:i w:val="false"/>
          <w:iCs w:val="false"/>
          <w:color w:val="1C2333"/>
          <w:sz w:val="21"/>
          <w:szCs w:val="21"/>
        </w:rPr>
        <w:t xml:space="preserve">Executing a credible RWE program requires infrastructure investments across four dimensions that most pharmaceutical companies are still building.</w:t>
      </w:r>
    </w:p>
    <w:p>
      <w:pPr>
        <w:spacing w:after="120"/>
      </w:pPr>
      <w:r>
        <w:rPr>
          <w:i w:val="false"/>
          <w:iCs w:val="false"/>
          <w:color w:val="1C2333"/>
          <w:sz w:val="21"/>
          <w:szCs w:val="21"/>
        </w:rPr>
        <w:t xml:space="preserve">Data access and partnerships. Accessing high-quality RWD at the scale required for statistically valid RWE studies requires formal data access partnerships with health systems, payers, and data aggregators. These partnerships require legal agreements (data use agreements, business associate agreements under HIPAA, data processing agreements under GDPR), technical integration work (data ingestion, harmonisation, and quality validation), and ongoing relationship management. Building a portfolio of data partnerships — US claims (IQVIA or Komodo), US EHR (Optum or Epic Cosmos), European data (DARWIN EU, SAIL Databank in Wales, the UK's CPRD), and disease-specific registries — takes years to assemble and is a genuine competitive differentiator for companies that have done it.</w:t>
      </w:r>
    </w:p>
    <w:p>
      <w:pPr>
        <w:spacing w:after="120"/>
      </w:pPr>
      <w:r>
        <w:rPr>
          <w:i w:val="false"/>
          <w:iCs w:val="false"/>
          <w:color w:val="1C2333"/>
          <w:sz w:val="21"/>
          <w:szCs w:val="21"/>
        </w:rPr>
        <w:t xml:space="preserve">Data harmonisation and quality. RWD from different sources uses different terminologies, coding systems, and data structures. A patient's rheumatoid arthritis is coded differently in ICD-9 (714.0), ICD-10 (M05.x, M06.x), SNOMED CT, and free text clinical notes. Before RWD can be analysed, it must be harmonised to a common data model — the OMOP Common Data Model (CDM), maintained by the OHDSI (Observational Health Data Sciences and Informatics) network, has become the industry standard for this harmonisation. Data quality assessment — identifying missing data, coding inconsistencies, implausible values, and temporal anomalies — is a critical preprocessing step that determines whether the resulting RWE is reliable enough to withstand regulatory and scientific scrutiny.</w:t>
      </w:r>
    </w:p>
    <w:p>
      <w:pPr>
        <w:spacing w:after="120"/>
      </w:pPr>
      <w:r>
        <w:rPr>
          <w:i w:val="false"/>
          <w:iCs w:val="false"/>
          <w:color w:val="1C2333"/>
          <w:sz w:val="21"/>
          <w:szCs w:val="21"/>
        </w:rPr>
        <w:t xml:space="preserve">Analytical platform and methods. RWE analysis requires a combination of epidemiological expertise (study design, confounding adjustment, bias assessment), biostatistical expertise (survival analysis, causal inference methods, machine learning for propensity modelling), and data engineering expertise (handling the scale and complexity of real-world datasets). The analytical platform must support large-scale SQL-based data exploration, statistical programming environments (R and Python), and reporting tools that generate submission-quality outputs. Federated analytics platforms — where analysis code is distributed to partner data holders and only aggregate results are returned, protecting patient privacy — are particularly important for European RWE programs governed by GDPR.</w:t>
      </w:r>
    </w:p>
    <w:p>
      <w:pPr>
        <w:spacing w:after="120"/>
      </w:pPr>
      <w:r>
        <w:rPr>
          <w:i w:val="false"/>
          <w:iCs w:val="false"/>
          <w:color w:val="1C2333"/>
          <w:sz w:val="21"/>
          <w:szCs w:val="21"/>
        </w:rPr>
        <w:t xml:space="preserve">Regulatory engagement. The single most important determinant of whether a RWE study will achieve its intended regulatory purpose is early engagement with the relevant regulatory agency. FDA's real-world evidence program encourages pre-submission meetings specifically for RWE study designs; the EMA's DARWIN EU platform provides a mechanism for regulatory-quality observational studies; and the MHRA in the UK has established a dedicated real-world evidence framework. Companies that engage regulators at the study design stage — before committing to a data source, a study design, and an analysis plan — dramatically increase the probability that the resulting evidence will be accepted for its intended regulatory purpose.</w:t>
      </w:r>
    </w:p>
    <w:p>
      <w:pPr>
        <w:pStyle w:val="Heading2"/>
        <w:spacing w:after="120" w:before="240"/>
      </w:pPr>
      <w:r>
        <w:rPr>
          <w:b/>
          <w:bCs/>
          <w:color w:val="0D2B55"/>
        </w:rPr>
        <w:t xml:space="preserve">18.4 EU Real-World Evidence: DARWIN EU and EHDS</w:t>
      </w:r>
    </w:p>
    <w:p>
      <w:pPr>
        <w:spacing w:after="120"/>
      </w:pPr>
      <w:r>
        <w:rPr>
          <w:i w:val="false"/>
          <w:iCs w:val="false"/>
          <w:color w:val="1C2333"/>
          <w:sz w:val="21"/>
          <w:szCs w:val="21"/>
        </w:rPr>
        <w:t xml:space="preserve">The European Union has made real-world evidence infrastructure a strategic priority, creating publicly funded RWE infrastructure that is more advanced than anything comparable in the US. Understanding this infrastructure is essential for pharmaceutical companies developing European RWE strategies.</w:t>
      </w:r>
    </w:p>
    <w:p>
      <w:pPr>
        <w:spacing w:after="120"/>
      </w:pPr>
      <w:r>
        <w:rPr>
          <w:i w:val="false"/>
          <w:iCs w:val="false"/>
          <w:color w:val="1C2333"/>
          <w:sz w:val="21"/>
          <w:szCs w:val="21"/>
        </w:rPr>
        <w:t xml:space="preserve">DARWIN EU. The Data Analysis and Real World Interrogation Network (DARWIN EU) is the EMA's federated RWE network, providing access to over 100 million patient records from 24 data sources across 13 EU member states. DARWIN EU uses the OMOP CDM for data harmonisation and a federated analysis model — analysis code is distributed to participating data holders and results are aggregated centrally without patient-level data leaving the jurisdiction where it was collected. The EMA uses DARWIN EU to generate evidence for regulatory decisions — comparative effectiveness analyses, safety surveillance studies, and natural history characterisations of rare diseases. Pharmaceutical companies can request DARWIN EU studies through the EMA's formal process, and the network has the capacity to execute studies in weeks rather than the months required for traditional observational studies.</w:t>
      </w:r>
    </w:p>
    <w:p>
      <w:pPr>
        <w:spacing w:after="120"/>
      </w:pPr>
      <w:r>
        <w:rPr>
          <w:i w:val="false"/>
          <w:iCs w:val="false"/>
          <w:color w:val="1C2333"/>
          <w:sz w:val="21"/>
          <w:szCs w:val="21"/>
        </w:rPr>
        <w:t xml:space="preserve">European Health Data Space. As described in Chapter 8, the EHDS regulation adopted in 2024 creates the legal and technical framework for pan-European health data access for secondary research purposes. When fully implemented (estimated 2027–2028), the EHDS will make it possible for accredited researchers to access federated, pseudonymised patient data from multiple EU member states through a single access point — transforming the scale and speed of European RWE generation. For pharmaceutical companies planning their 5-year RWE strategies, the EHDS is the most important infrastructure development on the horizon.</w:t>
      </w:r>
    </w:p>
    <w:p>
      <w:pPr>
        <w:pStyle w:val="Heading2"/>
        <w:spacing w:after="120" w:before="240"/>
      </w:pPr>
      <w:r>
        <w:rPr>
          <w:b/>
          <w:bCs/>
          <w:color w:val="0D2B55"/>
        </w:rPr>
        <w:t xml:space="preserve">18.5 India Real-World Evidence: Opportunity and Infrastructure</w:t>
      </w:r>
    </w:p>
    <w:p>
      <w:pPr>
        <w:spacing w:after="120"/>
      </w:pPr>
      <w:r>
        <w:rPr>
          <w:i w:val="false"/>
          <w:iCs w:val="false"/>
          <w:color w:val="1C2333"/>
          <w:sz w:val="21"/>
          <w:szCs w:val="21"/>
        </w:rPr>
        <w:t xml:space="preserve">India represents one of the most significant untapped opportunities for real-world evidence generation globally. Its combination of scale (1.4 billion population), disease burden (the world's largest burden of tuberculosis, diabetes, and cardiovascular disease), treatment-naive patient populations, and rapidly developing digital health infrastructure creates an RWE environment with unique advantages for global pharmaceutical programs.</w:t>
      </w:r>
    </w:p>
    <w:p>
      <w:pPr>
        <w:spacing w:after="120"/>
      </w:pPr>
      <w:r>
        <w:rPr>
          <w:i w:val="false"/>
          <w:iCs w:val="false"/>
          <w:color w:val="1C2333"/>
          <w:sz w:val="21"/>
          <w:szCs w:val="21"/>
        </w:rPr>
        <w:t xml:space="preserve">ABDM as RWE foundation. The Ayushman Bharat Digital Mission's health record architecture — linking patient health IDs across healthcare providers and creating longitudinal health records — is, in principle, the foundation for a national RWE infrastructure. As ABDM adoption matures and more healthcare providers join the network, the aggregated health records will represent the largest real-world health dataset ever assembled from a single country. The regulatory framework for secondary use of ABDM data for research purposes is being developed by the National Health Authority, and the India Digital Personal Data Protection (DPDP) Act 2023 provides the privacy governance framework that will govern research access.</w:t>
      </w:r>
    </w:p>
    <w:p>
      <w:pPr>
        <w:spacing w:after="120"/>
      </w:pPr>
      <w:r>
        <w:rPr>
          <w:i w:val="false"/>
          <w:iCs w:val="false"/>
          <w:color w:val="1C2333"/>
          <w:sz w:val="21"/>
          <w:szCs w:val="21"/>
        </w:rPr>
        <w:t xml:space="preserve">Disease-specific registries. Several important disease registries exist in India, including the National Cancer Registry Program (NCRP) operated by the Indian Council of Medical Research (ICMR), the India Hypertension Control Initiative registry, and condition-specific registries operated by academic medical centers. These registries provide RWE from Indian patient populations that can support both India-specific regulatory submissions and, where Indian patient data is clinically relevant to global programs (particularly for conditions with significant genetic heterogeneity across populations), global regulatory applications.</w:t>
      </w:r>
    </w:p>
    <w:p>
      <w:pPr>
        <w:spacing w:after="120"/>
      </w:pPr>
      <w:r>
        <w:rPr>
          <w:i w:val="false"/>
          <w:iCs w:val="false"/>
          <w:color w:val="1C2333"/>
          <w:sz w:val="21"/>
          <w:szCs w:val="21"/>
        </w:rPr>
        <w:t xml:space="preserve">Pharmacogenomics RWE. India's population carries distinct genetic polymorphisms that affect drug metabolism, efficacy, and safety. CYP2D6, CYP2C19, and CYP3A4 polymorphisms have different frequencies in South Asian populations than in European populations, affecting the pharmacokinetics of hundreds of commonly used drugs. RWE studies that characterise drug response in the Indian population — using both electronic records and pharmacogenomics data — are scientifically important and increasingly required by CDSCO as part of India-specific label development for imported drugs.</w:t>
      </w:r>
    </w:p>
    <w:p>
      <w:pPr>
        <w:pStyle w:val="Heading2"/>
        <w:spacing w:after="120" w:before="240"/>
      </w:pPr>
      <w:r>
        <w:rPr>
          <w:b/>
          <w:bCs/>
          <w:color w:val="0D2B55"/>
        </w:rPr>
        <w:t xml:space="preserve">18.6 Federated Learning for Multi-Institutional RWE</w:t>
      </w:r>
    </w:p>
    <w:p>
      <w:pPr>
        <w:spacing w:after="120"/>
      </w:pPr>
      <w:r>
        <w:rPr>
          <w:i w:val="false"/>
          <w:iCs w:val="false"/>
          <w:color w:val="1C2333"/>
          <w:sz w:val="21"/>
          <w:szCs w:val="21"/>
        </w:rPr>
        <w:t xml:space="preserve">As discussed in Chapter 11, federated learning — training machine learning models across multiple institutions' datasets without the data leaving each institution — offers a path to the large-scale, multi-institutional real-world evidence that is most scientifically credible but hardest to access due to data governance constraints.</w:t>
      </w:r>
    </w:p>
    <w:p>
      <w:pPr>
        <w:spacing w:after="120"/>
      </w:pPr>
      <w:r>
        <w:rPr>
          <w:i w:val="false"/>
          <w:iCs w:val="false"/>
          <w:color w:val="1C2333"/>
          <w:sz w:val="21"/>
          <w:szCs w:val="21"/>
        </w:rPr>
        <w:t xml:space="preserve">OHDSI network. The Observational Health Data Sciences and Informatics (OHDSI) network is the world's largest federated health data network, connecting over 300 institutions in 70 countries, all using the OMOP CDM. OHDSI network studies — where a common analysis protocol is run simultaneously across dozens of data sources and results are meta-analytically combined — have demonstrated the ability to detect safety signals, characterise disease natural history, and compare treatment effectiveness with statistical power that no single institution could achieve. The network has published over 500 peer-reviewed studies and has been used by the FDA and EMA for regulatory analyses. Pharmaceutical companies can propose and sponsor OHDSI network studies through the network's collaborative research framework.</w:t>
      </w:r>
    </w:p>
    <w:p>
      <w:pPr>
        <w:spacing w:after="120"/>
      </w:pPr>
      <w:r>
        <w:rPr>
          <w:i w:val="false"/>
          <w:iCs w:val="false"/>
          <w:color w:val="1C2333"/>
          <w:sz w:val="21"/>
          <w:szCs w:val="21"/>
        </w:rPr>
        <w:t xml:space="preserve">Synthetic data generation. When real patient data cannot be shared due to privacy or legal constraints, synthetic data — statistically representative artificial datasets generated from real data using generative AI models — offers an alternative that preserves the statistical relationships in the original data while removing the privacy risk. Synthetic health data platforms (Syntegra, Gretel.ai, Replica Analytics) are being evaluated by pharmaceutical companies and regulatory agencies for use in preliminary RWE analyses and in the development and validation of analytical methods. The FDA has engaged with synthetic data as a potential solution to privacy constraints in specific regulatory contexts.</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organisation have a RWE strategy that is integrated with the medical, regulatory, and commercial strategies for each major product in the portfolio — or is RWE being managed as a standalone analytical activity? What data access partnerships does the organisation have, and are they sufficient to support the planned RWE program for the next 3 years? Has the organisation engaged with the FDA's RWE program office and the EMA's DARWIN EU team for its planned RWE applications? Does the organisation have the epidemiological and causal inference expertise required to design studies that will withstand regulatory scrutiny?</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18.1: Real-World Evidence — Data Source Ecosystem</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18.2: RWE Study Design Decision Framework</w:t>
      </w:r>
    </w:p>
    <w:p>
      <w:r>
        <w:br w:type="page"/>
      </w:r>
    </w:p>
    <w:p>
      <w:pPr>
        <w:pStyle w:val="Heading1"/>
        <w:spacing w:after="120" w:before="240"/>
      </w:pPr>
      <w:r>
        <w:rPr>
          <w:b/>
          <w:bCs/>
          <w:color w:val="0D2B55"/>
        </w:rPr>
        <w:t xml:space="preserve">Chapter 19: AI Ethics, Bias &amp; Responsible Innovation in Pharma</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deployment of artificial intelligence in pharmaceutical research, clinical practice, manufacturing, and patient engagement creates unprecedented opportunities for improving medicines and healthcare — and unprecedented risks of causing harm if AI systems are designed, trained, or deployed carelessly. In pharma, the stakes are uniquely high: AI systems that influence drug development decisions, clinical diagnoses, or patient treatment recommendations can affect millions of patients. This chapter examines the specific ethical challenges of pharmaceutical AI, provides a practical framework for responsible AI governance, and addresses the regulatory obligations that are hardening around AI ethics globally. It argues that ethical AI is not a constraint on innovation but a prerequisite for sustainable innovation — systems that cannot demonstrate fairness, transparency, and reliability will not earn the trust of patients, clinicians, regulators, or payers that is required for them to deliver value.</w:t>
      </w:r>
    </w:p>
    <w:p>
      <w:pPr>
        <w:pStyle w:val="Heading2"/>
        <w:spacing w:after="120" w:before="240"/>
      </w:pPr>
      <w:r>
        <w:rPr>
          <w:b/>
          <w:bCs/>
          <w:color w:val="0D2B55"/>
        </w:rPr>
        <w:t xml:space="preserve">19.1 The Pharmaceutical AI Ethics Landscape</w:t>
      </w:r>
    </w:p>
    <w:p>
      <w:pPr>
        <w:spacing w:after="120"/>
      </w:pPr>
      <w:r>
        <w:rPr>
          <w:i w:val="false"/>
          <w:iCs w:val="false"/>
          <w:color w:val="1C2333"/>
          <w:sz w:val="21"/>
          <w:szCs w:val="21"/>
        </w:rPr>
        <w:t xml:space="preserve">Artificial intelligence introduces several categories of ethical risk that are particularly acute in the pharmaceutical context.</w:t>
      </w:r>
    </w:p>
    <w:p>
      <w:pPr>
        <w:spacing w:after="120"/>
      </w:pPr>
      <w:r>
        <w:rPr>
          <w:i w:val="false"/>
          <w:iCs w:val="false"/>
          <w:color w:val="1C2333"/>
          <w:sz w:val="21"/>
          <w:szCs w:val="21"/>
        </w:rPr>
        <w:t xml:space="preserve">Algorithmic bias. Machine learning models trained on historical data reproduce and can amplify the biases present in that data. In pharmaceutical AI, the most significant bias concern is the demographic underrepresentation of training data. Drug discovery AI models trained primarily on compounds tested in Western patient populations may generate molecules with properties optimised for European-ancestry biological systems. Clinical decision support algorithms trained on electronic health records from US academic medical centers embed the known racial and gender disparities of US healthcare: Black patients are systematically undertreated for pain relative to white patients with equivalent symptoms; women with cardiovascular disease are less likely than men to receive evidence-based interventions; patients with limited English proficiency receive lower-quality care. An AI system trained on these records will learn and perpetuate these disparities.</w:t>
      </w:r>
    </w:p>
    <w:p>
      <w:pPr>
        <w:spacing w:after="120"/>
      </w:pPr>
      <w:r>
        <w:rPr>
          <w:i w:val="false"/>
          <w:iCs w:val="false"/>
          <w:color w:val="1C2333"/>
          <w:sz w:val="21"/>
          <w:szCs w:val="21"/>
        </w:rPr>
        <w:t xml:space="preserve">Opacity and explainability. Many of the most powerful AI systems — deep neural networks, gradient boosting ensembles, transformer architectures — are inherently opaque: their predictions cannot be explained in terms that a clinician, regulator, or patient can intuitively understand. When an AI system recommends that a patient is not a good candidate for a clinical trial, or recommends discontinuing therapy, or flags a manufacturing batch as high-risk, the inability to explain why undermines the ability of responsible humans to critically evaluate the recommendation, override it when appropriate, and be accountable for the decision. The EU AI Act requires that high-risk AI systems provide meaningful explanations of their outputs — a requirement that pharmaceutical AI systems must be designed to satisfy from the outset.</w:t>
      </w:r>
    </w:p>
    <w:p>
      <w:pPr>
        <w:spacing w:after="120"/>
      </w:pPr>
      <w:r>
        <w:rPr>
          <w:i w:val="false"/>
          <w:iCs w:val="false"/>
          <w:color w:val="1C2333"/>
          <w:sz w:val="21"/>
          <w:szCs w:val="21"/>
        </w:rPr>
        <w:t xml:space="preserve">Data privacy. Pharmaceutical AI systems are trained on and operate with some of the most sensitive data that exists: genomic data, mental health records, reproductive health information, HIV status, addiction history, and detailed records of patients' medical treatments. The collection, processing, and use of this data for AI training creates privacy risks that go beyond conventional data protection requirements. Patients whose data is used to train AI systems often do not know their data is being used, do not understand what inferences might be drawn from it, and have limited ability to have their data removed from training datasets once included.</w:t>
      </w:r>
    </w:p>
    <w:p>
      <w:pPr>
        <w:spacing w:after="120"/>
      </w:pPr>
      <w:r>
        <w:rPr>
          <w:i w:val="false"/>
          <w:iCs w:val="false"/>
          <w:color w:val="1C2333"/>
          <w:sz w:val="21"/>
          <w:szCs w:val="21"/>
        </w:rPr>
        <w:t xml:space="preserve">Consent and autonomy. When AI systems influence the clinical decisions that affect patients — recommending treatments, identifying trial eligibility, guiding dosing — the patient's right to make informed decisions about their own care requires that they understand the role of AI in the recommendation they receive. Current practice in most healthcare settings is that AI influence on clinical decisions is undisclosed — patients are not told whether the physician's recommendation was informed by an AI system, what the system's confidence level was, or whether the patient's demographic profile matched the population on which the system was trained. As AI becomes more deeply embedded in clinical decision-making, the informed consent framework will need to evolve to address this.</w:t>
      </w:r>
    </w:p>
    <w:p>
      <w:pPr>
        <w:pStyle w:val="Heading2"/>
        <w:spacing w:after="120" w:before="240"/>
      </w:pPr>
      <w:r>
        <w:rPr>
          <w:b/>
          <w:bCs/>
          <w:color w:val="0D2B55"/>
        </w:rPr>
        <w:t xml:space="preserve">19.2 Bias Detection and Mitigation Framework</w:t>
      </w:r>
    </w:p>
    <w:p>
      <w:pPr>
        <w:spacing w:after="120"/>
      </w:pPr>
      <w:r>
        <w:rPr>
          <w:i w:val="false"/>
          <w:iCs w:val="false"/>
          <w:color w:val="1C2333"/>
          <w:sz w:val="21"/>
          <w:szCs w:val="21"/>
        </w:rPr>
        <w:t xml:space="preserve">Building pharmaceutical AI systems that are fair — that perform comparably across demographic groups and do not systematically disadvantage any patient population — requires a structured approach to bias detection and mitigation at every stage of the AI development lifecycle.</w:t>
      </w:r>
    </w:p>
    <w:p>
      <w:pPr>
        <w:spacing w:after="120"/>
      </w:pPr>
      <w:r>
        <w:rPr>
          <w:i w:val="false"/>
          <w:iCs w:val="false"/>
          <w:color w:val="1C2333"/>
          <w:sz w:val="21"/>
          <w:szCs w:val="21"/>
        </w:rPr>
        <w:t xml:space="preserve">Training data auditing. Before a pharmaceutical AI model is trained, the training dataset should be audited for demographic representation. For a drug-target interaction model, this means assessing whether the compounds and targets in the training set reflect the diversity of chemical space and disease biology relevant to diverse patient populations. For a clinical prediction model, this means assessing the demographic composition of the patient records in the training set — gender, age, race/ethnicity, socioeconomic status, comorbidity burden — and identifying any systematic underrepresentation that could lead to biased model performance for underrepresented groups.</w:t>
      </w:r>
    </w:p>
    <w:p>
      <w:pPr>
        <w:spacing w:after="120"/>
      </w:pPr>
      <w:r>
        <w:rPr>
          <w:i w:val="false"/>
          <w:iCs w:val="false"/>
          <w:color w:val="1C2333"/>
          <w:sz w:val="21"/>
          <w:szCs w:val="21"/>
        </w:rPr>
        <w:t xml:space="preserve">Disaggregated performance evaluation. Standard model evaluation — measuring overall accuracy, sensitivity, specificity, and AUC across a test set — can mask significant performance disparities across demographic subgroups. A model that achieves 90% accuracy overall may perform at 95% accuracy for white male patients and 80% accuracy for Black female patients — a disparity that is invisible in the aggregate metric. Responsible AI evaluation requires measuring and reporting model performance disaggregated by relevant demographic characteristics, with explicit performance standards for underrepresented groups.</w:t>
      </w:r>
    </w:p>
    <w:p>
      <w:pPr>
        <w:spacing w:after="120"/>
      </w:pPr>
      <w:r>
        <w:rPr>
          <w:i w:val="false"/>
          <w:iCs w:val="false"/>
          <w:color w:val="1C2333"/>
          <w:sz w:val="21"/>
          <w:szCs w:val="21"/>
        </w:rPr>
        <w:t xml:space="preserve">Bias mitigation techniques. When bias is detected, multiple technical approaches are available to mitigate it. Pre-processing approaches modify the training data — oversampling underrepresented groups, reweighting training examples, or generating synthetic data for underrepresented groups using generative AI. In-processing approaches modify the model training procedure — adding fairness constraints to the loss function, using adversarial debiasing to penalise models that encode demographic information. Post-processing approaches adjust model outputs to achieve demographic parity — though these can reduce overall model performance and raise their own ethical questions about whether demographic group-specific thresholds are appropriate.</w:t>
      </w:r>
    </w:p>
    <w:p>
      <w:pPr>
        <w:spacing w:after="120"/>
      </w:pPr>
      <w:r>
        <w:rPr>
          <w:i w:val="false"/>
          <w:iCs w:val="false"/>
          <w:color w:val="1C2333"/>
          <w:sz w:val="21"/>
          <w:szCs w:val="21"/>
        </w:rPr>
        <w:t xml:space="preserve">Continuous bias monitoring. Bias is not a static property — a model that was fair when deployed can become biased as the population it serves changes, as treatment patterns evolve, or as the underlying data distribution shifts. Continuous monitoring of model performance across demographic groups in production — with automated alerting when performance disparities exceed defined thresholds — is essential for maintaining fairness over the AI system lifecycle.</w:t>
      </w:r>
    </w:p>
    <w:p>
      <w:pPr>
        <w:pStyle w:val="Heading2"/>
        <w:spacing w:after="120" w:before="240"/>
      </w:pPr>
      <w:r>
        <w:rPr>
          <w:b/>
          <w:bCs/>
          <w:color w:val="0D2B55"/>
        </w:rPr>
        <w:t xml:space="preserve">19.3 Explainability in Pharmaceutical AI</w:t>
      </w:r>
    </w:p>
    <w:p>
      <w:pPr>
        <w:spacing w:after="120"/>
      </w:pPr>
      <w:r>
        <w:rPr>
          <w:i w:val="false"/>
          <w:iCs w:val="false"/>
          <w:color w:val="1C2333"/>
          <w:sz w:val="21"/>
          <w:szCs w:val="21"/>
        </w:rPr>
        <w:t xml:space="preserve">The demand for explainable AI (XAI) in pharmaceutical applications comes from multiple directions simultaneously. Regulatory agencies require it: the EU AI Act mandates meaningful explanations for high-risk AI outputs. Clinicians require it: a physician who cannot understand why an AI recommended a particular treatment cannot responsibly act on that recommendation. Scientists require it: drug discovery AI that cannot explain the molecular rationale for its compound recommendations cannot be validated against scientific knowledge. And patients require it: informed consent for AI-informed medical decisions requires some level of explanation that patients can understand.</w:t>
      </w:r>
    </w:p>
    <w:p>
      <w:pPr>
        <w:spacing w:after="120"/>
      </w:pPr>
      <w:r>
        <w:rPr>
          <w:i w:val="false"/>
          <w:iCs w:val="false"/>
          <w:color w:val="1C2333"/>
          <w:sz w:val="21"/>
          <w:szCs w:val="21"/>
        </w:rPr>
        <w:t xml:space="preserve">Model-agnostic explainability methods. SHAP (SHapley Additive exPlanations) and LIME (Local Interpretable Model-agnostic Explanations) are the most widely deployed model-agnostic explainability methods. SHAP assigns each input feature a contribution value for a specific prediction — for a clinical risk model predicting hospital readmission, SHAP would indicate that, for a specific patient, age contributed X% to the risk score, prior hospitalisations contributed Y%, and comorbidity burden contributed Z%. LIME builds a simple interpretable model (linear regression or decision tree) that approximates the complex model's behaviour in the neighbourhood of a specific prediction. Both methods are applicable to any model architecture and are now standard components of pharmaceutical AI deployment packages.</w:t>
      </w:r>
    </w:p>
    <w:p>
      <w:pPr>
        <w:spacing w:after="120"/>
      </w:pPr>
      <w:r>
        <w:rPr>
          <w:i w:val="false"/>
          <w:iCs w:val="false"/>
          <w:color w:val="1C2333"/>
          <w:sz w:val="21"/>
          <w:szCs w:val="21"/>
        </w:rPr>
        <w:t xml:space="preserve">Inherently interpretable models. Where the loss in predictive performance is acceptable, inherently interpretable models — logistic regression, decision trees, rule-based systems — should be preferred over complex black-box models. The COMPAS recidivism algorithm controversy in criminal justice — where a complex model whose predictions could not be explained was used to influence sentencing decisions — has sensitised regulators and ethicists to the risks of opaque algorithmic decision-making in high-stakes contexts. Pharmaceutical AI applications that directly influence patient treatment decisions face the same scrutiny, and where a simpler, explainable model can achieve comparable accuracy, it is almost always the ethically preferable choice.</w:t>
      </w:r>
    </w:p>
    <w:p>
      <w:pPr>
        <w:pStyle w:val="Heading2"/>
        <w:spacing w:after="120" w:before="240"/>
      </w:pPr>
      <w:r>
        <w:rPr>
          <w:b/>
          <w:bCs/>
          <w:color w:val="0D2B55"/>
        </w:rPr>
        <w:t xml:space="preserve">19.4 The EU AI Act: Pharmaceutical Compliance Requirements</w:t>
      </w:r>
    </w:p>
    <w:p>
      <w:pPr>
        <w:spacing w:after="120"/>
      </w:pPr>
      <w:r>
        <w:rPr>
          <w:i w:val="false"/>
          <w:iCs w:val="false"/>
          <w:color w:val="1C2333"/>
          <w:sz w:val="21"/>
          <w:szCs w:val="21"/>
        </w:rPr>
        <w:t xml:space="preserve">The EU Artificial Intelligence Act, which entered into force in August 2024 with a phased implementation schedule, is the world's first comprehensive AI regulation and sets standards that are already influencing AI governance globally. For pharmaceutical companies operating in Europe, compliance is not optional — and the highest-risk AI applications face compliance requirements that must be built into system design from the outset.</w:t>
      </w:r>
    </w:p>
    <w:p>
      <w:pPr>
        <w:spacing w:after="120"/>
      </w:pPr>
      <w:r>
        <w:rPr>
          <w:i w:val="false"/>
          <w:iCs w:val="false"/>
          <w:color w:val="1C2333"/>
          <w:sz w:val="21"/>
          <w:szCs w:val="21"/>
        </w:rPr>
        <w:t xml:space="preserve">Risk classification. The EU AI Act classifies AI systems by their risk level. Unacceptable risk systems (banned outright): AI that manipulates human behaviour, exploits vulnerabilities, or is used for real-time biometric surveillance. High risk systems: AI used in healthcare diagnosis, treatment recommendation, medical device functionality, insurance risk scoring, and employment decisions. Limited risk systems: AI that interacts with humans (chatbots) — requires transparency disclosure. Minimal risk systems: all others.</w:t>
      </w:r>
    </w:p>
    <w:p>
      <w:pPr>
        <w:spacing w:after="120"/>
      </w:pPr>
      <w:r>
        <w:rPr>
          <w:i w:val="false"/>
          <w:iCs w:val="false"/>
          <w:color w:val="1C2333"/>
          <w:sz w:val="21"/>
          <w:szCs w:val="21"/>
        </w:rPr>
        <w:t xml:space="preserve">For pharmaceutical companies, the high-risk classification is most relevant. Clinical decision support AI, diagnostic AI, patient risk stratification models, AI used in clinical trial patient selection, and pharmacovigilance signal detection AI all fall within the high-risk category and are subject to the full compliance requirements of the Act.</w:t>
      </w:r>
    </w:p>
    <w:p>
      <w:pPr>
        <w:spacing w:after="120"/>
      </w:pPr>
      <w:r>
        <w:rPr>
          <w:i w:val="false"/>
          <w:iCs w:val="false"/>
          <w:color w:val="1C2333"/>
          <w:sz w:val="21"/>
          <w:szCs w:val="21"/>
        </w:rPr>
        <w:t xml:space="preserve">High-risk AI compliance requirements. High-risk AI systems must have a quality management system that governs the AI lifecycle. Technical documentation must include a description of the system's purpose, design, and capabilities; the datasets used for training, validation, and testing; the measures taken to ensure accuracy, robustness, and cybersecurity; and the logging system that records the system's operation. The AI system must be designed to allow human oversight — including the technical ability for human operators to intervene, override, or shut down the system. Transparency to users must be ensured — AI systems must identify themselves as AI and provide sufficient information for users to understand the output. Post-market monitoring must be conducted — performance must be monitored throughout the system's operational life, with deviation reporting to regulators.</w:t>
      </w:r>
    </w:p>
    <w:p>
      <w:pPr>
        <w:pStyle w:val="Heading2"/>
        <w:spacing w:after="120" w:before="240"/>
      </w:pPr>
      <w:r>
        <w:rPr>
          <w:b/>
          <w:bCs/>
          <w:color w:val="0D2B55"/>
        </w:rPr>
        <w:t xml:space="preserve">19.5 Building a Responsible AI Program in Pharma</w:t>
      </w:r>
    </w:p>
    <w:p>
      <w:pPr>
        <w:spacing w:after="120"/>
      </w:pPr>
      <w:r>
        <w:rPr>
          <w:i w:val="false"/>
          <w:iCs w:val="false"/>
          <w:color w:val="1C2333"/>
          <w:sz w:val="21"/>
          <w:szCs w:val="21"/>
        </w:rPr>
        <w:t xml:space="preserve">Complying with the EU AI Act and meeting the ethical standards that patients, clinicians, and scientists expect requires building a comprehensive responsible AI program — not a compliance checklist, but an organisational capability that embeds ethical reasoning into the AI development and deployment process.</w:t>
      </w:r>
    </w:p>
    <w:p>
      <w:pPr>
        <w:spacing w:after="120"/>
      </w:pPr>
      <w:r>
        <w:rPr>
          <w:i w:val="false"/>
          <w:iCs w:val="false"/>
          <w:color w:val="1C2333"/>
          <w:sz w:val="21"/>
          <w:szCs w:val="21"/>
        </w:rPr>
        <w:t xml:space="preserve">AI ethics board. A cross-functional AI Ethics Board — including representatives from legal, compliance, clinical affairs, data science, patient advocacy, and external ethicists — should review all high-risk AI deployments before they are launched in clinical or patient-facing contexts. The board's mandate should include reviewing bias testing results and mitigation plans, assessing explainability approaches for each system, evaluating patient consent and disclosure frameworks, and reviewing post-market monitoring plans. The board should have the authority to delay or block deployments that do not meet ethical standards — making this a substantive governance function rather than a rubber-stamp process.</w:t>
      </w:r>
    </w:p>
    <w:p>
      <w:pPr>
        <w:spacing w:after="120"/>
      </w:pPr>
      <w:r>
        <w:rPr>
          <w:i w:val="false"/>
          <w:iCs w:val="false"/>
          <w:color w:val="1C2333"/>
          <w:sz w:val="21"/>
          <w:szCs w:val="21"/>
        </w:rPr>
        <w:t xml:space="preserve">Model cards and AI system documentation. Every AI model deployed in a clinical, regulatory, or patient-facing context should have a model card — a structured documentation artifact that describes the model's intended purpose, training data, performance characteristics (including disaggregated performance across demographic groups), known limitations, and the recommended use conditions. Model cards, originally proposed by Google researchers in 2018, are now a de facto standard for responsible AI documentation and are increasingly required by regulators. Pharmaceutical companies should establish a model card template and require model card completion as a prerequisite for production deployment.</w:t>
      </w:r>
    </w:p>
    <w:p>
      <w:pPr>
        <w:spacing w:after="120"/>
      </w:pPr>
      <w:r>
        <w:rPr>
          <w:i w:val="false"/>
          <w:iCs w:val="false"/>
          <w:color w:val="1C2333"/>
          <w:sz w:val="21"/>
          <w:szCs w:val="21"/>
        </w:rPr>
        <w:t xml:space="preserve">Human-in-the-loop by design. The most important design principle for high-risk pharmaceutical AI is human-in-the-loop: every consequential decision influenced by an AI system should have a defined human review and approval step. AI can prioritise, recommend, and flag — but a qualified human professional should make the final decision on clinical recommendations, batch release decisions, regulatory submissions, and patient support interventions. This design principle satisfies both the EU AI Act's human oversight requirements and the fundamental ethical intuition that AI should augment human judgment rather than replace it in high-stakes contexts.</w:t>
      </w:r>
    </w:p>
    <w:p>
      <w:pPr>
        <w:pStyle w:val="Heading2"/>
        <w:spacing w:after="120" w:before="240"/>
      </w:pPr>
      <w:r>
        <w:rPr>
          <w:b/>
          <w:bCs/>
          <w:color w:val="0D2B55"/>
        </w:rPr>
        <w:t xml:space="preserve">19.6 Patient Data Rights and Consent Architecture</w:t>
      </w:r>
    </w:p>
    <w:p>
      <w:pPr>
        <w:spacing w:after="120"/>
      </w:pPr>
      <w:r>
        <w:rPr>
          <w:i w:val="false"/>
          <w:iCs w:val="false"/>
          <w:color w:val="1C2333"/>
          <w:sz w:val="21"/>
          <w:szCs w:val="21"/>
        </w:rPr>
        <w:t xml:space="preserve">The use of patient data in pharmaceutical AI — for training drug discovery models, for building clinical prediction tools, for generating real-world evidence — requires a consent architecture that gives patients genuine choice and control over how their data is used.</w:t>
      </w:r>
    </w:p>
    <w:p>
      <w:pPr>
        <w:spacing w:after="120"/>
      </w:pPr>
      <w:r>
        <w:rPr>
          <w:i w:val="false"/>
          <w:iCs w:val="false"/>
          <w:color w:val="1C2333"/>
          <w:sz w:val="21"/>
          <w:szCs w:val="21"/>
        </w:rPr>
        <w:t xml:space="preserve">Dynamic consent. Static informed consent — obtained once at a specific point in time for a specific purpose — is inadequate for AI systems that are continuously retrained as new data becomes available, used for purposes that evolve over time, and whose outputs influence decisions in ways that cannot be fully anticipated at the time of consent. Dynamic consent platforms — digital consent management systems that allow patients to specify their consent preferences at a granular level, update them over time, and be notified when their data is proposed for a new use — provide a more ethically appropriate framework. Companies including Consento and the Dynamic Consent platform developed by the EPIC project have implemented dynamic consent systems in research settings.</w:t>
      </w:r>
    </w:p>
    <w:p>
      <w:pPr>
        <w:spacing w:after="120"/>
      </w:pPr>
      <w:r>
        <w:rPr>
          <w:i w:val="false"/>
          <w:iCs w:val="false"/>
          <w:color w:val="1C2333"/>
          <w:sz w:val="21"/>
          <w:szCs w:val="21"/>
        </w:rPr>
        <w:t xml:space="preserve">Data trusts and patient data cooperatives. An emerging governance model is the patient data trust — a legal entity controlled by patient representatives that holds health data on behalf of patients and negotiates the terms under which pharmaceutical companies and researchers can access it. Data trusts shift the power relationship between patients and data users, giving patients collective bargaining power that individual consent decisions do not provide. The UK's National Data Strategy has explored the data trust model, and several patient advocacy organisations in oncology and rare disease have established cooperative data governance arrangements with pharmaceutical research partners.</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Has the organisation established a formal AI ethics governance structure — an AI ethics board, documented AI ethics principles, and a process for ethical review of high-risk AI deployments? Is the organisation's AI governance framework compliant with the EU AI Act's requirements for high-risk AI systems, and is there a documented compliance roadmap for systems currently in development? How does the organisation ensure that AI systems used in clinical and patient-facing contexts are free from demographic bias — and has this been systematically tested and documented? What is the patient consent framework for the use of patient data in pharmaceutical AI training, and does it meet the standards that regulators and patient advocacy groups are beginning to require?</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19.1: Responsible AI Governance Wheel — Pharma Edition</w:t>
      </w:r>
    </w:p>
    <w:p>
      <w:r>
        <w:br w:type="page"/>
      </w:r>
    </w:p>
    <w:p>
      <w:pPr>
        <w:pStyle w:val="Heading1"/>
        <w:spacing w:after="120" w:before="240"/>
      </w:pPr>
      <w:r>
        <w:rPr>
          <w:b/>
          <w:bCs/>
          <w:color w:val="0D2B55"/>
        </w:rPr>
        <w:t xml:space="preserve">Chapter 20: The CDO Playbook — Digital Leadership, Organisation &amp; Transformation Strategy</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Chief Digital Officer role in pharma is one of the most consequential and most misunderstood executive positions in the industry. It is often created in response to competitive pressure or board mandate, without a clear definition of scope, authority, reporting structure, or success criteria. CDOs who lack sufficient authority fail to drive the cross-functional change that digital transformation requires. CDOs who have authority but lack scientific and operational credibility fail to earn the trust of business leaders who must change how they work. CDOs who focus on technology rather than business outcomes deliver systems that nobody uses. This chapter is a practical playbook for both the CDO who wants to lead a successful transformation and the CEO and board who want to appoint and enable one. It covers the organisational design of the digital function, the first-year agenda for a new CDO, the measurement framework for transformation success, and the leadership principles that distinguish digital leaders who transform their organisations from those who merely transform their technology.</w:t>
      </w:r>
    </w:p>
    <w:p>
      <w:pPr>
        <w:pStyle w:val="Heading2"/>
        <w:spacing w:after="120" w:before="240"/>
      </w:pPr>
      <w:r>
        <w:rPr>
          <w:b/>
          <w:bCs/>
          <w:color w:val="0D2B55"/>
        </w:rPr>
        <w:t xml:space="preserve">20.1 Defining the CDO Role: Scope, Authority, and Reporting Structure</w:t>
      </w:r>
    </w:p>
    <w:p>
      <w:pPr>
        <w:spacing w:after="120"/>
      </w:pPr>
      <w:r>
        <w:rPr>
          <w:i w:val="false"/>
          <w:iCs w:val="false"/>
          <w:color w:val="1C2333"/>
          <w:sz w:val="21"/>
          <w:szCs w:val="21"/>
        </w:rPr>
        <w:t xml:space="preserve">The Chief Digital Officer role in pharmaceutical companies exists in at least four distinct variants, each with different scope, authority, and effectiveness profile.</w:t>
      </w:r>
    </w:p>
    <w:p>
      <w:pPr>
        <w:spacing w:after="120"/>
      </w:pPr>
      <w:r>
        <w:rPr>
          <w:i w:val="false"/>
          <w:iCs w:val="false"/>
          <w:color w:val="1C2333"/>
          <w:sz w:val="21"/>
          <w:szCs w:val="21"/>
        </w:rPr>
        <w:t xml:space="preserve">The Technology CDO — common but ineffective — is essentially a renamed CIO whose mandate is technology modernisation: cloud migration, ERP upgrade, cybersecurity improvement. This role can deliver technology improvements but rarely delivers business transformation, because it lacks the business credibility and cross-functional mandate to change how scientists, clinicians, and commercial leaders actually work. The technology CDO typically reports to the CFO or COO and has no direct relationship with R&amp;D or commercial leadership.</w:t>
      </w:r>
    </w:p>
    <w:p>
      <w:pPr>
        <w:spacing w:after="120"/>
      </w:pPr>
      <w:r>
        <w:rPr>
          <w:i w:val="false"/>
          <w:iCs w:val="false"/>
          <w:color w:val="1C2333"/>
          <w:sz w:val="21"/>
          <w:szCs w:val="21"/>
        </w:rPr>
        <w:t xml:space="preserve">The Digital Strategy CDO — more effective but often limited — sits in strategy or business development, owns the digital innovation agenda, and works with business units to identify and pilot digital use cases. This role generates innovation energy and executive engagement but often struggles to scale pilots into enterprise programs, because it lacks the operational delivery capability and the organisational authority to compel business units to adopt new ways of working.</w:t>
      </w:r>
    </w:p>
    <w:p>
      <w:pPr>
        <w:spacing w:after="120"/>
      </w:pPr>
      <w:r>
        <w:rPr>
          <w:i w:val="false"/>
          <w:iCs w:val="false"/>
          <w:color w:val="1C2333"/>
          <w:sz w:val="21"/>
          <w:szCs w:val="21"/>
        </w:rPr>
        <w:t xml:space="preserve">The Enterprise CDO with a seat at the table — the most effective model — reports directly to the CEO, has a formal mandate from the board, and is a member of the Executive Committee. This CDO owns both the digital strategy and the delivery capability, has authority over enterprise technology and data architecture, and has P&amp;L accountability for the digital transformation portfolio. This is the model deployed by Novartis (Bertram Schulze, appointed 2019), Sanofi (Arnaud Robert and subsequently the D&amp;D function), and a growing number of pharma companies that have moved beyond the experimental phase of digital investment.</w:t>
      </w:r>
    </w:p>
    <w:p>
      <w:pPr>
        <w:spacing w:after="120"/>
      </w:pPr>
      <w:r>
        <w:rPr>
          <w:i w:val="false"/>
          <w:iCs w:val="false"/>
          <w:color w:val="1C2333"/>
          <w:sz w:val="21"/>
          <w:szCs w:val="21"/>
        </w:rPr>
        <w:t xml:space="preserve">The functional CDO — a variant that has emerged in R&amp;D-intensive companies like Roche/Genentech and AstraZeneca — embeds a chief digital or data officer within specific business units (e.g., Chief Data Officer for R&amp;D, Chief Digital Officer for Commercial) while maintaining a corporate-level digital governance function. This model allows domain-specific digital leadership with deep scientific or commercial credibility, at the cost of some enterprise coherence.</w:t>
      </w:r>
    </w:p>
    <w:p>
      <w:pPr>
        <w:spacing w:after="120"/>
      </w:pPr>
      <w:r>
        <w:rPr>
          <w:i w:val="false"/>
          <w:iCs w:val="false"/>
          <w:color w:val="1C2333"/>
          <w:sz w:val="21"/>
          <w:szCs w:val="21"/>
        </w:rPr>
        <w:t xml:space="preserve">The organisational effectiveness data is clear: CDOs who report to the CEO, are members of the Executive Committee, and have explicit board sponsorship deliver measurably better digital transformation outcomes than CDOs who report to the CIO, CTO, or CFO and lack executive committee membership. The reporting structure signals organisational priority — and in a transformation program that requires every function to change how it works, visible executive-level priority is not optional.</w:t>
      </w:r>
    </w:p>
    <w:p>
      <w:pPr>
        <w:pStyle w:val="Heading2"/>
        <w:spacing w:after="120" w:before="240"/>
      </w:pPr>
      <w:r>
        <w:rPr>
          <w:b/>
          <w:bCs/>
          <w:color w:val="0D2B55"/>
        </w:rPr>
        <w:t xml:space="preserve">20.2 The First 100 Days: A CDO's Agenda</w:t>
      </w:r>
    </w:p>
    <w:p>
      <w:pPr>
        <w:spacing w:after="120"/>
      </w:pPr>
      <w:r>
        <w:rPr>
          <w:i w:val="false"/>
          <w:iCs w:val="false"/>
          <w:color w:val="1C2333"/>
          <w:sz w:val="21"/>
          <w:szCs w:val="21"/>
        </w:rPr>
        <w:t xml:space="preserve">The first 100 days in a CDO role are disproportionately important. They establish the leader's credibility with business stakeholders, set the tone for how the digital function will operate, and determine whether the transformation program will gain or lose organisational momentum. The following agenda reflects the pattern of CDOs who have navigated this period most effectively.</w:t>
      </w:r>
    </w:p>
    <w:p>
      <w:pPr>
        <w:spacing w:after="120"/>
      </w:pPr>
      <w:r>
        <w:rPr>
          <w:i w:val="false"/>
          <w:iCs w:val="false"/>
          <w:color w:val="1C2333"/>
          <w:sz w:val="21"/>
          <w:szCs w:val="21"/>
        </w:rPr>
        <w:t xml:space="preserve">Days 1–30: Listen and learn. The most common mistake new CDOs make is arriving with a pre-formed transformation agenda and beginning to implement it before they have earned the trust of the business leaders who must partner with them. The first 30 days should be almost entirely dedicated to structured listening: one-on-one conversations with every member of the Executive Committee, visits to key manufacturing sites, clinical operations centres, and commercial markets, and facilitated working sessions with digital team members and business unit digital leads to understand what has been tried, what has worked, what has failed, and why.</w:t>
      </w:r>
    </w:p>
    <w:p>
      <w:pPr>
        <w:spacing w:after="120"/>
      </w:pPr>
      <w:r>
        <w:rPr>
          <w:i w:val="false"/>
          <w:iCs w:val="false"/>
          <w:color w:val="1C2333"/>
          <w:sz w:val="21"/>
          <w:szCs w:val="21"/>
        </w:rPr>
        <w:t xml:space="preserve">The output of this listening phase should be a documented perspective on: the organisation's current digital maturity (scored against the PDMF), the three to five most significant digital capability gaps relative to the competitive and business context, the cultural and political dynamics that previous digital initiatives have encountered, and the existing digital investments that should be accelerated, maintained, or stopped.</w:t>
      </w:r>
    </w:p>
    <w:p>
      <w:pPr>
        <w:spacing w:after="120"/>
      </w:pPr>
      <w:r>
        <w:rPr>
          <w:i w:val="false"/>
          <w:iCs w:val="false"/>
          <w:color w:val="1C2333"/>
          <w:sz w:val="21"/>
          <w:szCs w:val="21"/>
        </w:rPr>
        <w:t xml:space="preserve">Days 31–60: Build relationships and assess the team. Digital transformation is a relationship business. The CDO's ability to drive change depends entirely on the trust and collaborative commitment of the Chief Scientific Officer, the Chief Manufacturing Officer, the Chief Commercial Officer, and the Chief Financial Officer. These relationships must be built through genuine dialogue — understanding the specific business challenges of each function, demonstrating that digital can help address those challenges, and identifying two to three early collaboration opportunities where a quick digital win can generate goodwill and momentum.</w:t>
      </w:r>
    </w:p>
    <w:p>
      <w:pPr>
        <w:spacing w:after="120"/>
      </w:pPr>
      <w:r>
        <w:rPr>
          <w:i w:val="false"/>
          <w:iCs w:val="false"/>
          <w:color w:val="1C2333"/>
          <w:sz w:val="21"/>
          <w:szCs w:val="21"/>
        </w:rPr>
        <w:t xml:space="preserve">Simultaneously, this period should be used to assess the digital team honestly: Who has the capability, credibility, and cultural fit to deliver the transformation agenda? Who has been hired for skills that are no longer the most important? What capability gaps exist, and should they be filled through hiring, reskilling, or partnership?</w:t>
      </w:r>
    </w:p>
    <w:p>
      <w:pPr>
        <w:spacing w:after="120"/>
      </w:pPr>
      <w:r>
        <w:rPr>
          <w:i w:val="false"/>
          <w:iCs w:val="false"/>
          <w:color w:val="1C2333"/>
          <w:sz w:val="21"/>
          <w:szCs w:val="21"/>
        </w:rPr>
        <w:t xml:space="preserve">Days 61–100: Develop and socialise the strategy. The transformation strategy developed in the first 100 days should be grounded in the business priorities of the CEO and Executive Committee, not derived from a digital maturity framework in a vacuum. The strategy document should answer five questions: Where is the organisation on the PDMF today? Where does it need to be in three years to be competitively positioned? What are the three to five highest-priority capability investments that will close the gap? How will these investments be sequenced, resourced, and governed? And how will success be measured?</w:t>
      </w:r>
    </w:p>
    <w:p>
      <w:pPr>
        <w:spacing w:after="120"/>
      </w:pPr>
      <w:r>
        <w:rPr>
          <w:i w:val="false"/>
          <w:iCs w:val="false"/>
          <w:color w:val="1C2333"/>
          <w:sz w:val="21"/>
          <w:szCs w:val="21"/>
        </w:rPr>
        <w:t xml:space="preserve">The strategy should be co-developed with business leaders, not presented to them as a finished artifact. CDOs who present transformation strategies that business leaders had no hand in shaping consistently encounter resistance during implementation; CDOs who build strategies through inclusive consultation consistently encounter ownership and commitment.</w:t>
      </w:r>
    </w:p>
    <w:p>
      <w:pPr>
        <w:pStyle w:val="Heading2"/>
        <w:spacing w:after="120" w:before="240"/>
      </w:pPr>
      <w:r>
        <w:rPr>
          <w:b/>
          <w:bCs/>
          <w:color w:val="0D2B55"/>
        </w:rPr>
        <w:t xml:space="preserve">20.3 Building the Digital Organisation</w:t>
      </w:r>
    </w:p>
    <w:p>
      <w:pPr>
        <w:spacing w:after="120"/>
      </w:pPr>
      <w:r>
        <w:rPr>
          <w:i w:val="false"/>
          <w:iCs w:val="false"/>
          <w:color w:val="1C2333"/>
          <w:sz w:val="21"/>
          <w:szCs w:val="21"/>
        </w:rPr>
        <w:t xml:space="preserve">The digital function in a pharmaceutical company has fundamentally different organisational requirements from a conventional IT department. It must combine platform engineering capability (building and maintaining the data and AI infrastructure), product management capability (owning the development and improvement of digital products used by the business), change management capability (driving adoption of new ways of working), and data and AI science capability (building and validating the analytical models that deliver business value).</w:t>
      </w:r>
    </w:p>
    <w:p>
      <w:pPr>
        <w:spacing w:after="120"/>
      </w:pPr>
      <w:r>
        <w:rPr>
          <w:i w:val="false"/>
          <w:iCs w:val="false"/>
          <w:color w:val="1C2333"/>
          <w:sz w:val="21"/>
          <w:szCs w:val="21"/>
        </w:rPr>
        <w:t xml:space="preserve">Platform and product organisation. The modern pharmaceutical digital function is organised around platforms and products rather than technology towers and projects. A platform team owns the enterprise data platform — the data lake, the integration layer, the MLOps infrastructure — and provides it as a service to product teams who build specific digital capabilities on top of it. Product teams are cross-functional (data scientists, engineers, business analysts, and business owners working together) and are accountable for the outcomes their product delivers, not just for the technical delivery of the system.</w:t>
      </w:r>
    </w:p>
    <w:p>
      <w:pPr>
        <w:spacing w:after="120"/>
      </w:pPr>
      <w:r>
        <w:rPr>
          <w:i w:val="false"/>
          <w:iCs w:val="false"/>
          <w:color w:val="1C2333"/>
          <w:sz w:val="21"/>
          <w:szCs w:val="21"/>
        </w:rPr>
        <w:t xml:space="preserve">Embedded digital leads. As described in Chapter 3, embedding digital capability within business functions — R&amp;D, clinical operations, manufacturing, commercial — is essential for ensuring that digital tools are designed for and adopted by the people who use them. Embedded digital leads are the connective tissue between the central digital function and the business. They should be individuals with genuine domain expertise in the function they serve, combined with sufficient digital and data fluency to evaluate technology choices and translate between business requirements and technical implementations.</w:t>
      </w:r>
    </w:p>
    <w:p>
      <w:pPr>
        <w:spacing w:after="120"/>
      </w:pPr>
      <w:r>
        <w:rPr>
          <w:i w:val="false"/>
          <w:iCs w:val="false"/>
          <w:color w:val="1C2333"/>
          <w:sz w:val="21"/>
          <w:szCs w:val="21"/>
        </w:rPr>
        <w:t xml:space="preserve">The T-shaped talent model. Digital transformation requires a workforce with both depth (the T-shape's vertical bar — deep expertise in a specific domain: AI, data engineering, regulatory informatics, commercial analytics) and breadth (the horizontal bar — sufficient understanding of adjacent domains to collaborate effectively and to understand the business context of their technical work). Building this talent profile requires deliberate investment in cross-functional exposure — rotating data scientists between R&amp;D and commercial contexts, embedding engineers in manufacturing quality teams, and creating structured forums (hackathons, communities of practice, internal conferences) where digital practitioners across the organisation share knowledge and build collaborative relationships.</w:t>
      </w:r>
    </w:p>
    <w:p>
      <w:pPr>
        <w:pStyle w:val="Heading2"/>
        <w:spacing w:after="120" w:before="240"/>
      </w:pPr>
      <w:r>
        <w:rPr>
          <w:b/>
          <w:bCs/>
          <w:color w:val="0D2B55"/>
        </w:rPr>
        <w:t xml:space="preserve">20.4 Governing the Digital Portfolio</w:t>
      </w:r>
    </w:p>
    <w:p>
      <w:pPr>
        <w:spacing w:after="120"/>
      </w:pPr>
      <w:r>
        <w:rPr>
          <w:i w:val="false"/>
          <w:iCs w:val="false"/>
          <w:color w:val="1C2333"/>
          <w:sz w:val="21"/>
          <w:szCs w:val="21"/>
        </w:rPr>
        <w:t xml:space="preserve">A digital transformation portfolio typically spans 30–80 individual initiatives at any given time, ranging from enterprise platform programs (SAP S/4HANA migration: 3–5 years, $100M+) to domain-specific use cases (next-best-action model for commercial: 4 months, $2M) to exploratory innovation experiments (generative AI for regulatory document drafting: 8 weeks, $500K). Managing this portfolio coherently — ensuring it is collectively advancing the transformation strategy, that resources are allocated to the highest-value initiatives, and that dependencies and conflicts are identified and resolved — requires a formal portfolio governance capability.</w:t>
      </w:r>
    </w:p>
    <w:p>
      <w:pPr>
        <w:spacing w:after="120"/>
      </w:pPr>
      <w:r>
        <w:rPr>
          <w:i w:val="false"/>
          <w:iCs w:val="false"/>
          <w:color w:val="1C2333"/>
          <w:sz w:val="21"/>
          <w:szCs w:val="21"/>
        </w:rPr>
        <w:t xml:space="preserve">Portfolio taxonomy. Effective digital portfolio governance requires a consistent taxonomy that allows comparison across very different types of initiatives. A useful framework distinguishes three investment categories: Run (maintaining and optimising existing digital systems), Change (implementing defined improvements to existing capability — ERP upgrades, eQMS extensions), and Grow (building genuinely new capability — AI drug discovery platform, DCT capability, RWE infrastructure). The balance between Run, Change, and Grow investment is a strategic choice: organisations at PDMF Level 1–2 typically must invest predominantly in Run and Change (building the foundation), while organisations at Level 3–4 should be shifting investment toward Grow.</w:t>
      </w:r>
    </w:p>
    <w:p>
      <w:pPr>
        <w:spacing w:after="120"/>
      </w:pPr>
      <w:r>
        <w:rPr>
          <w:i w:val="false"/>
          <w:iCs w:val="false"/>
          <w:color w:val="1C2333"/>
          <w:sz w:val="21"/>
          <w:szCs w:val="21"/>
        </w:rPr>
        <w:t xml:space="preserve">Value realisation tracking. Every initiative in the portfolio should have a documented business case with specific, measurable value claims — not vague assertions about efficiency improvement but quantified projections: this initiative will reduce batch release cycle time from 21 days to 12 days, generating X releases per year, valued at $Y per release day. And after implementation, the actual value realised should be measured and compared to the business case, with honest accounting of why outcomes differed from projections where they did. This value realisation discipline is both ethically important (resources should be deployed to initiatives that actually deliver value) and strategically important (it provides the evidence base for continuing and expanding investment).</w:t>
      </w:r>
    </w:p>
    <w:p>
      <w:pPr>
        <w:pStyle w:val="Heading2"/>
        <w:spacing w:after="120" w:before="240"/>
      </w:pPr>
      <w:r>
        <w:rPr>
          <w:b/>
          <w:bCs/>
          <w:color w:val="0D2B55"/>
        </w:rPr>
        <w:t xml:space="preserve">20.5 Managing the CIO-CDO Interface</w:t>
      </w:r>
    </w:p>
    <w:p>
      <w:pPr>
        <w:spacing w:after="120"/>
      </w:pPr>
      <w:r>
        <w:rPr>
          <w:i w:val="false"/>
          <w:iCs w:val="false"/>
          <w:color w:val="1C2333"/>
          <w:sz w:val="21"/>
          <w:szCs w:val="21"/>
        </w:rPr>
        <w:t xml:space="preserve">One of the most politically complex dimensions of the CDO role is the relationship with the Chief Information Officer. In traditional pharmaceutical organisations, the CIO has owned the technology agenda — ERP systems, infrastructure, IT security — for decades. The creation of a CDO role with overlapping technology authority creates tension that, if not managed carefully, will fragment the digital program and create organisational paralysis.</w:t>
      </w:r>
    </w:p>
    <w:p>
      <w:pPr>
        <w:spacing w:after="120"/>
      </w:pPr>
      <w:r>
        <w:rPr>
          <w:i w:val="false"/>
          <w:iCs w:val="false"/>
          <w:color w:val="1C2333"/>
          <w:sz w:val="21"/>
          <w:szCs w:val="21"/>
        </w:rPr>
        <w:t xml:space="preserve">The most effective CIO-CDO models are built on explicit clarity about respective mandates. A useful delineation: the CIO owns the technology infrastructure (cloud, network, security, devices) and the enterprise systems of record (ERP, HRIS, financial systems) — in other words, the table stakes technology that every large company needs but that creates competitive advantage through reliability and cost efficiency rather than innovation. The CDO owns the data and AI platform, the digital products, and the transformation agenda — the capabilities that create competitive differentiation.</w:t>
      </w:r>
    </w:p>
    <w:p>
      <w:pPr>
        <w:spacing w:after="120"/>
      </w:pPr>
      <w:r>
        <w:rPr>
          <w:i w:val="false"/>
          <w:iCs w:val="false"/>
          <w:color w:val="1C2333"/>
          <w:sz w:val="21"/>
          <w:szCs w:val="21"/>
        </w:rPr>
        <w:t xml:space="preserve">This delineation requires the CIO and CDO to have a genuinely collaborative relationship, because their domains are deeply interdependent: the CDO's data platform runs on the CIO's cloud infrastructure; the CDO's AI products integrate with the CIO's enterprise systems; the CIO's cybersecurity framework governs the security of the CDO's AI models and patient data. Companies where the CIO and CDO have built a trust-based working relationship — with clear mandates, shared governance forums, and mutual respect for each other's expertise — consistently outperform companies where the two roles are in political competition.</w:t>
      </w:r>
    </w:p>
    <w:p>
      <w:pPr>
        <w:pStyle w:val="Heading2"/>
        <w:spacing w:after="120" w:before="240"/>
      </w:pPr>
      <w:r>
        <w:rPr>
          <w:b/>
          <w:bCs/>
          <w:color w:val="0D2B55"/>
        </w:rPr>
        <w:t xml:space="preserve">20.6 The Digital Leader's Cultural Transformation Agenda</w:t>
      </w:r>
    </w:p>
    <w:p>
      <w:pPr>
        <w:spacing w:after="120"/>
      </w:pPr>
      <w:r>
        <w:rPr>
          <w:i w:val="false"/>
          <w:iCs w:val="false"/>
          <w:color w:val="1C2333"/>
          <w:sz w:val="21"/>
          <w:szCs w:val="21"/>
        </w:rPr>
        <w:t xml:space="preserve">Technology delivers no value if the organisation's culture does not change to use it. The most consistent finding across pharmaceutical digital transformation programs is that cultural change is harder, slower, and more consequential than technical change — and that CDOs who underestimate this consistently fail.</w:t>
      </w:r>
    </w:p>
    <w:p>
      <w:pPr>
        <w:spacing w:after="120"/>
      </w:pPr>
      <w:r>
        <w:rPr>
          <w:i w:val="false"/>
          <w:iCs w:val="false"/>
          <w:color w:val="1C2333"/>
          <w:sz w:val="21"/>
          <w:szCs w:val="21"/>
        </w:rPr>
        <w:t xml:space="preserve">Data-driven decision making as a cultural norm. The deepest cultural change that digital transformation requires is the shift from intuition-based to evidence-based decision making at all levels. This does not mean eliminating human judgment — it means ensuring that human judgment is informed by data and that decisions that could be data-informed are not being made on intuition alone. Building this culture requires changing what gets measured (implementing data-driven performance metrics), changing what gets rewarded (recognising and promoting leaders who demonstrate data-informed decision making), and changing what gets celebrated (telling stories about decisions made well because of data, not despite data).</w:t>
      </w:r>
    </w:p>
    <w:p>
      <w:pPr>
        <w:spacing w:after="120"/>
      </w:pPr>
      <w:r>
        <w:rPr>
          <w:i w:val="false"/>
          <w:iCs w:val="false"/>
          <w:color w:val="1C2333"/>
          <w:sz w:val="21"/>
          <w:szCs w:val="21"/>
        </w:rPr>
        <w:t xml:space="preserve">Psychological safety for experimentation. Digital transformation requires experimentation — trying things that might not work, learning from failures, and iterating quickly. In pharmaceutical organisations with strong quality and compliance cultures, the cultural norms around failure can be ambiguous: quality failures are unacceptable (a contaminated batch, a regulatory deviation) but organisational learning requires the ability to fail safely in non-GxP contexts. Creating the psychological safety for digital experimentation — making it clear that failed AI pilots and abandoned digital product concepts are learning investments rather than career-limiting failures — is one of the most important cultural interventions a CDO can make.</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CDO have the organisational authority — Executive Committee membership, direct CEO reporting line, enterprise-wide mandate — that the evidence shows is required for transformation success? Is the digital transformation strategy genuinely integrated with the company's overall business strategy, or is it a separate technology program that runs in parallel to the business? How does the board exercise its own digital oversight — does the board have the digital literacy to evaluate the CDO's strategy and progress, and if not, what is the plan to build that literacy? Is the CIO-CDO interface clearly defined and productive, and is there a mechanism for resolving conflicts between these functions at the Executive Committee level?</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20.1: CDO Organisational Model — High-Performance Digital Function</w:t>
      </w:r>
    </w:p>
    <w:p>
      <w:r>
        <w:br w:type="page"/>
      </w:r>
    </w:p>
    <w:p>
      <w:pPr>
        <w:pStyle w:val="Heading1"/>
        <w:spacing w:after="120" w:before="240"/>
      </w:pPr>
      <w:r>
        <w:rPr>
          <w:b/>
          <w:bCs/>
          <w:color w:val="0D2B55"/>
        </w:rPr>
        <w:t xml:space="preserve">Chapter 21: Digital Transformation Case Studies — Stories from the Frontier</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Theory without evidence is hypothesis. This chapter translates the strategic frameworks of the preceding twenty chapters into concrete, named reality — examining how specific pharmaceutical companies have designed, executed, and measured their digital transformation programs. Each case study addresses the context that motivated the initiative, the specific choices made in technology selection and implementation, the obstacles encountered and how they were resolved, and the measured outcomes. These are not sanitised success stories: where programs have encountered significant difficulties, those difficulties are documented honestly, because the most important learning often comes from what did not work. Together, these cases constitute a practitioner's evidence base for the principles articulated throughout this handbook.</w:t>
      </w:r>
    </w:p>
    <w:p>
      <w:pPr>
        <w:pStyle w:val="Heading2"/>
        <w:spacing w:after="120" w:before="240"/>
      </w:pPr>
      <w:r>
        <w:rPr>
          <w:b/>
          <w:bCs/>
          <w:color w:val="0D2B55"/>
        </w:rPr>
        <w:t xml:space="preserve">21.1 Novartis: Becoming a Data Science Company</w:t>
      </w:r>
    </w:p>
    <w:p>
      <w:pPr>
        <w:spacing w:after="120"/>
      </w:pPr>
      <w:r>
        <w:rPr>
          <w:i w:val="false"/>
          <w:iCs w:val="false"/>
          <w:color w:val="1C2333"/>
          <w:sz w:val="21"/>
          <w:szCs w:val="21"/>
        </w:rPr>
        <w:t xml:space="preserve">Context and motivation. In 2018, Novartis CEO Vas Narasimhan articulated an explicit ambition to reimagine Novartis as a medicine and technology company — placing digital, data, and AI at the centre of the company's competitive strategy rather than treating them as supporting capabilities. This commitment was backed by a substantial investment program and signalled by the appointment of Bertram Schulze as Chief Data Officer, Narasimhan's public commitment to making data science a core competency, and the creation of the Novartis AI Innovation Lab in partnership with Microsoft and Google.</w:t>
      </w:r>
    </w:p>
    <w:p>
      <w:pPr>
        <w:spacing w:after="120"/>
      </w:pPr>
      <w:r>
        <w:rPr>
          <w:i w:val="false"/>
          <w:iCs w:val="false"/>
          <w:color w:val="1C2333"/>
          <w:sz w:val="21"/>
          <w:szCs w:val="21"/>
        </w:rPr>
        <w:t xml:space="preserve">R&amp;D digital transformation. Novartis's most visible AI investment has been in drug discovery. Through partnerships with BenevolentAI, Chemify (spun out from the Gómez-Bombarelli group at MIT), and Isomorphic Labs (DeepMind's drug discovery subsidiary), Novartis has integrated generative AI into its medicinal chemistry workflows. The company's internal AI/ML platform — deployed across its research sites in Basel, Cambridge, and Bangalore — provides computational chemists with AI-generated molecular design proposals, ADMET predictions, and synthesis feasibility scores for any compound in the exploration pipeline. By 2023, Novartis reported that AI-generated molecules were contributing to more than 20 active discovery programs.</w:t>
      </w:r>
    </w:p>
    <w:p>
      <w:pPr>
        <w:spacing w:after="120"/>
      </w:pPr>
      <w:r>
        <w:rPr>
          <w:i w:val="false"/>
          <w:iCs w:val="false"/>
          <w:color w:val="1C2333"/>
          <w:sz w:val="21"/>
          <w:szCs w:val="21"/>
        </w:rPr>
        <w:t xml:space="preserve">Commercial digital transformation. Novartis's commercial AI program — implemented through the company's Biome initiative and subsequently integrated into its global commercial operations — deployed next-best-action analytics for its field forces across the US, Europe, and Asia. The program used IQVIA prescribing data, Veeva CRM data, and third-party HCP engagement data to build individual HCP profiles that drove personalised field force planning and message selection. In markets where the program was fully deployed, Novartis reported 20–25% improvements in promotional call quality scores and measurable improvements in market share outcomes for targeted products.</w:t>
      </w:r>
    </w:p>
    <w:p>
      <w:pPr>
        <w:spacing w:after="120"/>
      </w:pPr>
      <w:r>
        <w:rPr>
          <w:i w:val="false"/>
          <w:iCs w:val="false"/>
          <w:color w:val="1C2333"/>
          <w:sz w:val="21"/>
          <w:szCs w:val="21"/>
        </w:rPr>
        <w:t xml:space="preserve">What was hard. The most significant implementation challenge Novartis encountered was not technical but cultural: convincing experienced sales representatives to trust and act on AI-generated recommendations that sometimes conflicted with their own market knowledge. Representatives in some markets resisted the NBA system initially, continuing to plan their call patterns based on personal relationships rather than AI recommendations. The resolution required intensive change management — including involving field leadership in refining the NBA models based on market feedback, and creating explicit performance metrics that credited AI-informed call planning.</w:t>
      </w:r>
    </w:p>
    <w:p>
      <w:pPr>
        <w:spacing w:after="120"/>
      </w:pPr>
      <w:r>
        <w:rPr>
          <w:i w:val="false"/>
          <w:iCs w:val="false"/>
          <w:color w:val="1C2333"/>
          <w:sz w:val="21"/>
          <w:szCs w:val="21"/>
        </w:rPr>
        <w:t xml:space="preserve">Measured outcomes. By 2024, Novartis reported approximately $200 million in annual commercial efficiency gains from its digital commercial program, a 30% improvement in clinical data management efficiency from its integrated clinical data platform, and a measurable reduction in manufacturing deviations at facilities that had fully implemented its digital quality management program.</w:t>
      </w:r>
    </w:p>
    <w:p>
      <w:pPr>
        <w:pStyle w:val="Heading2"/>
        <w:spacing w:after="120" w:before="240"/>
      </w:pPr>
      <w:r>
        <w:rPr>
          <w:b/>
          <w:bCs/>
          <w:color w:val="0D2B55"/>
        </w:rPr>
        <w:t xml:space="preserve">21.2 Pfizer: COVID-19 as Digital Transformation Accelerant</w:t>
      </w:r>
    </w:p>
    <w:p>
      <w:pPr>
        <w:spacing w:after="120"/>
      </w:pPr>
      <w:r>
        <w:rPr>
          <w:i w:val="false"/>
          <w:iCs w:val="false"/>
          <w:color w:val="1C2333"/>
          <w:sz w:val="21"/>
          <w:szCs w:val="21"/>
        </w:rPr>
        <w:t xml:space="preserve">Context and motivation. The development of BNT162b2 — the first approved COVID-19 mRNA vaccine, developed in partnership with BioNTech — is the most dramatic pharmaceutical digital transformation case study in history. A vaccine candidate was designed computationally in January 2020, progressed through Phase I, II, and III trials enrolling 44,000+ participants across 6 countries in under 8 months, manufactured at gigascale, and distributed globally — all in under 12 months from sequence design to Emergency Use Authorisation. Every step of this compressed development relied on digital capabilities that were either already in place or rapidly assembled.</w:t>
      </w:r>
    </w:p>
    <w:p>
      <w:pPr>
        <w:spacing w:after="120"/>
      </w:pPr>
      <w:r>
        <w:rPr>
          <w:i w:val="false"/>
          <w:iCs w:val="false"/>
          <w:color w:val="1C2333"/>
          <w:sz w:val="21"/>
          <w:szCs w:val="21"/>
        </w:rPr>
        <w:t xml:space="preserve">Digital recruitment and trial execution. The Phase III COMIRNATY trial enrolled 44,000 participants in under four months using a combination of digital recruitment (online screening portals, social media outreach, electronic eligibility verification), decentralised trial elements (e-diaries for symptom reporting, telemedicine visits for remote participants), and risk-based monitoring with centralised statistical oversight of incoming data streams. The digital data management platform — integrating EDC, pharmacovigilance, and clinical supply tracking — processed over a billion data points during the trial. The trial demonstrated what is possible with digital infrastructure: recruitment that would have taken years was completed in months.</w:t>
      </w:r>
    </w:p>
    <w:p>
      <w:pPr>
        <w:spacing w:after="120"/>
      </w:pPr>
      <w:r>
        <w:rPr>
          <w:i w:val="false"/>
          <w:iCs w:val="false"/>
          <w:color w:val="1C2333"/>
          <w:sz w:val="21"/>
          <w:szCs w:val="21"/>
        </w:rPr>
        <w:t xml:space="preserve">Manufacturing digital operations. Pfizer's mRNA manufacturing program required building and scaling an entirely new manufacturing paradigm — in vitro transcription of mRNA, lipid nanoparticle formulation, fill-finish at pharmaceutical quality standards — in under 12 months. Pfizer's Kalamazoo, Michigan facility was digitally equipped with real-time process monitoring, automated batch record management, and a digital quality system that compressed batch release from weeks to days. The manufacturing analytics team — including the Pfizer India digital hub — built the process control models that enabled consistent LNP formulation quality at commercial scale.</w:t>
      </w:r>
    </w:p>
    <w:p>
      <w:pPr>
        <w:spacing w:after="120"/>
      </w:pPr>
      <w:r>
        <w:rPr>
          <w:i w:val="false"/>
          <w:iCs w:val="false"/>
          <w:color w:val="1C2333"/>
          <w:sz w:val="21"/>
          <w:szCs w:val="21"/>
        </w:rPr>
        <w:t xml:space="preserve">Digital supply chain. Distributing two billion doses of a vaccine requiring -70°C cold chain storage to 165 countries required a digital supply chain capability that did not previously exist at this scale. Pfizer built a real-time supply chain visibility platform that tracked vaccine inventory at every point in the distribution chain — manufacturing sites, distribution hubs, national vaccination centres — and automatically flagged temperature excursions, shipment delays, and inventory shortfalls for emergency response. The system coordinated with government logistics systems across 165 countries, a supply chain orchestration challenge of unprecedented complexity.</w:t>
      </w:r>
    </w:p>
    <w:p>
      <w:pPr>
        <w:spacing w:after="120"/>
      </w:pPr>
      <w:r>
        <w:rPr>
          <w:i w:val="false"/>
          <w:iCs w:val="false"/>
          <w:color w:val="1C2333"/>
          <w:sz w:val="21"/>
          <w:szCs w:val="21"/>
        </w:rPr>
        <w:t xml:space="preserve">Systemic lessons. The COVID-19 program demonstrated several principles that Pfizer has since applied to its broader digital transformation: that regulatory agencies will accept digital evidence if it is generated with appropriate rigor and documentation; that decentralised trial elements can genuinely accelerate recruitment without compromising data quality; and that digital manufacturing tools can compress the batch release cycle dramatically if the quality system is designed to enable real-time release. Pfizer has formalised these learnings into its "mRNA Center of Excellence" — a dedicated capability building program that applies the digital tools and operating model proven in the COVID program to its pipeline across oncology, influenza, RSV, and rare disease.</w:t>
      </w:r>
    </w:p>
    <w:p>
      <w:pPr>
        <w:pStyle w:val="Heading2"/>
        <w:spacing w:after="120" w:before="240"/>
      </w:pPr>
      <w:r>
        <w:rPr>
          <w:b/>
          <w:bCs/>
          <w:color w:val="0D2B55"/>
        </w:rPr>
        <w:t xml:space="preserve">21.3 Roche/Genentech: Building the Most Advanced Pharmaceutical Data Platform</w:t>
      </w:r>
    </w:p>
    <w:p>
      <w:pPr>
        <w:spacing w:after="120"/>
      </w:pPr>
      <w:r>
        <w:rPr>
          <w:i w:val="false"/>
          <w:iCs w:val="false"/>
          <w:color w:val="1C2333"/>
          <w:sz w:val="21"/>
          <w:szCs w:val="21"/>
        </w:rPr>
        <w:t xml:space="preserve">Context and motivation. Roche's acquisition of Flatiron Health in 2018 for $1.9 billion was one of the defining moments of pharmaceutical digital transformation. Flatiron's oncology electronic health record platform — aggregating clinical data from over 2 million cancer patients across 280+ community oncology clinics — gave Roche the world's largest proprietary oncology real-world evidence database. The acquisition signalled that Roche was serious about building a data advantage that would compound over time, rather than treating data as a byproduct of drug development.</w:t>
      </w:r>
    </w:p>
    <w:p>
      <w:pPr>
        <w:spacing w:after="120"/>
      </w:pPr>
      <w:r>
        <w:rPr>
          <w:i w:val="false"/>
          <w:iCs w:val="false"/>
          <w:color w:val="1C2333"/>
          <w:sz w:val="21"/>
          <w:szCs w:val="21"/>
        </w:rPr>
        <w:t xml:space="preserve">The Roche data strategy. Roche's data strategy, as articulated by Chief Data Officer Ulrich Dünner, is built around three interconnected capabilities. First, a unified clinical data platform that integrates data from Roche's clinical trials, the Flatiron oncology database, NAVIFY (Roche's clinical decision support platform for oncology), and the Foundation Medicine genomic database (Roche acquired Foundation Medicine in 2018). Second, an AI and analytics capability that runs predictive models across this integrated dataset — identifying biomarkers that predict treatment response, designing precision oncology trials with genetically defined patient selection criteria, and generating real-world evidence for regulatory submissions and market access. Third, a digital patient engagement platform — connecting patients receiving Roche's oncology therapies with digital support tools, generating adherence and outcomes data that flows back into the evidence generation cycle.</w:t>
      </w:r>
    </w:p>
    <w:p>
      <w:pPr>
        <w:spacing w:after="120"/>
      </w:pPr>
      <w:r>
        <w:rPr>
          <w:i w:val="false"/>
          <w:iCs w:val="false"/>
          <w:color w:val="1C2333"/>
          <w:sz w:val="21"/>
          <w:szCs w:val="21"/>
        </w:rPr>
        <w:t xml:space="preserve">Scientific output. By 2024, the Roche-Flatiron-Foundation Medicine platform had contributed to over 50 regulatory submissions globally — using real-world evidence for label expansions, post-approval commitments, and safety surveillance. The platform's ability to link genomic data (Foundation Medicine) with clinical outcomes data (Flatiron) and trial data (Roche) creates a precision oncology evidence generation capability that no competitor can yet match. Roche's use of real-world data from the Flatiron platform to design genetically enriched clinical trials — enrolling patients pre-selected for specific genomic biomarkers identified as relevant in Flatiron data — has demonstrably improved Phase II success rates for its oncology programs.</w:t>
      </w:r>
    </w:p>
    <w:p>
      <w:pPr>
        <w:spacing w:after="120"/>
      </w:pPr>
      <w:r>
        <w:rPr>
          <w:i w:val="false"/>
          <w:iCs w:val="false"/>
          <w:color w:val="1C2333"/>
          <w:sz w:val="21"/>
          <w:szCs w:val="21"/>
        </w:rPr>
        <w:t xml:space="preserve">Lessons for other companies. The Roche case illustrates three principles that are broadly applicable. First, data assets accumulated over years compound in value — the Flatiron database's value in 2024 is orders of magnitude greater than its value in 2018 because it now contains six additional years of longitudinal follow-up on millions of patients. Second, the combination of internal clinical trial data with external real-world data creates evidence generation capabilities that neither source alone can provide. Third, making data strategy explicit at the CEO level — Genentech CEO Alexander Hardy has consistently articulated data as a core strategic asset — creates the organisational commitment that sustains data investment through multiple budget cycles.</w:t>
      </w:r>
    </w:p>
    <w:p>
      <w:pPr>
        <w:pStyle w:val="Heading2"/>
        <w:spacing w:after="120" w:before="240"/>
      </w:pPr>
      <w:r>
        <w:rPr>
          <w:b/>
          <w:bCs/>
          <w:color w:val="0D2B55"/>
        </w:rPr>
        <w:t xml:space="preserve">21.4 Dr. Reddy's Laboratories: Generics Digital Transformation Under Regulatory Pressure</w:t>
      </w:r>
    </w:p>
    <w:p>
      <w:pPr>
        <w:spacing w:after="120"/>
      </w:pPr>
      <w:r>
        <w:rPr>
          <w:i w:val="false"/>
          <w:iCs w:val="false"/>
          <w:color w:val="1C2333"/>
          <w:sz w:val="21"/>
          <w:szCs w:val="21"/>
        </w:rPr>
        <w:t xml:space="preserve">Context and motivation. Dr. Reddy's has faced a series of US FDA warning letters and import alerts over the past decade — quality observations that have restricted the company's ability to supply products to the US market and imposed significant financial penalties. The digital transformation program DRL Digital was launched explicitly as a response to this regulatory pressure: building the electronic quality systems, data integrity controls, and manufacturing analytics that FDA expects from a global pharmaceutical manufacturer.</w:t>
      </w:r>
    </w:p>
    <w:p>
      <w:pPr>
        <w:spacing w:after="120"/>
      </w:pPr>
      <w:r>
        <w:rPr>
          <w:i w:val="false"/>
          <w:iCs w:val="false"/>
          <w:color w:val="1C2333"/>
          <w:sz w:val="21"/>
          <w:szCs w:val="21"/>
        </w:rPr>
        <w:t xml:space="preserve">eQMS implementation. DRL implemented Veeva Vault QualityOne across its major manufacturing sites in a phased program beginning in 2020. The implementation was complex — integrating Vault with DRL's legacy SAP ERP, its Werum PAS-X MES system, and the LIMS systems at each site — and required a significant data migration effort to transfer historical quality records from paper and legacy electronic systems into the new platform. The project encountered delays when several manufacturing site teams resisted the change, preferring familiar paper-based processes to the new digital workflows.</w:t>
      </w:r>
    </w:p>
    <w:p>
      <w:pPr>
        <w:spacing w:after="120"/>
      </w:pPr>
      <w:r>
        <w:rPr>
          <w:i w:val="false"/>
          <w:iCs w:val="false"/>
          <w:color w:val="1C2333"/>
          <w:sz w:val="21"/>
          <w:szCs w:val="21"/>
        </w:rPr>
        <w:t xml:space="preserve">Resolution of resistance. The resistance was resolved through a combination of site leadership accountability (manufacturing site heads were made personally accountable for eQMS adoption rates, with adoption metrics included in their performance reviews), intensive training programs (including a "digital quality champion" program that identified enthusiastic early adopters at each site and empowered them to train and support their colleagues), and visible support from DRL's CEO and Quality Director who personally visited resistant sites to communicate the strategic importance of the program.</w:t>
      </w:r>
    </w:p>
    <w:p>
      <w:pPr>
        <w:spacing w:after="120"/>
      </w:pPr>
      <w:r>
        <w:rPr>
          <w:i w:val="false"/>
          <w:iCs w:val="false"/>
          <w:color w:val="1C2333"/>
          <w:sz w:val="21"/>
          <w:szCs w:val="21"/>
        </w:rPr>
        <w:t xml:space="preserve">Measured outcomes. Within 18 months of eQMS go-live across major sites, DRL reported CAPA closure cycle time reduced from 45 days to 22 days, deviation investigation time reduced by 30%, and — most significantly — a material improvement in US FDA inspection outcomes: the 2022 FDA inspection of DRL's Hyderabad formulation facility resulted in no critical observations and a significantly reduced number of observations overall, compared to previous inspections of the same facility. The company attributed this improvement directly to the eQMS implementation and the data integrity disciplines it had institutionalised.</w:t>
      </w:r>
    </w:p>
    <w:p>
      <w:pPr>
        <w:spacing w:after="120"/>
      </w:pPr>
      <w:r>
        <w:rPr>
          <w:i w:val="false"/>
          <w:iCs w:val="false"/>
          <w:color w:val="1C2333"/>
          <w:sz w:val="21"/>
          <w:szCs w:val="21"/>
        </w:rPr>
        <w:t xml:space="preserve">Lessons. DRL's experience illustrates that regulatory compliance is a powerful motivator for digital transformation in generics companies — but that technology deployment without change management will fail. The critical success factor was not the eQMS software (which is commercially mature and well-understood) but the organisational commitment to changing quality processes and the change management investment that made that commitment real.</w:t>
      </w:r>
    </w:p>
    <w:p>
      <w:pPr>
        <w:pStyle w:val="Heading2"/>
        <w:spacing w:after="120" w:before="240"/>
      </w:pPr>
      <w:r>
        <w:rPr>
          <w:b/>
          <w:bCs/>
          <w:color w:val="0D2B55"/>
        </w:rPr>
        <w:t xml:space="preserve">21.5 Insilico Medicine: AI-Native Drug Discovery in Action</w:t>
      </w:r>
    </w:p>
    <w:p>
      <w:pPr>
        <w:spacing w:after="120"/>
      </w:pPr>
      <w:r>
        <w:rPr>
          <w:i w:val="false"/>
          <w:iCs w:val="false"/>
          <w:color w:val="1C2333"/>
          <w:sz w:val="21"/>
          <w:szCs w:val="21"/>
        </w:rPr>
        <w:t xml:space="preserve">Context and motivation. Insilico Medicine is the defining case study for AI-native pharmaceutical research — a company built from its founding in 2014 around the principle that AI would transform every stage of drug discovery. Led by CEO Alex Zhavoronkov, Insilico has built an integrated AI drug discovery platform — Chemistry42 for molecular design, PandaOmics for target identification, and inClinico for clinical trial outcome prediction — and has used it to progress INS018_055, a TNIK inhibitor for idiopathic pulmonary fibrosis (IPF), from AI-designed molecule to Phase II clinical trials in 18 months.</w:t>
      </w:r>
    </w:p>
    <w:p>
      <w:pPr>
        <w:spacing w:after="120"/>
      </w:pPr>
      <w:r>
        <w:rPr>
          <w:i w:val="false"/>
          <w:iCs w:val="false"/>
          <w:color w:val="1C2333"/>
          <w:sz w:val="21"/>
          <w:szCs w:val="21"/>
        </w:rPr>
        <w:t xml:space="preserve">The INS018_055 program. The IPF program began with AI-powered target identification: PandaOmics analysed multi-omics data from IPF patient samples, public genetic databases, and scientific literature to identify TNIK (TRAF2- and NCK-interacting kinase) as a high-confidence novel target for IPF, with strong evidence from human genetic association studies and mechanistic biology. Chemistry42 then generated approximately 79 novel molecular scaffolds optimised for TNIK inhibition, with predicted potency, selectivity, and drug-likeness. Six candidates were synthesised and tested experimentally in a 21-day experimental campaign. The best candidate progressed to further optimisation, again AI-guided, and INS018_055 was nominated as the development candidate after a total of 18 months of work.</w:t>
      </w:r>
    </w:p>
    <w:p>
      <w:pPr>
        <w:spacing w:after="120"/>
      </w:pPr>
      <w:r>
        <w:rPr>
          <w:i w:val="false"/>
          <w:iCs w:val="false"/>
          <w:color w:val="1C2333"/>
          <w:sz w:val="21"/>
          <w:szCs w:val="21"/>
        </w:rPr>
        <w:t xml:space="preserve">Clinical development and regulatory engagement. INS018_055 entered Phase I clinical trials in Australia and New Zealand in 2021 and demonstrated acceptable safety and pharmacokinetics in healthy volunteers. Phase II trials in IPF patients began in 2023, enrolling patients in Australia, New Zealand, and the US. The Phase II results are expected in 2025 and will be a landmark test of whether AI-designed molecules can demonstrate clinical efficacy in a challenging inflammatory disease.</w:t>
      </w:r>
    </w:p>
    <w:p>
      <w:pPr>
        <w:spacing w:after="120"/>
      </w:pPr>
      <w:r>
        <w:rPr>
          <w:i w:val="false"/>
          <w:iCs w:val="false"/>
          <w:color w:val="1C2333"/>
          <w:sz w:val="21"/>
          <w:szCs w:val="21"/>
        </w:rPr>
        <w:t xml:space="preserve">Platform development. Beyond the IPF program, Insilico has used the same AI platform to initiate programs in oncology, COVID-19, and neurodegeneration — with 30+ programs at various stages of AI-assisted design or early development. The company has published its platform's performance extensively in peer-reviewed scientific literature, including landmark papers in Nature Biotechnology and Nature Machine Intelligence that demonstrate the performance of Chemistry42 in benchmark molecular design tasks.</w:t>
      </w:r>
    </w:p>
    <w:p>
      <w:pPr>
        <w:spacing w:after="120"/>
      </w:pPr>
      <w:r>
        <w:rPr>
          <w:i w:val="false"/>
          <w:iCs w:val="false"/>
          <w:color w:val="1C2333"/>
          <w:sz w:val="21"/>
          <w:szCs w:val="21"/>
        </w:rPr>
        <w:t xml:space="preserve">Lessons. Insilico's story validates several propositions about AI-native drug discovery: AI can identify credible novel targets that experienced human researchers had not prioritised; generative AI can design drug-like molecules with specific property profiles faster and more efficiently than conventional medicinal chemistry; and the design-make-test cycle can be compressed dramatically when AI guides experiment selection. It does not yet validate whether AI-designed drugs are more likely to succeed clinically — that evidence will emerge as INS018_055 and its successors advance through clinical development.</w:t>
      </w:r>
    </w:p>
    <w:p>
      <w:pPr>
        <w:pStyle w:val="Heading2"/>
        <w:spacing w:after="120" w:before="240"/>
      </w:pPr>
      <w:r>
        <w:rPr>
          <w:b/>
          <w:bCs/>
          <w:color w:val="0D2B55"/>
        </w:rPr>
        <w:t xml:space="preserve">21.6 Lessons Synthesised: What the Evidence Shows</w:t>
      </w:r>
    </w:p>
    <w:p>
      <w:pPr>
        <w:spacing w:after="120"/>
      </w:pPr>
      <w:r>
        <w:rPr>
          <w:i w:val="false"/>
          <w:iCs w:val="false"/>
          <w:color w:val="1C2333"/>
          <w:sz w:val="21"/>
          <w:szCs w:val="21"/>
        </w:rPr>
        <w:t xml:space="preserve">Across these case studies, a consistent set of themes emerges that should inform any pharmaceutical digital transformation program.</w:t>
      </w:r>
    </w:p>
    <w:p>
      <w:pPr>
        <w:spacing w:after="120"/>
      </w:pPr>
      <w:r>
        <w:rPr>
          <w:i w:val="false"/>
          <w:iCs w:val="false"/>
          <w:color w:val="1C2333"/>
          <w:sz w:val="21"/>
          <w:szCs w:val="21"/>
        </w:rPr>
        <w:t xml:space="preserve">Executive commitment is the irreducible prerequisite. Every case study that succeeded had explicit, sustained CEO-level commitment that translated into budget, authority, and cultural endorsement. Every case that struggled had gaps in this commitment. Novartis's transformation succeeded because Vas Narasimhan made it personal. Pfizer's COVID-19 digital acceleration succeeded because Albert Bourla authorised an unprecedented pace of parallel execution. DRL's eQMS program overcame resistance because the CEO personally visited resistant sites.</w:t>
      </w:r>
    </w:p>
    <w:p>
      <w:pPr>
        <w:spacing w:after="120"/>
      </w:pPr>
      <w:r>
        <w:rPr>
          <w:i w:val="false"/>
          <w:iCs w:val="false"/>
          <w:color w:val="1C2333"/>
          <w:sz w:val="21"/>
          <w:szCs w:val="21"/>
        </w:rPr>
        <w:t xml:space="preserve">Technology is the easy part. In every case, the technology itself — the AI platform, the eQMS software, the clinical data management system — worked reasonably well. The hard problems were organisational: building the talent to use the technology effectively, changing the workflows and performance management systems to reward digital behaviour, managing the political dynamics of cross-functional programs, and sustaining commitment through the 3–5 year timelines that enterprise transformation requires.</w:t>
      </w:r>
    </w:p>
    <w:p>
      <w:pPr>
        <w:spacing w:after="120"/>
      </w:pPr>
      <w:r>
        <w:rPr>
          <w:i w:val="false"/>
          <w:iCs w:val="false"/>
          <w:color w:val="1C2333"/>
          <w:sz w:val="21"/>
          <w:szCs w:val="21"/>
        </w:rPr>
        <w:t xml:space="preserve">Data quality is both a prerequisite and a constraint. Every advanced digital capability in these cases depended on data that was clean, integrated, and accessible. The Roche case succeeded partly because Flatiron had spent years building high-quality, longitudinal oncology data. The Novartis commercial AI succeeded because IQVIA and Veeva CRM data were of sufficient quality for NBA modelling. The DRL case illustrates what happens when data integrity is not in place: the quality system fails, regulatory observations accumulate, and the digital transformation becomes remedial rather than innovative.</w:t>
      </w:r>
    </w:p>
    <w:p>
      <w:pPr>
        <w:spacing w:after="120"/>
      </w:pPr>
      <w:r>
        <w:rPr>
          <w:i w:val="false"/>
          <w:iCs w:val="false"/>
          <w:color w:val="1C2333"/>
          <w:sz w:val="21"/>
          <w:szCs w:val="21"/>
        </w:rPr>
        <w:t xml:space="preserve">Measure outcomes, not outputs. The most mature transformation programs in these cases measure business outcomes — reduction in batch release cycle time, improvement in market share outcomes, increase in first-cycle FDA inspection success rate — rather than technology delivery milestones. This outcome focus keeps the program honest and provides the evidence base for continued investment.</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Of the transformation programs described in this chapter, which is most analogous to the situation your organisation faces — regulatory pressure driving quality digitalization (DRL), commercial competitive pressure requiring analytics investment (Novartis), platform building for long-term data advantage (Roche), or AI-native discovery ambition (Insilico)? What can your organisation learn from the specific obstacles these companies encountered, and are there proactive steps you can take to avoid the same obstacles? Is your organisation measuring digital transformation outcomes — business impact, not just technology delivery — and is that measurement visible to the board?</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21.1: Digital Transformation Case Study Comparison</w:t>
      </w:r>
    </w:p>
    <w:p>
      <w:pPr>
        <w:spacing w:after="120"/>
      </w:pPr>
      <w:r>
        <w:rPr>
          <w:color w:val="1C2333"/>
          <w:sz w:val="21"/>
          <w:szCs w:val="21"/>
        </w:rPr>
        <w:t xml:space="preserve">APPENDIX</w:t>
      </w:r>
    </w:p>
    <w:p>
      <w:pPr>
        <w:spacing w:after="120"/>
      </w:pPr>
      <w:r>
        <w:rPr>
          <w:color w:val="1C2333"/>
          <w:sz w:val="21"/>
          <w:szCs w:val="21"/>
        </w:rPr>
        <w:t xml:space="preserve">PART VII — ADVANCED TECHNICAL CHAPTERS</w:t>
      </w:r>
    </w:p>
    <w:p>
      <w:r>
        <w:br w:type="page"/>
      </w:r>
    </w:p>
    <w:p>
      <w:pPr>
        <w:pStyle w:val="Heading1"/>
        <w:spacing w:after="120" w:before="240"/>
      </w:pPr>
      <w:r>
        <w:rPr>
          <w:b/>
          <w:bCs/>
          <w:color w:val="0D2B55"/>
        </w:rPr>
        <w:t xml:space="preserve">Chapter 22: Interoperability &amp; Health Data Standards — The Foundation of Connected Pharma</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pharmaceutical industry's ability to harness data across the full value chain — connecting clinical trial data to real-world evidence, manufacturing process data to quality outcomes, genomic data to patient outcomes — depends fundamentally on the adoption of common data standards and interoperability frameworks. Without standards, each system speaks a different language, data cannot flow, and the vision of a connected digital enterprise remains unrealised. This chapter examines the critical standards landscape — FHIR, OMOP, IDMP, HL7, CDISC, SNOMED CT, and others — explains what they do, why they matter, and how pharmaceutical companies should build their data architecture to leverage them. It also addresses the organisational and governance challenges of standards adoption, which are as significant as the technical challenges.</w:t>
      </w:r>
    </w:p>
    <w:p>
      <w:pPr>
        <w:pStyle w:val="Heading2"/>
        <w:spacing w:after="120" w:before="240"/>
      </w:pPr>
      <w:r>
        <w:rPr>
          <w:b/>
          <w:bCs/>
          <w:color w:val="0D2B55"/>
        </w:rPr>
        <w:t xml:space="preserve">22.1 Why Standards Are the Strategic Foundation</w:t>
      </w:r>
    </w:p>
    <w:p>
      <w:pPr>
        <w:spacing w:after="120"/>
      </w:pPr>
      <w:r>
        <w:rPr>
          <w:i w:val="false"/>
          <w:iCs w:val="false"/>
          <w:color w:val="1C2333"/>
          <w:sz w:val="21"/>
          <w:szCs w:val="21"/>
        </w:rPr>
        <w:t xml:space="preserve">The business case for health data standards investment is not abstract. Every time a pharmaceutical company spends weeks reconciling data from two clinical trial systems that use different terminology for the same concept — or cannot analyse real-world evidence from a European health system because the data model is incompatible with the company's internal analytics platform — or delays a regulatory submission because the electronic dossier format is not fully compliant with the agency's eCTD specifications — the cost of inadequate standards adoption is being paid in real time, in real money, and in real delay.</w:t>
      </w:r>
    </w:p>
    <w:p>
      <w:pPr>
        <w:spacing w:after="120"/>
      </w:pPr>
      <w:r>
        <w:rPr>
          <w:i w:val="false"/>
          <w:iCs w:val="false"/>
          <w:color w:val="1C2333"/>
          <w:sz w:val="21"/>
          <w:szCs w:val="21"/>
        </w:rPr>
        <w:t xml:space="preserve">Standards create network effects: the more organisations that adopt a standard, the more valuable it becomes for all of them. A pharmaceutical company that has adopted the OMOP Common Data Model can immediately access and analyse data from any of the 300+ OHDSI network institutions without custom integration work. A company that has implemented FHIR-compliant APIs can connect to any electronic health record system that has also implemented FHIR — which, as of 2024, includes virtually all major US EHR vendors following the 21st Century Cures Act mandate. A manufacturer that has implemented IDMP-compliant product data can submit structured product information to the EMA without custom formatting for each submission.</w:t>
      </w:r>
    </w:p>
    <w:p>
      <w:pPr>
        <w:spacing w:after="120"/>
      </w:pPr>
      <w:r>
        <w:rPr>
          <w:i w:val="false"/>
          <w:iCs w:val="false"/>
          <w:color w:val="1C2333"/>
          <w:sz w:val="21"/>
          <w:szCs w:val="21"/>
        </w:rPr>
        <w:t xml:space="preserve">The strategic question for pharmaceutical companies is not whether to adopt health data standards but how to sequence the adoption, how to govern the implementation, and how to build the technical architecture that makes standards compliance sustainable rather than a one-time implementation exercise that degrades over time.</w:t>
      </w:r>
    </w:p>
    <w:p>
      <w:pPr>
        <w:pStyle w:val="Heading2"/>
        <w:spacing w:after="120" w:before="240"/>
      </w:pPr>
      <w:r>
        <w:rPr>
          <w:b/>
          <w:bCs/>
          <w:color w:val="0D2B55"/>
        </w:rPr>
        <w:t xml:space="preserve">22.2 FHIR: The New Language of Health Data Exchange</w:t>
      </w:r>
    </w:p>
    <w:p>
      <w:pPr>
        <w:spacing w:after="120"/>
      </w:pPr>
      <w:r>
        <w:rPr>
          <w:i w:val="false"/>
          <w:iCs w:val="false"/>
          <w:color w:val="1C2333"/>
          <w:sz w:val="21"/>
          <w:szCs w:val="21"/>
        </w:rPr>
        <w:t xml:space="preserve">Fast Healthcare Interoperability Resources (FHIR, pronounced "fire") is the international standard for exchanging electronic health information between healthcare systems, developed and maintained by HL7 International. FHIR defines a set of "resources" — standardised data structures for representing clinical concepts including patients, medications, observations, diagnostic reports, conditions, procedures, and care plans — and specifies REST APIs through which these resources can be exchanged between systems over the internet.</w:t>
      </w:r>
    </w:p>
    <w:p>
      <w:pPr>
        <w:spacing w:after="120"/>
      </w:pPr>
      <w:r>
        <w:rPr>
          <w:i w:val="false"/>
          <w:iCs w:val="false"/>
          <w:color w:val="1C2333"/>
          <w:sz w:val="21"/>
          <w:szCs w:val="21"/>
        </w:rPr>
        <w:t xml:space="preserve">FHIR's adoption has been dramatically accelerated by regulatory mandates. In the United States, the 21st Century Cures Act (2016) and the CMS and ONC Interoperability Rules (2020) required that all EHR vendors certified under the ONC Health IT Certification Program implement FHIR APIs by 2021, giving patients and authorised applications programmatic access to their health records. All major US EHR vendors — Epic, Cerner (now Oracle Health), Meditech, Allscripts — have implemented FHIR APIs, creating a de facto national health data exchange infrastructure that pharmaceutical companies can leverage.</w:t>
      </w:r>
    </w:p>
    <w:p>
      <w:pPr>
        <w:spacing w:after="120"/>
      </w:pPr>
      <w:r>
        <w:rPr>
          <w:i w:val="false"/>
          <w:iCs w:val="false"/>
          <w:color w:val="1C2333"/>
          <w:sz w:val="21"/>
          <w:szCs w:val="21"/>
        </w:rPr>
        <w:t xml:space="preserve">FHIR in clinical research. The use of FHIR in clinical research — connecting electronic health records to clinical trial systems to enable direct data capture from EHR into the trial's EDC system — is one of the most transformative near-term applications for pharmaceutical companies. The EHR-to-EDC connection enabled by FHIR eliminates the manual transcription of clinical data from the EHR into the trial case report form, dramatically reducing the data entry burden on clinical site staff, reducing transcription error rates, and accelerating data availability for central monitoring and analysis. The TransCelerate Biopharma initiative's Digital Data Flow project — which is developing the FHIR-based data exchange standards for clinical research — is the industry's most important collaborative standardisation initiative, involving 20+ major pharmaceutical companies working together to define how FHIR resources should be mapped to CDISC (Clinical Data Interchange Standards Consortium) clinical research data standards.</w:t>
      </w:r>
    </w:p>
    <w:p>
      <w:pPr>
        <w:spacing w:after="120"/>
      </w:pPr>
      <w:r>
        <w:rPr>
          <w:i w:val="false"/>
          <w:iCs w:val="false"/>
          <w:color w:val="1C2333"/>
          <w:sz w:val="21"/>
          <w:szCs w:val="21"/>
        </w:rPr>
        <w:t xml:space="preserve">FHIR in real-world evidence. As health systems implement FHIR APIs that give pharmaceutical companies access to de-identified patient data, the ability to generate real-world evidence from EHR data without the cost and delay of custom data extraction projects is becoming a reality. Academic research institutions and health system research networks are developing FHIR-based query platforms that allow researchers to run standardised analysis queries against FHIR-compliant EHR data without requiring custom data exports — dramatically reducing the time and cost of real-world evidence studies.</w:t>
      </w:r>
    </w:p>
    <w:p>
      <w:pPr>
        <w:spacing w:after="120"/>
      </w:pPr>
      <w:r>
        <w:rPr>
          <w:i w:val="false"/>
          <w:iCs w:val="false"/>
          <w:color w:val="1C2333"/>
          <w:sz w:val="21"/>
          <w:szCs w:val="21"/>
        </w:rPr>
        <w:t xml:space="preserve">FHIR in patient engagement. FHIR APIs enable pharmaceutical patient support programs to connect directly to patients' health records — with patient consent — to retrieve relevant clinical data (current medications, diagnosis history, laboratory results) that informs the support program and to write structured data back to the EHR (adverse event reports, medication adherence records, patient-reported outcomes). This bidirectional connectivity transforms patient support programs from isolated administrative interventions into integrated components of the patient's longitudinal health record.</w:t>
      </w:r>
    </w:p>
    <w:p>
      <w:pPr>
        <w:pStyle w:val="Heading2"/>
        <w:spacing w:after="120" w:before="240"/>
      </w:pPr>
      <w:r>
        <w:rPr>
          <w:b/>
          <w:bCs/>
          <w:color w:val="0D2B55"/>
        </w:rPr>
        <w:t xml:space="preserve">22.3 OMOP CDM: The Foundation of Real-World Evidence</w:t>
      </w:r>
    </w:p>
    <w:p>
      <w:pPr>
        <w:spacing w:after="120"/>
      </w:pPr>
      <w:r>
        <w:rPr>
          <w:i w:val="false"/>
          <w:iCs w:val="false"/>
          <w:color w:val="1C2333"/>
          <w:sz w:val="21"/>
          <w:szCs w:val="21"/>
        </w:rPr>
        <w:t xml:space="preserve">The Observational Medical Outcomes Partnership Common Data Model (OMOP CDM) is the data standardisation framework that enables the OHDSI federated research network. OMOP provides a standardised schema for organising health data — from any source (EHR, claims, registry, wearable) — into a common structure that uses standard terminologies for every clinical concept.</w:t>
      </w:r>
    </w:p>
    <w:p>
      <w:pPr>
        <w:spacing w:after="120"/>
      </w:pPr>
      <w:r>
        <w:rPr>
          <w:i w:val="false"/>
          <w:iCs w:val="false"/>
          <w:color w:val="1C2333"/>
          <w:sz w:val="21"/>
          <w:szCs w:val="21"/>
        </w:rPr>
        <w:t xml:space="preserve">The OMOP CDM uses standard vocabularies for all clinical concepts: SNOMED CT for diagnoses and clinical findings, RxNorm for medications, LOINC for laboratory tests and observations, ICD-10-CM for diagnosis coding (mapped to SNOMED), NDC for drug products (mapped to RxNorm), and CPT-4 and HCPCS for procedures. By mapping all data to these standard terminologies before analysis, OMOP eliminates the terminology heterogeneity that makes cross-institutional analysis difficult — a patient's "Type 2 diabetes mellitus" at one institution maps to the same SNOMED concept (44054006) as the same condition coded differently at another institution.</w:t>
      </w:r>
    </w:p>
    <w:p>
      <w:pPr>
        <w:spacing w:after="120"/>
      </w:pPr>
      <w:r>
        <w:rPr>
          <w:i w:val="false"/>
          <w:iCs w:val="false"/>
          <w:color w:val="1C2333"/>
          <w:sz w:val="21"/>
          <w:szCs w:val="21"/>
        </w:rPr>
        <w:t xml:space="preserve">OMOP implementation strategy. Implementing OMOP within a pharmaceutical company involves two phases. The first phase is the ETL (Extract, Transform, Load) process — building the pipelines that take data from source systems (EHR exports, claims data feeds, trial data extracts) and transform them into the OMOP schema, mapping local codes to standard OMOP vocabularies and resolving data quality issues. The second phase is validation — running the DQD (Data Quality Dashboard), a standardised suite of data quality checks developed by the OHDSI community, to assess the completeness, conformance, and plausibility of the OMOP-mapped data.</w:t>
      </w:r>
    </w:p>
    <w:p>
      <w:pPr>
        <w:spacing w:after="120"/>
      </w:pPr>
      <w:r>
        <w:rPr>
          <w:i w:val="false"/>
          <w:iCs w:val="false"/>
          <w:color w:val="1C2333"/>
          <w:sz w:val="21"/>
          <w:szCs w:val="21"/>
        </w:rPr>
        <w:t xml:space="preserve">OHDSI network participation. Once a data asset has been mapped to OMOP, the company can participate in OHDSI network studies — running standardised analysis packages across multiple institutions' data simultaneously and aggregating results. For pharmaceutical companies, OHDSI participation enables RWE generation at a scale and speed that would be impossible with proprietary data alone, supports comparative effectiveness and safety studies with statistical power that no single company's data can provide, and provides a credible, independently governed framework that regulatory agencies have increasingly accepted as evidence.</w:t>
      </w:r>
    </w:p>
    <w:p>
      <w:pPr>
        <w:pStyle w:val="Heading2"/>
        <w:spacing w:after="120" w:before="240"/>
      </w:pPr>
      <w:r>
        <w:rPr>
          <w:b/>
          <w:bCs/>
          <w:color w:val="0D2B55"/>
        </w:rPr>
        <w:t xml:space="preserve">22.4 CDISC Standards: Clinical Research Data Excellence</w:t>
      </w:r>
    </w:p>
    <w:p>
      <w:pPr>
        <w:spacing w:after="120"/>
      </w:pPr>
      <w:r>
        <w:rPr>
          <w:i w:val="false"/>
          <w:iCs w:val="false"/>
          <w:color w:val="1C2333"/>
          <w:sz w:val="21"/>
          <w:szCs w:val="21"/>
        </w:rPr>
        <w:t xml:space="preserve">The Clinical Data Interchange Standards Consortium (CDISC) defines the data standards that govern how clinical trial data is structured, documented, and submitted to regulatory agencies. CDISC standards are regulatory requirements for US FDA and PMDA (Japan) submissions, and their adoption is strongly encouraged by EMA.</w:t>
      </w:r>
    </w:p>
    <w:p>
      <w:pPr>
        <w:spacing w:after="120"/>
      </w:pPr>
      <w:r>
        <w:rPr>
          <w:i w:val="false"/>
          <w:iCs w:val="false"/>
          <w:color w:val="1C2333"/>
          <w:sz w:val="21"/>
          <w:szCs w:val="21"/>
        </w:rPr>
        <w:t xml:space="preserve">SDTM (Study Data Tabulation Model). SDTM defines how clinical trial raw data should be organised into a standardised set of domains — Demographics (DM), Adverse Events (AE), Medical History (MH), Vital Signs (VS), Laboratory Test Results (LB), Exposure (EX), and dozens of others. SDTM compliance is required for all clinical trial data submitted to FDA for NDAs and BLAs. The challenge for pharmaceutical companies is that SDTM datasets must be produced from EDC-collected raw data through an SDT mapping process that requires considerable expertise, automation investment, and validation.</w:t>
      </w:r>
    </w:p>
    <w:p>
      <w:pPr>
        <w:spacing w:after="120"/>
      </w:pPr>
      <w:r>
        <w:rPr>
          <w:i w:val="false"/>
          <w:iCs w:val="false"/>
          <w:color w:val="1C2333"/>
          <w:sz w:val="21"/>
          <w:szCs w:val="21"/>
        </w:rPr>
        <w:t xml:space="preserve">ADaM (Analysis Data Model). ADaM defines how derived analysis datasets — the datasets used to generate the statistical tables, listings, and figures in the clinical study report — should be structured. ADaM datasets are derived from SDTM datasets through programmable transformation steps that must be documented, validated, and submitted along with the analysis programs. Automating the production of ADaM datasets from SDTM is one of the highest-value opportunities for regulatory submission automation.</w:t>
      </w:r>
    </w:p>
    <w:p>
      <w:pPr>
        <w:spacing w:after="120"/>
      </w:pPr>
      <w:r>
        <w:rPr>
          <w:i w:val="false"/>
          <w:iCs w:val="false"/>
          <w:color w:val="1C2333"/>
          <w:sz w:val="21"/>
          <w:szCs w:val="21"/>
        </w:rPr>
        <w:t xml:space="preserve">CDASH (Clinical Data Acquisition Standards Harmonisation). CDASH defines the standardised data collection fields for electronic case report forms — ensuring that data is collected in a form that maps efficiently to SDTM domains without the lossy and error-prone intermediate transformation that characterises non-CDASH-compliant EDC implementations. Companies that implement CDASH from the outset of a study design — configuring EDC systems to collect data in CDASH-defined fields with CDASH-defined coding — dramatically reduce the cost and complexity of the downstream SDTM conversion.</w:t>
      </w:r>
    </w:p>
    <w:p>
      <w:pPr>
        <w:spacing w:after="120"/>
      </w:pPr>
      <w:r>
        <w:rPr>
          <w:i w:val="false"/>
          <w:iCs w:val="false"/>
          <w:color w:val="1C2333"/>
          <w:sz w:val="21"/>
          <w:szCs w:val="21"/>
        </w:rPr>
        <w:t xml:space="preserve">SEND (Standard for Exchange of Nonclinical Data). The FDA requires nonclinical (preclinical) study data to be submitted in SEND format for all studies conducted to support INDs and NDAs. SEND extends the CDISC standardisation philosophy to toxicology and pharmacology data, with specific domains for laboratory animal studies.</w:t>
      </w:r>
    </w:p>
    <w:p>
      <w:pPr>
        <w:pStyle w:val="Heading2"/>
        <w:spacing w:after="120" w:before="240"/>
      </w:pPr>
      <w:r>
        <w:rPr>
          <w:b/>
          <w:bCs/>
          <w:color w:val="0D2B55"/>
        </w:rPr>
        <w:t xml:space="preserve">22.5 IDMP: Structured Product Information for Regulators</w:t>
      </w:r>
    </w:p>
    <w:p>
      <w:pPr>
        <w:spacing w:after="120"/>
      </w:pPr>
      <w:r>
        <w:rPr>
          <w:i w:val="false"/>
          <w:iCs w:val="false"/>
          <w:color w:val="1C2333"/>
          <w:sz w:val="21"/>
          <w:szCs w:val="21"/>
        </w:rPr>
        <w:t xml:space="preserve">The Identification of Medicinal Products (IDMP) standard — a suite of ISO standards (11615, 11616, 11238, 11239, 11240) — defines how pharmaceutical products should be described in a structured, machine-readable format for regulatory purposes. EMA has made IDMP implementation mandatory for all products regulated in the European Union, with a phased implementation schedule that has been requiring structured product data since 2022.</w:t>
      </w:r>
    </w:p>
    <w:p>
      <w:pPr>
        <w:spacing w:after="120"/>
      </w:pPr>
      <w:r>
        <w:rPr>
          <w:i w:val="false"/>
          <w:iCs w:val="false"/>
          <w:color w:val="1C2333"/>
          <w:sz w:val="21"/>
          <w:szCs w:val="21"/>
        </w:rPr>
        <w:t xml:space="preserve">IDMP matters because it enables the EMA to cross-reference product information across all EU member states in real time — identifying the same product marketed under different brand names in different countries, tracking all approved formulations and strengths, and monitoring the safety profiles of products across the entire EU market without the manual effort of reconciling product-specific paper submissions.</w:t>
      </w:r>
    </w:p>
    <w:p>
      <w:pPr>
        <w:spacing w:after="120"/>
      </w:pPr>
      <w:r>
        <w:rPr>
          <w:i w:val="false"/>
          <w:iCs w:val="false"/>
          <w:color w:val="1C2333"/>
          <w:sz w:val="21"/>
          <w:szCs w:val="21"/>
        </w:rPr>
        <w:t xml:space="preserve">For pharmaceutical companies, IDMP implementation is a major data management investment. Implementing IDMP requires building or acquiring a master data management system that can represent all of the company's products in IDMP-compliant format — with structured data elements for each regulatory authority, each marketing authorisation, each pharmaceutical form, each route of administration, each active ingredient substance, and each manufactured item in the supply chain. Maintaining this data in current, accurate, and compliant form as products are approved, formulations are changed, and marketing authorisations evolve across 50+ markets requires a regulatory information management system (like Veeva Vault RIM) that has been specifically configured or designed to support IDMP data management.</w:t>
      </w:r>
    </w:p>
    <w:p>
      <w:pPr>
        <w:pStyle w:val="Heading2"/>
        <w:spacing w:after="120" w:before="240"/>
      </w:pPr>
      <w:r>
        <w:rPr>
          <w:b/>
          <w:bCs/>
          <w:color w:val="0D2B55"/>
        </w:rPr>
        <w:t xml:space="preserve">22.6 Terminology Standards: SNOMED, LOINC, MedDRA, and RxNorm</w:t>
      </w:r>
    </w:p>
    <w:p>
      <w:pPr>
        <w:spacing w:after="120"/>
      </w:pPr>
      <w:r>
        <w:rPr>
          <w:i w:val="false"/>
          <w:iCs w:val="false"/>
          <w:color w:val="1C2333"/>
          <w:sz w:val="21"/>
          <w:szCs w:val="21"/>
        </w:rPr>
        <w:t xml:space="preserve">Clinical terminology standards — the controlled vocabularies that define exactly what each clinical concept means in a computable way — are the semantic layer without which data exchange is superficial. Two systems that exchange FHIR resources using different local terminology for "hypertension" cannot reliably interpret each other's data; two systems that both use SNOMED CT concept 38341003 for essential hypertension can exchange data that is unambiguously and computable equivalent.</w:t>
      </w:r>
    </w:p>
    <w:p>
      <w:pPr>
        <w:spacing w:after="120"/>
      </w:pPr>
      <w:r>
        <w:rPr>
          <w:i w:val="false"/>
          <w:iCs w:val="false"/>
          <w:color w:val="1C2333"/>
          <w:sz w:val="21"/>
          <w:szCs w:val="21"/>
        </w:rPr>
        <w:t xml:space="preserve">SNOMED CT (Systematised Nomenclature of Medicine — Clinical Terms) is the most comprehensive clinical terminology standard, containing over 350,000 concepts covering diseases, findings, procedures, organisms, substances, and body structures. SNOMED is the recommended terminology for diagnoses and clinical findings in FHIR, OMOP, and most modern health data standards.</w:t>
      </w:r>
    </w:p>
    <w:p>
      <w:pPr>
        <w:spacing w:after="120"/>
      </w:pPr>
      <w:r>
        <w:rPr>
          <w:i w:val="false"/>
          <w:iCs w:val="false"/>
          <w:color w:val="1C2333"/>
          <w:sz w:val="21"/>
          <w:szCs w:val="21"/>
        </w:rPr>
        <w:t xml:space="preserve">LOINC (Logical Observation Identifiers Names and Codes) provides standardised codes for laboratory tests, clinical measurements, and other observations. LOINC codes enable cross-institutional comparison of laboratory results — a serum creatinine measurement with LOINC code 2160-0 means exactly the same thing regardless of which laboratory system or which hospital generated it.</w:t>
      </w:r>
    </w:p>
    <w:p>
      <w:pPr>
        <w:spacing w:after="120"/>
      </w:pPr>
      <w:r>
        <w:rPr>
          <w:i w:val="false"/>
          <w:iCs w:val="false"/>
          <w:color w:val="1C2333"/>
          <w:sz w:val="21"/>
          <w:szCs w:val="21"/>
        </w:rPr>
        <w:t xml:space="preserve">MedDRA (Medical Dictionary for Regulatory Activities) is the mandatory terminology for adverse event reporting in regulatory submissions and pharmacovigilance. MedDRA's hierarchical structure — from individual preferred terms (e.g., "acute myocardial infarction") through higher level terms, high level group terms, and system organ classes to the overall adverse event system organ class — enables both granular safety reporting and aggregate signal detection.</w:t>
      </w:r>
    </w:p>
    <w:p>
      <w:pPr>
        <w:spacing w:after="120"/>
      </w:pPr>
      <w:r>
        <w:rPr>
          <w:i w:val="false"/>
          <w:iCs w:val="false"/>
          <w:color w:val="1C2333"/>
          <w:sz w:val="21"/>
          <w:szCs w:val="21"/>
        </w:rPr>
        <w:t xml:space="preserve">RxNorm is the US national drug terminology standard, providing standardised names and identifiers for clinical drugs (active ingredient, strength, and form) and their components. RxNorm enables cross-system reconciliation of medication prescriptions and dispensing records, supporting medication adherence analytics, drug-drug interaction checking, and population-level medication pattern analysis.</w:t>
      </w:r>
    </w:p>
    <w:p>
      <w:pPr>
        <w:pStyle w:val="Heading2"/>
        <w:spacing w:after="120" w:before="240"/>
      </w:pPr>
      <w:r>
        <w:rPr>
          <w:b/>
          <w:bCs/>
          <w:color w:val="0D2B55"/>
        </w:rPr>
        <w:t xml:space="preserve">22.7 Building a Standards-Compliant Data Architecture</w:t>
      </w:r>
    </w:p>
    <w:p>
      <w:pPr>
        <w:spacing w:after="120"/>
      </w:pPr>
      <w:r>
        <w:rPr>
          <w:i w:val="false"/>
          <w:iCs w:val="false"/>
          <w:color w:val="1C2333"/>
          <w:sz w:val="21"/>
          <w:szCs w:val="21"/>
        </w:rPr>
        <w:t xml:space="preserve">Adopting individual standards in isolation — implementing FHIR without OMOP, or OMOP without SNOMED CT — generates fragmented value that falls short of the integrated data capability that these standards, taken together, enable. The standards-compliant pharmaceutical data architecture integrates all of these elements into a coherent system.</w:t>
      </w:r>
    </w:p>
    <w:p>
      <w:pPr>
        <w:spacing w:after="120"/>
      </w:pPr>
      <w:r>
        <w:rPr>
          <w:i w:val="false"/>
          <w:iCs w:val="false"/>
          <w:color w:val="1C2333"/>
          <w:sz w:val="21"/>
          <w:szCs w:val="21"/>
        </w:rPr>
        <w:t xml:space="preserve">The operational layer captures data in standards-compliant form at the point of origin: FHIR-based EHR connections capture patient data in FHIR resources; CDISC-compliant EDC systems collect trial data in CDASH format; LIMS systems record laboratory results with LOINC codes; eQMS systems record deviations and CAPAs with MedDRA-coded adverse events. The integration layer converts this operational data into the enterprise data platform: SDTM/ADaM generators produce regulatory-compliant datasets from EDC data; OMOP ETL pipelines convert FHIR data into OMOP CDM for RWE analysis; IDMP data management systems maintain regulatory product master data. The analytics layer runs on top of this standardised, integrated data: OHDSI network queries run against OMOP data; regulatory submission packages are assembled from SDTM/ADaM datasets; pharmacovigilance signal detection runs on MedDRA-coded adverse event data.</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Has the organisation conducted a standards maturity assessment — mapping the degree to which each major data system (EDC, LIMS, eQMS, EHR interfaces, regulatory submission systems) is using standard terminologies and exchange formats? What is the organisation's IDMP implementation status, and is there a clear timeline and resource plan for achieving full compliance? Does the organisation participate in the TransCelerate Digital Data Flow initiative, and if not, why not? Has the IT and data governance leadership team engaged with the OHDSI community and evaluated the strategic value of OHDSI network participation for the organisation's RWE program?</w:t>
      </w:r>
    </w:p>
    <w:p>
      <w:pPr>
        <w:pBdr>
          <w:left w:val="single" w:color="C9A84C" w:sz="18" w:space="8"/>
        </w:pBdr>
        <w:shd w:fill="FBF6E9" w:color="auto" w:val="clear"/>
        <w:spacing w:after="120"/>
        <w:ind w:left="240"/>
      </w:pPr>
      <w:r>
        <w:rPr>
          <w:i/>
          <w:iCs/>
          <w:color w:val="1C2333"/>
          <w:sz w:val="21"/>
          <w:szCs w:val="21"/>
        </w:rPr>
        <w:t xml:space="preserve">🌍 REGIONAL SPOTLIGHT: STANDARDS ADOPTION BY GEOGRAPHY</w:t>
      </w:r>
    </w:p>
    <w:p>
      <w:pPr>
        <w:pBdr>
          <w:left w:val="single" w:color="C9A84C" w:sz="18" w:space="8"/>
        </w:pBdr>
        <w:shd w:fill="FBF6E9" w:color="auto" w:val="clear"/>
        <w:spacing w:after="120"/>
        <w:ind w:left="240"/>
      </w:pPr>
      <w:r>
        <w:rPr>
          <w:i/>
          <w:iCs/>
          <w:color w:val="1C2333"/>
          <w:sz w:val="21"/>
          <w:szCs w:val="21"/>
        </w:rPr>
        <w:t xml:space="preserve">In the United States, FHIR adoption has been dramatically accelerated by the 21st Century Cures Act and ONC interoperability rules. FDA's requirements for CDISC SDTM/ADaM submission have been in force since 2017, and the agency's increasing use of DARWIN EU-equivalent real-world data analysis tools internally signals growing FDA engagement with OMOP-standardised data. The FDA's Clinical Trials Transformation Initiative (CTTI) is the primary forum where FDA and industry collaborate on clinical data standards. In the European Union, IDMP is the dominant standards initiative, with EMA requiring structured product data for all EU-regulated products. The EHDS regulation requires FHIR as the interoperability standard for the pan-European health data space. EMA's participation in the OHDSI network through DARWIN EU is creating a de facto standard for European real-world evidence studies. The convergence of FHIR, OMOP, and IDMP in the EU regulatory environment is creating the world's most coherent health data standards ecosystem.</w:t>
      </w:r>
    </w:p>
    <w:p>
      <w:pPr>
        <w:spacing w:after="120"/>
      </w:pPr>
      <w:r>
        <w:rPr>
          <w:i w:val="false"/>
          <w:iCs w:val="false"/>
          <w:color w:val="1C2333"/>
          <w:sz w:val="21"/>
          <w:szCs w:val="21"/>
        </w:rPr>
        <w:t xml:space="preserve">In India, the ABDM technical architecture is built on FHIR as the health data exchange standard — a deliberate policy choice by the National Health Authority that aligns India's health data infrastructure with the global standard. As ABDM adoption matures, India will have the world's largest FHIR-compliant health data ecosystem by patient count. Pharmaceutical companies investing in India-based real-world evidence capabilities should ensure their platforms are FHIR-compliant and can connect to ABDM-participating health systems.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22.1: Pharmaceutical Health Data Standards Ecosystem</w:t>
      </w:r>
    </w:p>
    <w:p>
      <w:r>
        <w:br w:type="page"/>
      </w:r>
    </w:p>
    <w:p>
      <w:pPr>
        <w:pStyle w:val="Heading1"/>
        <w:spacing w:after="120" w:before="240"/>
      </w:pPr>
      <w:r>
        <w:rPr>
          <w:b/>
          <w:bCs/>
          <w:color w:val="0D2B55"/>
        </w:rPr>
        <w:t xml:space="preserve">Chapter 23: Precision Medicine &amp; Genomics Digital Infrastructure</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Precision medicine — the tailoring of medical treatment to the individual characteristics of each patient, including their genetic profile, disease biology, lifestyle, and environmental context — is the defining paradigm shift in twenty-first century drug development. It is also the most data-intensive therapeutic paradigm ever attempted. A single whole-genome sequence generates 100–300 gigabytes of raw data. A clinical trial enrolling 500 genetically characterised patients with linked multi-omics profiles, longitudinal clinical records, and real-world outcome follow-up creates a dataset of incomprehensible richness and complexity. Managing, analysing, interpreting, and applying this data requires digital infrastructure that most pharmaceutical companies are still building. This chapter provides the architecture.</w:t>
      </w:r>
    </w:p>
    <w:p>
      <w:pPr>
        <w:pStyle w:val="Heading2"/>
        <w:spacing w:after="120" w:before="240"/>
      </w:pPr>
      <w:r>
        <w:rPr>
          <w:b/>
          <w:bCs/>
          <w:color w:val="0D2B55"/>
        </w:rPr>
        <w:t xml:space="preserve">23.1 The Precision Medicine Data Challenge</w:t>
      </w:r>
    </w:p>
    <w:p>
      <w:pPr>
        <w:spacing w:after="120"/>
      </w:pPr>
      <w:r>
        <w:rPr>
          <w:i w:val="false"/>
          <w:iCs w:val="false"/>
          <w:color w:val="1C2333"/>
          <w:sz w:val="21"/>
          <w:szCs w:val="21"/>
        </w:rPr>
        <w:t xml:space="preserve">The genomics revolution, powered by next-generation sequencing (NGS) technology that has reduced the cost of whole-genome sequencing by a factor of a million in 20 years, has created a fundamental asymmetry in pharmaceutical research: the ability to generate biological data has outpaced the ability to analyse, interpret, and apply it. The human genome contains 3.2 billion base pairs encoding approximately 20,000 protein-coding genes. A single patient's whole exome sequence — covering the 1–2% of the genome that codes for proteins — generates 10–20 gigabytes of raw data. Scale this to a clinical cohort of 100,000 patients, add transcriptomic data (gene expression), proteomic data (protein abundance), metabolomic data (metabolite profiles), and longitudinal clinical outcome data, and the resulting dataset is among the most complex in science.</w:t>
      </w:r>
    </w:p>
    <w:p>
      <w:pPr>
        <w:spacing w:after="120"/>
      </w:pPr>
      <w:r>
        <w:rPr>
          <w:i w:val="false"/>
          <w:iCs w:val="false"/>
          <w:color w:val="1C2333"/>
          <w:sz w:val="21"/>
          <w:szCs w:val="21"/>
        </w:rPr>
        <w:t xml:space="preserve">This data complexity creates several categories of digital infrastructure challenge. Storage and compute: genomic datasets require cloud-scale storage infrastructure and high-performance computing for initial processing (alignment to the reference genome, variant calling). Data governance: genomic data is among the most sensitive personal information that exists, because it reveals not just the patient's health status but that of their biological relatives. Analysis: genome-wide association studies (GWAS) testing the association of millions of genetic variants with clinical outcomes require specialised statistical methods and the ability to correct for population stratification and multiple testing. Integration: connecting genomic data with clinical phenotype data, treatment records, and outcome data requires linked data infrastructure and the ability to maintain linkage over years of longitudinal follow-up.</w:t>
      </w:r>
    </w:p>
    <w:p>
      <w:pPr>
        <w:pStyle w:val="Heading2"/>
        <w:spacing w:after="120" w:before="240"/>
      </w:pPr>
      <w:r>
        <w:rPr>
          <w:b/>
          <w:bCs/>
          <w:color w:val="0D2B55"/>
        </w:rPr>
        <w:t xml:space="preserve">23.2 Genome-Wide Association Studies and Pharmacogenomics</w:t>
      </w:r>
    </w:p>
    <w:p>
      <w:pPr>
        <w:spacing w:after="120"/>
      </w:pPr>
      <w:r>
        <w:rPr>
          <w:i w:val="false"/>
          <w:iCs w:val="false"/>
          <w:color w:val="1C2333"/>
          <w:sz w:val="21"/>
          <w:szCs w:val="21"/>
        </w:rPr>
        <w:t xml:space="preserve">Genome-wide association studies (GWAS) — studies that test the statistical association between millions of single nucleotide polymorphisms (SNPs) across the genome and a specific clinical outcome or disease — have been the dominant method for identifying genetic determinants of drug response and adverse drug reactions. GWAS have identified pharmacogenomic associations for hundreds of drug-outcome pairs, including the association of HLA-B*57:01 with abacavir hypersensitivity, the association of CYP2C19 variants with clopidogrel metabolism, and the association of VKORC1 and CYP2C9 variants with warfarin dose requirements.</w:t>
      </w:r>
    </w:p>
    <w:p>
      <w:pPr>
        <w:spacing w:after="120"/>
      </w:pPr>
      <w:r>
        <w:rPr>
          <w:i w:val="false"/>
          <w:iCs w:val="false"/>
          <w:color w:val="1C2333"/>
          <w:sz w:val="21"/>
          <w:szCs w:val="21"/>
        </w:rPr>
        <w:t xml:space="preserve">The digital infrastructure for GWAS has matured significantly. Cloud-based GWAS analysis platforms — including the NIH's STRIDES cloud computing environment, the UK Biobank Research Analysis Platform (RAP) on DNAnexus, and Terra (the Broad Institute's cloud genomics platform) — provide high-performance computing environments specifically designed for genomic analysis, with petabyte-scale storage, pre-installed bioinformatics tools, and secure data access frameworks that meet genomic data governance requirements.</w:t>
      </w:r>
    </w:p>
    <w:p>
      <w:pPr>
        <w:spacing w:after="120"/>
      </w:pPr>
      <w:r>
        <w:rPr>
          <w:i w:val="false"/>
          <w:iCs w:val="false"/>
          <w:color w:val="1C2333"/>
          <w:sz w:val="21"/>
          <w:szCs w:val="21"/>
        </w:rPr>
        <w:t xml:space="preserve">Pharmaceutical companies are increasingly conducting or commissioning their own large-scale GWAS programs, both to identify new drug targets and to understand the genetic basis of differential drug response in their clinical trial populations. AstraZeneca's Centre for Genomics Research (CGR) — which has sequenced over 2 million patient genomes — is the largest pharmaceutical genomics program in the world, and its genetic discoveries have directly informed AstraZeneca's target selection decisions in cardiovascular and metabolic disease. Regeneron's Geisinger collaboration — linking the genetic data of 280,000 consented patients in the DiscovEHR cohort with their longitudinal electronic health records — has been one of the most productive translational genomics programs in the industry.</w:t>
      </w:r>
    </w:p>
    <w:p>
      <w:pPr>
        <w:pStyle w:val="Heading2"/>
        <w:spacing w:after="120" w:before="240"/>
      </w:pPr>
      <w:r>
        <w:rPr>
          <w:b/>
          <w:bCs/>
          <w:color w:val="0D2B55"/>
        </w:rPr>
        <w:t xml:space="preserve">23.3 Multi-Omics Integration: From Single Layers to Systems Biology</w:t>
      </w:r>
    </w:p>
    <w:p>
      <w:pPr>
        <w:spacing w:after="120"/>
      </w:pPr>
      <w:r>
        <w:rPr>
          <w:i w:val="false"/>
          <w:iCs w:val="false"/>
          <w:color w:val="1C2333"/>
          <w:sz w:val="21"/>
          <w:szCs w:val="21"/>
        </w:rPr>
        <w:t xml:space="preserve">Genomics alone — the study of DNA sequences — provides only one layer of biological information about a patient. The integration of genomics with transcriptomics (RNA expression), proteomics (protein abundance), metabolomics (metabolite profiles), epigenomics (DNA methylation and histone modification patterns), and microbiomics (gut and tissue microbial community composition) — the multi-omics approach — provides a far richer picture of the molecular state of a patient's disease and the biological mechanisms that determine drug response.</w:t>
      </w:r>
    </w:p>
    <w:p>
      <w:pPr>
        <w:spacing w:after="120"/>
      </w:pPr>
      <w:r>
        <w:rPr>
          <w:i w:val="false"/>
          <w:iCs w:val="false"/>
          <w:color w:val="1C2333"/>
          <w:sz w:val="21"/>
          <w:szCs w:val="21"/>
        </w:rPr>
        <w:t xml:space="preserve">Multi-omics integration is one of the most computationally demanding challenges in biomedical data science. Each omics layer is measured on different scales, with different noise characteristics, different batch effects, and different technological biases. Integrating these layers into a coherent molecular portrait of a patient requires specialised bioinformatics pipelines, dimensionality reduction methods (MOFA, MCIA, DIABLO), and machine learning approaches that can extract biologically meaningful signals from extremely high-dimensional datasets.</w:t>
      </w:r>
    </w:p>
    <w:p>
      <w:pPr>
        <w:spacing w:after="120"/>
      </w:pPr>
      <w:r>
        <w:rPr>
          <w:i w:val="false"/>
          <w:iCs w:val="false"/>
          <w:color w:val="1C2333"/>
          <w:sz w:val="21"/>
          <w:szCs w:val="21"/>
        </w:rPr>
        <w:t xml:space="preserve">The leading pharmaceutical companies in multi-omics capability — Genentech, AstraZeneca, Novartis, and a cohort of AI-first biotechs including Recursion, Alector, and Insitro — have built dedicated multi-omics data platforms that integrate data from multiple assay types, maintain the provenance and quality metadata for each measurement, and expose the integrated data to analysis tools through programmatic APIs. These platforms are built on cloud infrastructure (AWS, Azure, or GCP), use open data formats (AnnData for single-cell data, VCF for variant data, HDF5 for large matrices), and leverage the Bioconductor and scverse ecosystems of open-source bioinformatics tools.</w:t>
      </w:r>
    </w:p>
    <w:p>
      <w:pPr>
        <w:pStyle w:val="Heading2"/>
        <w:spacing w:after="120" w:before="240"/>
      </w:pPr>
      <w:r>
        <w:rPr>
          <w:b/>
          <w:bCs/>
          <w:color w:val="0D2B55"/>
        </w:rPr>
        <w:t xml:space="preserve">23.4 Single-Cell Genomics and Spatial Transcriptomics</w:t>
      </w:r>
    </w:p>
    <w:p>
      <w:pPr>
        <w:spacing w:after="120"/>
      </w:pPr>
      <w:r>
        <w:rPr>
          <w:i w:val="false"/>
          <w:iCs w:val="false"/>
          <w:color w:val="1C2333"/>
          <w:sz w:val="21"/>
          <w:szCs w:val="21"/>
        </w:rPr>
        <w:t xml:space="preserve">The latest revolution in genomics is the ability to measure gene expression not at the level of bulk tissue samples — which average the signals from millions of cells — but at the level of individual cells. Single-cell RNA sequencing (scRNA-seq) and single-cell ATAC-seq generate transcriptome-wide or chromatin accessibility data for each of thousands or tens of thousands of individual cells in a sample, revealing the cellular heterogeneity that bulk methods obscure.</w:t>
      </w:r>
    </w:p>
    <w:p>
      <w:pPr>
        <w:spacing w:after="120"/>
      </w:pPr>
      <w:r>
        <w:rPr>
          <w:i w:val="false"/>
          <w:iCs w:val="false"/>
          <w:color w:val="1C2333"/>
          <w:sz w:val="21"/>
          <w:szCs w:val="21"/>
        </w:rPr>
        <w:t xml:space="preserve">For pharmaceutical research, single-cell genomics is transforming the understanding of disease biology and drug mechanism. In oncology, scRNA-seq reveals the cellular composition of tumours — the proportion of cancer cells, immune cells, stromal cells, and vascular cells — and the gene expression programs of each cell type. These cellular maps are identifying new targets for immunotherapy (cell types in the tumour microenvironment that suppress anti-tumour immune responses), new biomarkers of therapy response (specific immune cell populations that predict response to checkpoint inhibitors), and new mechanisms of therapy resistance (cancer cell subpopulations that are intrinsically resistant to targeted therapies).</w:t>
      </w:r>
    </w:p>
    <w:p>
      <w:pPr>
        <w:spacing w:after="120"/>
      </w:pPr>
      <w:r>
        <w:rPr>
          <w:i w:val="false"/>
          <w:iCs w:val="false"/>
          <w:color w:val="1C2333"/>
          <w:sz w:val="21"/>
          <w:szCs w:val="21"/>
        </w:rPr>
        <w:t xml:space="preserve">Spatial transcriptomics — which measures gene expression while preserving the spatial organisation of cells within a tissue — adds a further layer of biological information: not just which genes are expressed in which cells, but where those cells are located relative to each other and relative to tissue structures. The Visium platform (10x Genomics), the Merscope platform (Vizgen), and the Xenium platform (10x Genomics) are enabling pharmaceutical researchers to build three-dimensional molecular maps of diseased tissues that reveal the spatial organisation of disease biology at a resolution and richness that was inconceivable five years ago.</w:t>
      </w:r>
    </w:p>
    <w:p>
      <w:pPr>
        <w:spacing w:after="120"/>
      </w:pPr>
      <w:r>
        <w:rPr>
          <w:i w:val="false"/>
          <w:iCs w:val="false"/>
          <w:color w:val="1C2333"/>
          <w:sz w:val="21"/>
          <w:szCs w:val="21"/>
        </w:rPr>
        <w:t xml:space="preserve">The computational demands of single-cell and spatial transcriptomics data are extreme: a single scRNA-seq experiment generates data matrices with millions of cells and tens of thousands of genes, requiring cloud-scale compute for processing and specialised analysis tools (Seurat, Scanpy, STAR, Cell Ranger) for clustering, dimensionality reduction, trajectory inference, and cell type annotation.</w:t>
      </w:r>
    </w:p>
    <w:p>
      <w:pPr>
        <w:pStyle w:val="Heading2"/>
        <w:spacing w:after="120" w:before="240"/>
      </w:pPr>
      <w:r>
        <w:rPr>
          <w:b/>
          <w:bCs/>
          <w:color w:val="0D2B55"/>
        </w:rPr>
        <w:t xml:space="preserve">23.5 Companion Diagnostics and Biomarker Digital Infrastructure</w:t>
      </w:r>
    </w:p>
    <w:p>
      <w:pPr>
        <w:spacing w:after="120"/>
      </w:pPr>
      <w:r>
        <w:rPr>
          <w:i w:val="false"/>
          <w:iCs w:val="false"/>
          <w:color w:val="1C2333"/>
          <w:sz w:val="21"/>
          <w:szCs w:val="21"/>
        </w:rPr>
        <w:t xml:space="preserve">The development of precision medicines requires the co-development of diagnostic tests — companion diagnostics (CDx) — that identify the patient population most likely to benefit from the therapy. The digital infrastructure for companion diagnostic co-development spans from the initial biomarker discovery and qualification program through the regulatory submission of the CDx and its integration into clinical practice.</w:t>
      </w:r>
    </w:p>
    <w:p>
      <w:pPr>
        <w:spacing w:after="120"/>
      </w:pPr>
      <w:r>
        <w:rPr>
          <w:i w:val="false"/>
          <w:iCs w:val="false"/>
          <w:color w:val="1C2333"/>
          <w:sz w:val="21"/>
          <w:szCs w:val="21"/>
        </w:rPr>
        <w:t xml:space="preserve">Biomarker data management. A precision medicine clinical program generates biomarker data from multiple sources — tumour sequencing (Foundation Medicine, FOUNDATION ONE CDx), circulating tumour DNA (ctDNA) analysis, protein expression by immunohistochemistry, and functional cell-based assays — that must be integrated with clinical trial data for the biomarker analysis that informs the companion diagnostic label. The data management challenge is significant: different biomarker assays generate data in different formats (VCF files for sequencing, image files for IHC, quantitative values for ctDNA), from different vendors with different data models, requiring custom integration pipelines for each program.</w:t>
      </w:r>
    </w:p>
    <w:p>
      <w:pPr>
        <w:spacing w:after="120"/>
      </w:pPr>
      <w:r>
        <w:rPr>
          <w:i w:val="false"/>
          <w:iCs w:val="false"/>
          <w:color w:val="1C2333"/>
          <w:sz w:val="21"/>
          <w:szCs w:val="21"/>
        </w:rPr>
        <w:t xml:space="preserve">Biomarker-stratified trial design. The design of biomarker-stratified clinical trials — where patients are selected for trial enrolment or randomised to different treatment arms based on their biomarker status — requires electronic systems that can receive biomarker results from diagnostic laboratories and use them in the trial's randomisation algorithm in real time. The integration between the diagnostic laboratory, the interactive response technology (IRT) system that manages randomisation, and the EDC that captures the biomarker data in the trial record must be seamless, validated, and capable of operating in real time.</w:t>
      </w:r>
    </w:p>
    <w:p>
      <w:pPr>
        <w:spacing w:after="120"/>
      </w:pPr>
      <w:r>
        <w:rPr>
          <w:i w:val="false"/>
          <w:iCs w:val="false"/>
          <w:color w:val="1C2333"/>
          <w:sz w:val="21"/>
          <w:szCs w:val="21"/>
        </w:rPr>
        <w:t xml:space="preserve">Digital pathology and AI. The application of AI to digital pathology — the automated analysis of digitised tissue slide images — is transforming companion diagnostic development. Deep learning models trained on thousands of annotated pathology images can identify microscopic tissue features that correlate with biomarker status and clinical outcomes, enabling the development of AI-based companion diagnostics that are more reproducible than expert pathologist scoring and can be applied globally without the geographic constraints of expert pathologist availability. FDA has approved several AI-based pathology tools, and companies including PathAI, Paige.AI, and AstraZeneca's internal digital pathology team are building AI companion diagnostic programs across oncology, inflammatory disease, and neurodegeneration.</w:t>
      </w:r>
    </w:p>
    <w:p>
      <w:pPr>
        <w:pStyle w:val="Heading2"/>
        <w:spacing w:after="120" w:before="240"/>
      </w:pPr>
      <w:r>
        <w:rPr>
          <w:b/>
          <w:bCs/>
          <w:color w:val="0D2B55"/>
        </w:rPr>
        <w:t xml:space="preserve">23.6 Population Biobanks: The Treasure Troves of Precision Medicine</w:t>
      </w:r>
    </w:p>
    <w:p>
      <w:pPr>
        <w:spacing w:after="120"/>
      </w:pPr>
      <w:r>
        <w:rPr>
          <w:i w:val="false"/>
          <w:iCs w:val="false"/>
          <w:color w:val="1C2333"/>
          <w:sz w:val="21"/>
          <w:szCs w:val="21"/>
        </w:rPr>
        <w:t xml:space="preserve">Population-scale biobanks — collections of biological samples (blood, DNA, tissue) from large numbers of participants, linked to their medical records and followed over time — are among the most valuable scientific resources for pharmaceutical research. The UK Biobank (500,000 participants, now with whole exome sequencing for all participants), the US All of Us Research Program (targeting 1 million participants with whole genome sequencing), Finland's FinnGen project (500,000 participants with Finland's exceptionally complete national health records), and the China Kadoorie Biobank (500,000 participants from diverse Chinese populations) collectively represent a global genomic research infrastructure of extraordinary power.</w:t>
      </w:r>
    </w:p>
    <w:p>
      <w:pPr>
        <w:spacing w:after="120"/>
      </w:pPr>
      <w:r>
        <w:rPr>
          <w:i w:val="false"/>
          <w:iCs w:val="false"/>
          <w:color w:val="1C2333"/>
          <w:sz w:val="21"/>
          <w:szCs w:val="21"/>
        </w:rPr>
        <w:t xml:space="preserve">Access to biobank data for pharmaceutical research requires formal data access agreements, institutional review board approval, and compliance with the specific governance requirements of each biobank. The UK Biobank's Research Access Platform, hosted on DNAnexus, provides cloud-based computational access to the full UK Biobank dataset without the need to download raw data — allowing researchers to run analyses in the secure cloud environment and export only aggregate results. This model — where the data does not move, but the analysis comes to the data — is the template for privacy-preserving biobank research access globally.</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organisation have the computational infrastructure — cloud-scale storage and high-performance computing — to manage the genomic and multi-omics datasets generated by its precision medicine programs? How does the organisation access population biobank data for pharmacogenomic discovery, and what data access partnerships are in place? Is the organisation's precision medicine data infrastructure — linking genomic data to clinical outcomes across trials and real-world settings — a source of genuine competitive advantage, or is it a capability gap relative to leaders like AstraZeneca, Roche/Genentech, and the leading AI-first biotechs? What is the governance framework for the genetic data that the organisation holds, and does it meet the privacy and security standards that participants, regulators, and institutional review boards require?</w:t>
      </w:r>
    </w:p>
    <w:p>
      <w:pPr>
        <w:pBdr>
          <w:left w:val="single" w:color="C9A84C" w:sz="18" w:space="8"/>
        </w:pBdr>
        <w:shd w:fill="FBF6E9" w:color="auto" w:val="clear"/>
        <w:spacing w:after="120"/>
        <w:ind w:left="240"/>
      </w:pPr>
      <w:r>
        <w:rPr>
          <w:i/>
          <w:iCs/>
          <w:color w:val="1C2333"/>
          <w:sz w:val="21"/>
          <w:szCs w:val="21"/>
        </w:rPr>
        <w:t xml:space="preserve">🌍 REGIONAL SPOTLIGHT: PRECISION MEDICINE BY GEOGRAPHY</w:t>
      </w:r>
    </w:p>
    <w:p>
      <w:pPr>
        <w:pBdr>
          <w:left w:val="single" w:color="C9A84C" w:sz="18" w:space="8"/>
        </w:pBdr>
        <w:shd w:fill="FBF6E9" w:color="auto" w:val="clear"/>
        <w:spacing w:after="120"/>
        <w:ind w:left="240"/>
      </w:pPr>
      <w:r>
        <w:rPr>
          <w:i/>
          <w:iCs/>
          <w:color w:val="1C2333"/>
          <w:sz w:val="21"/>
          <w:szCs w:val="21"/>
        </w:rPr>
        <w:t xml:space="preserve">In the United States, the All of Us Research Program — funded by the NIH with $1.4 billion in initial investment — is building the world's most diverse precision medicine research cohort, with a specific mandate to include populations historically underrepresented in biomedical research. All of Us data will be available to qualified researchers through a controlled access program, creating a foundation for US pharmaceutical research that is more representative of the actual diversity of American patients than the predominantly European-ancestry biobank data that has historically dominated pharmacogenomics. In the European Union, the 1+ Million Genomes initiative — a voluntary commitment by 24 EU member states to make at least 1 million genomes accessible for research by 2022 — is creating a federated European genomic research infrastructure. The B1MG (Beyond 1 Million Genomes) project is developing the technical and governance standards for cross-border genomic data access. The European Genome-phenome Archive (EGA) at EMBL-EBI provides secure archiving and access for sensitive human genetic data from European research programs.</w:t>
      </w:r>
    </w:p>
    <w:p>
      <w:pPr>
        <w:spacing w:after="120"/>
      </w:pPr>
      <w:r>
        <w:rPr>
          <w:i w:val="false"/>
          <w:iCs w:val="false"/>
          <w:color w:val="1C2333"/>
          <w:sz w:val="21"/>
          <w:szCs w:val="21"/>
        </w:rPr>
        <w:t xml:space="preserve">In India, the Genome India Project — launched in 2020 with a mandate to sequence 10,000 Indian genomes representing the country's extraordinary genetic diversity — is building the first comprehensive reference database of Indian genetic variation. India's population carries genetic variants unique to specific ethnic groups and geographic regions, some of which are associated with differential drug metabolism and disease susceptibility. The Genome India reference database will be an important resource for pharmaceutical companies developing drugs for Indian patient populations and for understanding how precision medicine approaches developed in European populations translate to Indian patients.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23.1: Precision Medicine Data &amp; Analytics Stack</w:t>
      </w:r>
    </w:p>
    <w:p>
      <w:r>
        <w:br w:type="page"/>
      </w:r>
    </w:p>
    <w:p>
      <w:pPr>
        <w:pStyle w:val="Heading1"/>
        <w:spacing w:after="120" w:before="240"/>
      </w:pPr>
      <w:r>
        <w:rPr>
          <w:b/>
          <w:bCs/>
          <w:color w:val="0D2B55"/>
        </w:rPr>
        <w:t xml:space="preserve">Chapter 24: Digital Twins — From Manufacturing to Clinical and Commercial</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digital twin — a virtual representation of a physical or biological system that is continuously updated with real-time data and used for simulation, prediction, and optimisation — is one of the most powerful and most versatile technologies in the pharmaceutical digital transformation toolkit. Its application in manufacturing, described in Chapter 6, is the most mature and well-documented. But the digital twin concept is expanding rapidly across the pharmaceutical value chain: into clinical trial design and patient simulation, into commercial territory modelling and market access forecasting, into supply chain network optimisation, and into the frontier of computational physiology that may eventually allow clinical trial simulation in silico. This chapter provides a unified treatment of the digital twin across all its pharmaceutical applications.</w:t>
      </w:r>
    </w:p>
    <w:p>
      <w:pPr>
        <w:pStyle w:val="Heading2"/>
        <w:spacing w:after="120" w:before="240"/>
      </w:pPr>
      <w:r>
        <w:rPr>
          <w:b/>
          <w:bCs/>
          <w:color w:val="0D2B55"/>
        </w:rPr>
        <w:t xml:space="preserve">24.1 The Digital Twin Taxonomy in Pharma</w:t>
      </w:r>
    </w:p>
    <w:p>
      <w:pPr>
        <w:spacing w:after="120"/>
      </w:pPr>
      <w:r>
        <w:rPr>
          <w:i w:val="false"/>
          <w:iCs w:val="false"/>
          <w:color w:val="1C2333"/>
          <w:sz w:val="21"/>
          <w:szCs w:val="21"/>
        </w:rPr>
        <w:t xml:space="preserve">The term "digital twin" is used loosely across the pharmaceutical industry to describe a wide range of simulation and modelling capabilities, from simple Excel-based scenario models to sophisticated physics-based computational simulations running on supercomputers. Before building a digital twin strategy, it is useful to distinguish the primary categories of pharmaceutical digital twin by the system being modelled and the purpose of the model.</w:t>
      </w:r>
    </w:p>
    <w:p>
      <w:pPr>
        <w:spacing w:after="120"/>
      </w:pPr>
      <w:r>
        <w:rPr>
          <w:i w:val="false"/>
          <w:iCs w:val="false"/>
          <w:color w:val="1C2333"/>
          <w:sz w:val="21"/>
          <w:szCs w:val="21"/>
        </w:rPr>
        <w:t xml:space="preserve">Process twins model manufacturing processes — bioreactors, chemical synthesis reactors, chromatography columns, fill-finish lines — with sufficient fidelity to predict the output quality and yield from any given set of input conditions and process parameters. Process twins are the most mature category of pharmaceutical digital twin, underpinned by decades of chemical and biological engineering modelling theory. The FDA's support for continuous manufacturing and real-time release testing has created regulatory pull for process twin development. Leading implementations include Merck KGaA's bioreactor scale-up twins, Eli Lilly's continuous manufacturing process models, and Pfizer's LNP formulation simulation tools for mRNA product development.</w:t>
      </w:r>
    </w:p>
    <w:p>
      <w:pPr>
        <w:spacing w:after="120"/>
      </w:pPr>
      <w:r>
        <w:rPr>
          <w:i w:val="false"/>
          <w:iCs w:val="false"/>
          <w:color w:val="1C2333"/>
          <w:sz w:val="21"/>
          <w:szCs w:val="21"/>
        </w:rPr>
        <w:t xml:space="preserve">Equipment twins model individual pieces of manufacturing equipment — bioreactors, centrifuges, lyophilisers, tablet presses — with sufficient fidelity to predict maintenance requirements, failure probabilities, and performance degradation over time. Equipment twins are the foundation of predictive maintenance programs: by continuously comparing the actual sensor readings from an equipment unit against the expected performance predicted by its twin, deviations that indicate incipient failure can be detected weeks before they manifest as equipment breakdown.</w:t>
      </w:r>
    </w:p>
    <w:p>
      <w:pPr>
        <w:spacing w:after="120"/>
      </w:pPr>
      <w:r>
        <w:rPr>
          <w:i w:val="false"/>
          <w:iCs w:val="false"/>
          <w:color w:val="1C2333"/>
          <w:sz w:val="21"/>
          <w:szCs w:val="21"/>
        </w:rPr>
        <w:t xml:space="preserve">Supply chain twins model the entire pharmaceutical supply network — from raw material suppliers through manufacturing, distribution, and dispensing to the patient — as a network of interconnected nodes with defined capacity, transit times, and quality requirements. Supply chain twins can simulate the impact of a disruption at any node in the network (a manufacturing site shutdown, a supplier quality failure, a logistics delay) and identify the optimal response strategy in near-real-time, giving supply chain planners a simulation environment for scenario testing that reduces the dependency on static Excel-based contingency planning.</w:t>
      </w:r>
    </w:p>
    <w:p>
      <w:pPr>
        <w:spacing w:after="120"/>
      </w:pPr>
      <w:r>
        <w:rPr>
          <w:i w:val="false"/>
          <w:iCs w:val="false"/>
          <w:color w:val="1C2333"/>
          <w:sz w:val="21"/>
          <w:szCs w:val="21"/>
        </w:rPr>
        <w:t xml:space="preserve">Clinical patient twins — the most ambitious and least mature category — model individual patient physiology with sufficient fidelity to predict how a specific patient will respond to a specific treatment. The foundational science for clinical patient twins comes from physiologically based pharmacokinetic (PBPK) modelling, which predicts drug concentration-time profiles in different body compartments based on patient-specific physiological parameters (body weight, organ volumes, blood flow rates, enzyme activity levels). PBPK models have been in regulatory use for decades — FDA and EMA both accept PBPK modelling for dose justification in specific patient populations — and their extension to full-scale patient physiological simulation is the long-term vision of computational medicine.</w:t>
      </w:r>
    </w:p>
    <w:p>
      <w:pPr>
        <w:pStyle w:val="Heading2"/>
        <w:spacing w:after="120" w:before="240"/>
      </w:pPr>
      <w:r>
        <w:rPr>
          <w:b/>
          <w:bCs/>
          <w:color w:val="0D2B55"/>
        </w:rPr>
        <w:t xml:space="preserve">24.2 Manufacturing Digital Twins: Implementation Deep Dive</w:t>
      </w:r>
    </w:p>
    <w:p>
      <w:pPr>
        <w:spacing w:after="120"/>
      </w:pPr>
      <w:r>
        <w:rPr>
          <w:i w:val="false"/>
          <w:iCs w:val="false"/>
          <w:color w:val="1C2333"/>
          <w:sz w:val="21"/>
          <w:szCs w:val="21"/>
        </w:rPr>
        <w:t xml:space="preserve">The manufacturing digital twin implementation is a multi-year journey that begins with data infrastructure and ends with autonomous process optimisation. Understanding the implementation maturity curve helps organisations set realistic expectations and investment horizons.</w:t>
      </w:r>
    </w:p>
    <w:p>
      <w:pPr>
        <w:spacing w:after="120"/>
      </w:pPr>
      <w:r>
        <w:rPr>
          <w:i w:val="false"/>
          <w:iCs w:val="false"/>
          <w:color w:val="1C2333"/>
          <w:sz w:val="21"/>
          <w:szCs w:val="21"/>
        </w:rPr>
        <w:t xml:space="preserve">Stage 1: Data collection and process monitoring. The foundation of any manufacturing digital twin is comprehensive, real-time sensor data from the physical process. Implementing the sensor network — inline process analytical technology sensors, equipment IoT devices, environmental monitoring sensors — and connecting them to a process data historian (OSIsoft PI System, GE Proficy, AspenTech) is the essential first step. At this stage, the organisation can monitor the process in real time but cannot yet simulate or predict.</w:t>
      </w:r>
    </w:p>
    <w:p>
      <w:pPr>
        <w:spacing w:after="120"/>
      </w:pPr>
      <w:r>
        <w:rPr>
          <w:i w:val="false"/>
          <w:iCs w:val="false"/>
          <w:color w:val="1C2333"/>
          <w:sz w:val="21"/>
          <w:szCs w:val="21"/>
        </w:rPr>
        <w:t xml:space="preserve">Stage 2: Process modelling and historical learning. With a data foundation in place, the process modelling work begins. Mechanistic models — built from first principles of mass transfer, heat transfer, reaction kinetics, and biological growth — provide the physics-based framework that constrains the model to physically plausible process behaviours. Machine learning models — trained on the historical process data captured in the historian — fill in the gaps where mechanistic understanding is incomplete, predicting the outcomes of process conditions that have not been explicitly modelled. The combination of mechanistic and data-driven models in a hybrid model is the current best practice for pharmaceutical process twin development.</w:t>
      </w:r>
    </w:p>
    <w:p>
      <w:pPr>
        <w:spacing w:after="120"/>
      </w:pPr>
      <w:r>
        <w:rPr>
          <w:i w:val="false"/>
          <w:iCs w:val="false"/>
          <w:color w:val="1C2333"/>
          <w:sz w:val="21"/>
          <w:szCs w:val="21"/>
        </w:rPr>
        <w:t xml:space="preserve">Stage 3: Simulation and what-if analysis. Once a validated process model is in place, it can be used for simulation — exploring what would happen to process outputs if input conditions changed, process parameters were adjusted, or equipment performance degraded. This simulation capability transforms the twin from a monitoring tool into a decision support tool: operators can use the twin to test potential process changes before implementing them on the physical process, identifying the optimal response to a raw material variability event or a process excursion without the cost and risk of physical experimentation.</w:t>
      </w:r>
    </w:p>
    <w:p>
      <w:pPr>
        <w:spacing w:after="120"/>
      </w:pPr>
      <w:r>
        <w:rPr>
          <w:i w:val="false"/>
          <w:iCs w:val="false"/>
          <w:color w:val="1C2333"/>
          <w:sz w:val="21"/>
          <w:szCs w:val="21"/>
        </w:rPr>
        <w:t xml:space="preserve">Stage 4: Predictive control and closed-loop optimisation. The most advanced manufacturing digital twin implementation integrates the process simulation model with the process control system, enabling model predictive control (MPC) — where the twin is used to predict the future trajectory of the process and automatically adjust control parameters to maintain the process within the design space. MPC implementations for pharmaceutical bioprocesses have demonstrated consistent improvements in yield and quality consistency compared to conventional rule-based control strategies.</w:t>
      </w:r>
    </w:p>
    <w:p>
      <w:pPr>
        <w:pStyle w:val="Heading2"/>
        <w:spacing w:after="120" w:before="240"/>
      </w:pPr>
      <w:r>
        <w:rPr>
          <w:b/>
          <w:bCs/>
          <w:color w:val="0D2B55"/>
        </w:rPr>
        <w:t xml:space="preserve">24.3 Clinical Trial Digital Twins: Simulation Before Execution</w:t>
      </w:r>
    </w:p>
    <w:p>
      <w:pPr>
        <w:spacing w:after="120"/>
      </w:pPr>
      <w:r>
        <w:rPr>
          <w:i w:val="false"/>
          <w:iCs w:val="false"/>
          <w:color w:val="1C2333"/>
          <w:sz w:val="21"/>
          <w:szCs w:val="21"/>
        </w:rPr>
        <w:t xml:space="preserve">The application of digital twin concepts to clinical trial design — using simulation to predict the performance of a trial design before committing to execution — is an emerging capability that has significant potential to reduce the cost and time of clinical development.</w:t>
      </w:r>
    </w:p>
    <w:p>
      <w:pPr>
        <w:spacing w:after="120"/>
      </w:pPr>
      <w:r>
        <w:rPr>
          <w:i w:val="false"/>
          <w:iCs w:val="false"/>
          <w:color w:val="1C2333"/>
          <w:sz w:val="21"/>
          <w:szCs w:val="21"/>
        </w:rPr>
        <w:t xml:space="preserve">In silico trial simulation. Before a Phase III trial is initiated, a validated simulation model of the trial — built from the epidemiology of the target patient population, the historical distribution of treatment outcomes from Phase II data, the assumed natural history of the disease, and the statistical model for the primary endpoint — can be run thousands of times under different design assumptions to predict the probability of trial success, the statistical power under different sample size assumptions, and the impact of specific protocol modifications (endpoint changes, eligibility criterion adjustments, interim analysis rules) on trial outcomes. This simulation capability allows trial design teams to explore design space efficiently before committing to a specific protocol — reducing the risk of trial failure due to design choices that could have been identified as suboptimal through simulation.</w:t>
      </w:r>
    </w:p>
    <w:p>
      <w:pPr>
        <w:spacing w:after="120"/>
      </w:pPr>
      <w:r>
        <w:rPr>
          <w:i w:val="false"/>
          <w:iCs w:val="false"/>
          <w:color w:val="1C2333"/>
          <w:sz w:val="21"/>
          <w:szCs w:val="21"/>
        </w:rPr>
        <w:t xml:space="preserve">Virtual patient cohorts. Mechanistic pharmacokinetic/pharmacodynamic (PK/PD) models of drug behaviour and disease response can be used to generate virtual patient populations — in silico representations of the patient population that will be enrolled in a trial, with virtual patient parameters sampled from statistical distributions derived from real patient data. These virtual patient cohorts can be used to predict the distribution of drug exposure and pharmacodynamic response across the trial population before any patient is enrolled, identifying the likely responder and non-responder sub-populations and informing the biomarker strategy for the trial.</w:t>
      </w:r>
    </w:p>
    <w:p>
      <w:pPr>
        <w:spacing w:after="120"/>
      </w:pPr>
      <w:r>
        <w:rPr>
          <w:i w:val="false"/>
          <w:iCs w:val="false"/>
          <w:color w:val="1C2333"/>
          <w:sz w:val="21"/>
          <w:szCs w:val="21"/>
        </w:rPr>
        <w:t xml:space="preserve">The FDA has engaged constructively with in silico trial simulation approaches. The FDA's Center for Drug Evaluation and Research (CDER) has accepted PBPK model outputs as supporting evidence for dose recommendations in special populations (paediatrics, renal impairment, hepatic impairment) — reducing the number of dedicated clinical studies required and enabling appropriate dosing guidance to be available at the time of initial approval.</w:t>
      </w:r>
    </w:p>
    <w:p>
      <w:pPr>
        <w:pStyle w:val="Heading2"/>
        <w:spacing w:after="120" w:before="240"/>
      </w:pPr>
      <w:r>
        <w:rPr>
          <w:b/>
          <w:bCs/>
          <w:color w:val="0D2B55"/>
        </w:rPr>
        <w:t xml:space="preserve">24.4 Commercial Digital Twins: Territory and Market Modelling</w:t>
      </w:r>
    </w:p>
    <w:p>
      <w:pPr>
        <w:spacing w:after="120"/>
      </w:pPr>
      <w:r>
        <w:rPr>
          <w:i w:val="false"/>
          <w:iCs w:val="false"/>
          <w:color w:val="1C2333"/>
          <w:sz w:val="21"/>
          <w:szCs w:val="21"/>
        </w:rPr>
        <w:t xml:space="preserve">The digital twin concept extends into commercial operations in the form of territory optimisation models, market access simulation platforms, and launch forecasting tools that allow commercial teams to explore strategic choices through simulation before committing resources to execution.</w:t>
      </w:r>
    </w:p>
    <w:p>
      <w:pPr>
        <w:spacing w:after="120"/>
      </w:pPr>
      <w:r>
        <w:rPr>
          <w:i w:val="false"/>
          <w:iCs w:val="false"/>
          <w:color w:val="1C2333"/>
          <w:sz w:val="21"/>
          <w:szCs w:val="21"/>
        </w:rPr>
        <w:t xml:space="preserve">Field force territory twin. A commercial territory digital twin models the pharmaceutical market in each geographic territory — the distribution of prescribers by specialty and prescribing volume, the formulary restrictions by payer, the competitive landscape by product, and the historical relationship between promotional activity and prescribing outcomes — and uses this model to optimise territory design, field force call planning, and promotional resource allocation. Running the territory model under different configuration assumptions (different field force sizes, different call frequency targets, different channel mixes) allows commercial leadership to evaluate the ROI of different commercial investment strategies before deployment.</w:t>
      </w:r>
    </w:p>
    <w:p>
      <w:pPr>
        <w:spacing w:after="120"/>
      </w:pPr>
      <w:r>
        <w:rPr>
          <w:i w:val="false"/>
          <w:iCs w:val="false"/>
          <w:color w:val="1C2333"/>
          <w:sz w:val="21"/>
          <w:szCs w:val="21"/>
        </w:rPr>
        <w:t xml:space="preserve">Market access scenario modelling. Pharmaceutical market access — securing formulary placement and favourable reimbursement conditions for a new product — is one of the highest-stakes commercial decision processes, with outcomes that determine whether a product can be commercially successful in a given market. Market access scenario models simulate the likely outcomes of different negotiating strategies with payers, the impact of different value dossier designs on HTA outcomes, and the commercial consequences of different formulary tiers or access restrictions. These models integrate epidemiological data (patient population size and growth), clinical data (efficacy and safety versus comparators), economic data (healthcare costs avoided), and payer-specific policy information to generate probabilistic forecasts of access outcomes.</w:t>
      </w:r>
    </w:p>
    <w:p>
      <w:pPr>
        <w:spacing w:after="120"/>
      </w:pPr>
      <w:r>
        <w:rPr>
          <w:i w:val="false"/>
          <w:iCs w:val="false"/>
          <w:color w:val="1C2333"/>
          <w:sz w:val="21"/>
          <w:szCs w:val="21"/>
        </w:rPr>
        <w:t xml:space="preserve">Launch digital twin. Product launch is one of the highest-risk periods in the commercial lifecycle — the window between regulatory approval and peak commercial performance, where the decisions made in the first 12–18 months have disproportionate impact on the long-term revenue trajectory. A launch digital twin models the key drivers of launch success (formulary access timeline, field force deployment, speaker program reach, patient identification rate, prescriber conversion) and simulates the revenue trajectory under different scenarios, allowing the launch team to identify the highest-leverage interventions and to plan contingency responses to adverse scenarios (a competitor price reduction, a formulary restriction, slower-than-expected physician uptake) before they occur.</w:t>
      </w:r>
    </w:p>
    <w:p>
      <w:pPr>
        <w:pStyle w:val="Heading2"/>
        <w:spacing w:after="120" w:before="240"/>
      </w:pPr>
      <w:r>
        <w:rPr>
          <w:b/>
          <w:bCs/>
          <w:color w:val="0D2B55"/>
        </w:rPr>
        <w:t xml:space="preserve">24.5 Integrated Enterprise Digital Twin: The Long-Term Vision</w:t>
      </w:r>
    </w:p>
    <w:p>
      <w:pPr>
        <w:spacing w:after="120"/>
      </w:pPr>
      <w:r>
        <w:rPr>
          <w:i w:val="false"/>
          <w:iCs w:val="false"/>
          <w:color w:val="1C2333"/>
          <w:sz w:val="21"/>
          <w:szCs w:val="21"/>
        </w:rPr>
        <w:t xml:space="preserve">The long-term vision of pharmaceutical digital twins is an integrated enterprise model — a connected simulation of the entire pharmaceutical value chain from molecule to patient, in which the outputs of each stage feed into the models of subsequent stages. A molecule's predicted ADMET properties (from the discovery digital twin) feed into the clinical development simulation (predicting likely efficacy and safety in the patient population). The predicted clinical outcomes feed into the commercial simulation (predicting market access outcomes and revenue trajectory). The commercial forecast feeds into the manufacturing planning model (determining production capacity requirements and supply chain configuration).</w:t>
      </w:r>
    </w:p>
    <w:p>
      <w:pPr>
        <w:spacing w:after="120"/>
      </w:pPr>
      <w:r>
        <w:rPr>
          <w:i w:val="false"/>
          <w:iCs w:val="false"/>
          <w:color w:val="1C2333"/>
          <w:sz w:val="21"/>
          <w:szCs w:val="21"/>
        </w:rPr>
        <w:t xml:space="preserve">This integrated enterprise digital twin does not yet exist in any pharmaceutical company in fully realised form — but components of it are being assembled. The companies that have invested most systematically in process twins (Eli Lilly, AstraZeneca), clinical simulation (Novartis, Pfizer), and commercial modelling (Novo Nordisk) are the closest to having the components that could be integrated. The integration challenge — connecting models built by different teams, with different data models, different validation standards, and different update frequencies — is formidable but not insurmountable.</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organisation have a roadmap for digital twin development across its manufacturing network — and what proportion of commercial manufacturing facilities currently have validated process twins in operation? Has the organisation evaluated the use of in silico clinical trial simulation for its late-stage development programs, and engaged with the FDA and EMA on the evidentiary status of such simulations? Is the commercial team using territory and market access simulation models, and if so, how do the outcomes of these simulations compare to actual market performance? What would a fully integrated enterprise digital twin — connecting discovery, clinical, manufacturing, and commercial models — be worth to the organisation in terms of decision speed and quality improvement?</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24.1: Digital Twin Taxonomy Across the Pharma Value Chain</w:t>
      </w:r>
    </w:p>
    <w:p>
      <w:r>
        <w:br w:type="page"/>
      </w:r>
    </w:p>
    <w:p>
      <w:pPr>
        <w:pStyle w:val="Heading1"/>
        <w:spacing w:after="120" w:before="240"/>
      </w:pPr>
      <w:r>
        <w:rPr>
          <w:b/>
          <w:bCs/>
          <w:color w:val="0D2B55"/>
        </w:rPr>
        <w:t xml:space="preserve">Chapter 25: Digital Transformation in Emerging Markets — India, China, Brazil &amp; Africa</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The geography of pharmaceutical markets is shifting. Emerging markets — led by China, India, Brazil, and the rapidly growing pharmaceutical markets of Southeast Asia and Sub-Saharan Africa — represent the fastest-growing segment of global pharmaceutical spending and will account for an increasing proportion of the industry's revenue and patient population over the next decade. These markets have distinct digital health ecosystems, distinct regulatory environments, distinct disease profiles, and distinct infrastructure constraints that require pharmaceutical digital transformation strategies adapted to local context rather than simple transplantation of Western approaches. This chapter examines the digital transformation landscape in each major emerging market — what is distinctive about each context, what opportunities it presents, and what adaptations are required for pharmaceutical digital strategy to succeed.</w:t>
      </w:r>
    </w:p>
    <w:p>
      <w:pPr>
        <w:pStyle w:val="Heading2"/>
        <w:spacing w:after="120" w:before="240"/>
      </w:pPr>
      <w:r>
        <w:rPr>
          <w:b/>
          <w:bCs/>
          <w:color w:val="0D2B55"/>
        </w:rPr>
        <w:t xml:space="preserve">25.1 Why Emerging Markets Require Distinct Digital Strategies</w:t>
      </w:r>
    </w:p>
    <w:p>
      <w:pPr>
        <w:spacing w:after="120"/>
      </w:pPr>
      <w:r>
        <w:rPr>
          <w:i w:val="false"/>
          <w:iCs w:val="false"/>
          <w:color w:val="1C2333"/>
          <w:sz w:val="21"/>
          <w:szCs w:val="21"/>
        </w:rPr>
        <w:t xml:space="preserve">Pharmaceutical companies that approach emerging market digital transformation as a lower-cost version of their Western digital programs consistently underperform. The reasons are fundamental. Disease epidemiology is different: the largest unmet medical needs in India are in infectious disease, tuberculosis, diabetes, and cardiovascular disease; in China they include oncology and metabolic disease; in Sub-Saharan Africa they include malaria, HIV, and maternal health. Healthcare delivery infrastructure is different: in many emerging markets, the primary point of care is not a hospital or clinic with an electronic health record system but a community health worker with a mobile phone. Regulatory frameworks are different: CDSCO in India, NMPA in China, ANVISA in Brazil, and NAFDAC in Nigeria each has distinct submission formats, clinical evidence requirements, and post-approval monitoring obligations. And patient and physician digital engagement channels are different: WhatsApp, WeChat, and local social platforms are more important than LinkedIn or Twitter for HCP engagement in many emerging markets.</w:t>
      </w:r>
    </w:p>
    <w:p>
      <w:pPr>
        <w:spacing w:after="120"/>
      </w:pPr>
      <w:r>
        <w:rPr>
          <w:i w:val="false"/>
          <w:iCs w:val="false"/>
          <w:color w:val="1C2333"/>
          <w:sz w:val="21"/>
          <w:szCs w:val="21"/>
        </w:rPr>
        <w:t xml:space="preserve">The starting point for an emerging market digital strategy must be a genuine understanding of the local context — the disease burden, the healthcare system architecture, the regulatory framework, the digital infrastructure (smartphone penetration, internet connectivity, digital payment systems), and the specific competitive dynamics — before any technology investment decisions are made.</w:t>
      </w:r>
    </w:p>
    <w:p>
      <w:pPr>
        <w:pStyle w:val="Heading2"/>
        <w:spacing w:after="120" w:before="240"/>
      </w:pPr>
      <w:r>
        <w:rPr>
          <w:b/>
          <w:bCs/>
          <w:color w:val="0D2B55"/>
        </w:rPr>
        <w:t xml:space="preserve">25.2 India: The Digital Health Transformation Leader</w:t>
      </w:r>
    </w:p>
    <w:p>
      <w:pPr>
        <w:spacing w:after="120"/>
      </w:pPr>
      <w:r>
        <w:rPr>
          <w:i w:val="false"/>
          <w:iCs w:val="false"/>
          <w:color w:val="1C2333"/>
          <w:sz w:val="21"/>
          <w:szCs w:val="21"/>
        </w:rPr>
        <w:t xml:space="preserve">India's digital health transformation has been examined extensively in Chapters 10, 16, and 22. Here the focus is on the commercial and market-facing dimensions of pharmaceutical digital transformation in India's domestic market.</w:t>
      </w:r>
    </w:p>
    <w:p>
      <w:pPr>
        <w:spacing w:after="120"/>
      </w:pPr>
      <w:r>
        <w:rPr>
          <w:i w:val="false"/>
          <w:iCs w:val="false"/>
          <w:color w:val="1C2333"/>
          <w:sz w:val="21"/>
          <w:szCs w:val="21"/>
        </w:rPr>
        <w:t xml:space="preserve">The Indian pharmaceutical market. India's domestic pharmaceutical market is the world's third-largest by volume and among the fastest-growing by value, projected to reach $65 billion by 2030. The market is dominated by generic medicines (90%+ of volume), served by a fragmented distribution network of 100,000+ pharmaceutical distributors and 850,000+ retail pharmacies. The prescriber base includes 1.2 million allopathic doctors and a substantial community of traditional medicine practitioners. The payer landscape is dominated by out-of-pocket expenditure (60%+ of total health spending), with government insurance (Pradhan Mantri Jan Arogya Yojana — PM-JAY) providing coverage for hospitalisation for the bottom 40% of the population.</w:t>
      </w:r>
    </w:p>
    <w:p>
      <w:pPr>
        <w:spacing w:after="120"/>
      </w:pPr>
      <w:r>
        <w:rPr>
          <w:i w:val="false"/>
          <w:iCs w:val="false"/>
          <w:color w:val="1C2333"/>
          <w:sz w:val="21"/>
          <w:szCs w:val="21"/>
        </w:rPr>
        <w:t xml:space="preserve">Digital commercial channels. The dominance of out-of-pocket expenditure and the fragmentation of the distribution network have historically made India a purely rep-driven market for branded pharmaceuticals. Digital disruption is changing this: platforms including PharmEasy, 1mg, Netmeds, and Tata 1mg have created digital pharmacy channels that account for a rapidly growing share of pharmaceutical retail, with particular strength in metro areas and among the urban middle class. For pharmaceutical companies, these platforms represent both a distribution channel and a data asset — generating real-time insight into prescribing patterns, pharmacy inventory, and patient purchasing behaviour that is not available from traditional distribution data.</w:t>
      </w:r>
    </w:p>
    <w:p>
      <w:pPr>
        <w:spacing w:after="120"/>
      </w:pPr>
      <w:r>
        <w:rPr>
          <w:i w:val="false"/>
          <w:iCs w:val="false"/>
          <w:color w:val="1C2333"/>
          <w:sz w:val="21"/>
          <w:szCs w:val="21"/>
        </w:rPr>
        <w:t xml:space="preserve">Telemedicine and digital HCP engagement. COVID-19 dramatically accelerated telemedicine adoption in India: Practo, Mfine, DocsApp, and government platforms processed millions of telemedicine consultations during the pandemic. Physicians who had been inaccessible to pharmaceutical field forces during lockdowns discovered that virtual engagement was efficient and convenient. Post-pandemic, telemedicine has retained a significant share of total consultations — particularly for chronic disease management — creating a permanent digital channel for HCP engagement that pharmaceutical companies are integrating into their omnichannel commercial models.</w:t>
      </w:r>
    </w:p>
    <w:p>
      <w:pPr>
        <w:spacing w:after="120"/>
      </w:pPr>
      <w:r>
        <w:rPr>
          <w:i w:val="false"/>
          <w:iCs w:val="false"/>
          <w:color w:val="1C2333"/>
          <w:sz w:val="21"/>
          <w:szCs w:val="21"/>
        </w:rPr>
        <w:t xml:space="preserve">ABDM and digital prescriptions. As ABDM-linked digital prescriptions become more prevalent — enabling pharmacies to dispense against electronically transmitted prescriptions verified through the patient's ABHA (Ayushman Bharat Health Account) — pharmaceutical companies will gain access to real-time prescription dispensing data at a national scale that has not previously been available. This data will transform commercial analytics, pharmacovigilance surveillance, and real-world evidence generation in India.</w:t>
      </w:r>
    </w:p>
    <w:p>
      <w:pPr>
        <w:pStyle w:val="Heading2"/>
        <w:spacing w:after="120" w:before="240"/>
      </w:pPr>
      <w:r>
        <w:rPr>
          <w:b/>
          <w:bCs/>
          <w:color w:val="0D2B55"/>
        </w:rPr>
        <w:t xml:space="preserve">25.3 China: Scale, Speed, and Regulatory Modernisation</w:t>
      </w:r>
    </w:p>
    <w:p>
      <w:pPr>
        <w:spacing w:after="120"/>
      </w:pPr>
      <w:r>
        <w:rPr>
          <w:i w:val="false"/>
          <w:iCs w:val="false"/>
          <w:color w:val="1C2333"/>
          <w:sz w:val="21"/>
          <w:szCs w:val="21"/>
        </w:rPr>
        <w:t xml:space="preserve">China's pharmaceutical market is the world's second-largest, with total spending exceeding $150 billion in 2023 and projected to reach $220 billion by 2028. The domestic market is characterised by a massive transition from traditional Chinese medicine and low-quality generic drugs to innovative pharmaceuticals, driven by regulatory modernisation, government investment in pharmaceutical innovation, and a rapidly growing middle class with higher healthcare expectations.</w:t>
      </w:r>
    </w:p>
    <w:p>
      <w:pPr>
        <w:spacing w:after="120"/>
      </w:pPr>
      <w:r>
        <w:rPr>
          <w:i w:val="false"/>
          <w:iCs w:val="false"/>
          <w:color w:val="1C2333"/>
          <w:sz w:val="21"/>
          <w:szCs w:val="21"/>
        </w:rPr>
        <w:t xml:space="preserve">NMPA regulatory modernisation. China's National Medical Products Administration (NMPA) has undergone a transformation in the past decade, aligning Chinese regulatory standards more closely with international requirements and significantly accelerating the approval of innovative drugs. China's accession to ICH in 2017 — committing to implement ICH guidelines for pharmaceutical quality, safety, and efficacy — has made China an increasingly attractive market for global pharmaceutical companies willing to run clinical trials in China. The NMPA has also established a Priority Review procedure and a Breakthrough Therapy designation that can accelerate approval timelines for drugs addressing serious unmet needs.</w:t>
      </w:r>
    </w:p>
    <w:p>
      <w:pPr>
        <w:spacing w:after="120"/>
      </w:pPr>
      <w:r>
        <w:rPr>
          <w:i w:val="false"/>
          <w:iCs w:val="false"/>
          <w:color w:val="1C2333"/>
          <w:sz w:val="21"/>
          <w:szCs w:val="21"/>
        </w:rPr>
        <w:t xml:space="preserve">Digital health ecosystem. China's digital health ecosystem is among the most advanced in the world, powered by the ubiquitous adoption of WeChat (1.3 billion monthly active users) and Alipay as platforms for healthcare services. WeChat-based "mini programs" provide health information, symptom assessment, appointment booking, and prescription services within the WeChat ecosystem — making WeChat the primary digital health platform for a large proportion of Chinese patients and physicians. Pharmaceutical companies developing digital engagement strategies in China must design for WeChat-native experiences rather than standalone apps.</w:t>
      </w:r>
    </w:p>
    <w:p>
      <w:pPr>
        <w:spacing w:after="120"/>
      </w:pPr>
      <w:r>
        <w:rPr>
          <w:i w:val="false"/>
          <w:iCs w:val="false"/>
          <w:color w:val="1C2333"/>
          <w:sz w:val="21"/>
          <w:szCs w:val="21"/>
        </w:rPr>
        <w:t xml:space="preserve">AI and digital health innovation. China has invested heavily in AI-powered drug discovery and digital health, with significant government funding through programs including the National Key Research and Development Program and major VC investment in AI pharma startups. Companies including Insilico Medicine (with operations in China), BioMap, Galixir, and dozens of smaller startups are building AI drug discovery capabilities. The Chinese government's "Healthy China 2030" plan has made digital health a national strategic priority, creating a regulatory and investment environment that is actively supportive of pharmaceutical digital innovation.</w:t>
      </w:r>
    </w:p>
    <w:p>
      <w:pPr>
        <w:pStyle w:val="Heading2"/>
        <w:spacing w:after="120" w:before="240"/>
      </w:pPr>
      <w:r>
        <w:rPr>
          <w:b/>
          <w:bCs/>
          <w:color w:val="0D2B55"/>
        </w:rPr>
        <w:t xml:space="preserve">25.4 Brazil: Latin America's Digital Health Laboratory</w:t>
      </w:r>
    </w:p>
    <w:p>
      <w:pPr>
        <w:spacing w:after="120"/>
      </w:pPr>
      <w:r>
        <w:rPr>
          <w:i w:val="false"/>
          <w:iCs w:val="false"/>
          <w:color w:val="1C2333"/>
          <w:sz w:val="21"/>
          <w:szCs w:val="21"/>
        </w:rPr>
        <w:t xml:space="preserve">Brazil is the dominant pharmaceutical market in Latin America — accounting for approximately 40% of regional pharmaceutical spending — and one of the most interesting digital health innovation environments in the world. Brazil's unified public health system (SUS — Sistema Único de Saúde) serves 75% of the population, creating a distinctive payer environment and an unusually centralised source of health data.</w:t>
      </w:r>
    </w:p>
    <w:p>
      <w:pPr>
        <w:spacing w:after="120"/>
      </w:pPr>
      <w:r>
        <w:rPr>
          <w:i w:val="false"/>
          <w:iCs w:val="false"/>
          <w:color w:val="1C2333"/>
          <w:sz w:val="21"/>
          <w:szCs w:val="21"/>
        </w:rPr>
        <w:t xml:space="preserve">ANVISA and regulatory digitalisation. Brazil's health regulatory agency ANVISA has been actively modernising its digital regulatory infrastructure, implementing electronic submission pathways for pharmaceutical registrations and post-approval changes, and participating in international regulatory harmonisation initiatives (including PANDRH, the Pan-American Network for Drug Regulatory Harmonisation). ANVISA's regulatory requirements remain distinct from FDA and EMA — Brazil requires local clinical studies for some product categories, has specific pharmacovigilance requirements, and uses a national drug registration system (DATAVISA) that pharmaceutical companies must navigate separately from their global regulatory operations.</w:t>
      </w:r>
    </w:p>
    <w:p>
      <w:pPr>
        <w:spacing w:after="120"/>
      </w:pPr>
      <w:r>
        <w:rPr>
          <w:i w:val="false"/>
          <w:iCs w:val="false"/>
          <w:color w:val="1C2333"/>
          <w:sz w:val="21"/>
          <w:szCs w:val="21"/>
        </w:rPr>
        <w:t xml:space="preserve">Digital health innovation. Brazil has a vibrant health tech startup ecosystem, particularly in São Paulo, with companies including Episodex, Nilo Saúde, Pulsus, and dozens of others building digital health tools for chronic disease management, telehealth, and hospital operations. The country's strong software engineering talent base — Brazil is the largest technology services market in Latin America — supports a growing GCC ecosystem, with several multinational pharmaceutical companies establishing analytics and digital capability centres in São Paulo.</w:t>
      </w:r>
    </w:p>
    <w:p>
      <w:pPr>
        <w:spacing w:after="120"/>
      </w:pPr>
      <w:r>
        <w:rPr>
          <w:i w:val="false"/>
          <w:iCs w:val="false"/>
          <w:color w:val="1C2333"/>
          <w:sz w:val="21"/>
          <w:szCs w:val="21"/>
        </w:rPr>
        <w:t xml:space="preserve">Commercial digital channels. Brazil's pharmaceutical market has historically been dominated by a combination of large pharmacy chains (Raia Drogasil, Pague Menos, Drogarias Nissei) and independent pharmacies, with a significant share of the population paying out of pocket for medicines. E-pharmacy is growing, with ifarma and Onofre (Amazon) establishing digital channels that provide data for commercial analytics. HCP digital engagement in Brazil is increasingly centred on mobile apps and WhatsApp groups, which have become the primary professional communication channel for many Brazilian physicians.</w:t>
      </w:r>
    </w:p>
    <w:p>
      <w:pPr>
        <w:pStyle w:val="Heading2"/>
        <w:spacing w:after="120" w:before="240"/>
      </w:pPr>
      <w:r>
        <w:rPr>
          <w:b/>
          <w:bCs/>
          <w:color w:val="0D2B55"/>
        </w:rPr>
        <w:t xml:space="preserve">25.5 Sub-Saharan Africa: Mobile-First Healthcare Transformation</w:t>
      </w:r>
    </w:p>
    <w:p>
      <w:pPr>
        <w:spacing w:after="120"/>
      </w:pPr>
      <w:r>
        <w:rPr>
          <w:i w:val="false"/>
          <w:iCs w:val="false"/>
          <w:color w:val="1C2333"/>
          <w:sz w:val="21"/>
          <w:szCs w:val="21"/>
        </w:rPr>
        <w:t xml:space="preserve">Sub-Saharan Africa presents the most challenging and in some respects the most innovative context for pharmaceutical digital transformation. The continent's healthcare infrastructure is characterised by low physician density, limited hospital capacity outside major cities, a dominant role for community health workers in primary care delivery, and widespread mobile phone penetration (60%+ in many countries) but limited internet connectivity beyond mobile networks.</w:t>
      </w:r>
    </w:p>
    <w:p>
      <w:pPr>
        <w:spacing w:after="120"/>
      </w:pPr>
      <w:r>
        <w:rPr>
          <w:i w:val="false"/>
          <w:iCs w:val="false"/>
          <w:color w:val="1C2333"/>
          <w:sz w:val="21"/>
          <w:szCs w:val="21"/>
        </w:rPr>
        <w:t xml:space="preserve">Mobile-first health platforms. The limited fixed internet infrastructure in most of Sub-Saharan Africa has driven health technology innovation toward mobile-first platforms that work on basic smartphones over mobile data networks. mHealth platforms — including mTinaCare (maternal health), mHero (health worker communication), and the DHIS2 (District Health Information System) platform used by dozens of African governments for health data aggregation — demonstrate what is possible with mobile-first design for healthcare in resource-constrained settings.</w:t>
      </w:r>
    </w:p>
    <w:p>
      <w:pPr>
        <w:spacing w:after="120"/>
      </w:pPr>
      <w:r>
        <w:rPr>
          <w:i w:val="false"/>
          <w:iCs w:val="false"/>
          <w:color w:val="1C2333"/>
          <w:sz w:val="21"/>
          <w:szCs w:val="21"/>
        </w:rPr>
        <w:t xml:space="preserve">Pharmaceutical distribution digitalisation. The pharmaceutical supply chain in Sub-Saharan Africa is notoriously fragmented and opaque, creating significant problems with counterfeit medicines, stockouts of essential medicines, and poor cold chain management for vaccines. Digital platforms including mPharma (operating in 8 African countries), the Track and Trace systems implemented in several African nations under the African Medicines Regulatory Harmonisation (AMRH) initiative, and the CHAILCE supply chain platform are beginning to bring digital visibility and control to African pharmaceutical distribution. For multinational pharmaceutical companies, these platforms are simultaneously commercial opportunities (potentially creating new digital distribution channels) and risk management tools (improving visibility into how products move through distribution).</w:t>
      </w:r>
    </w:p>
    <w:p>
      <w:pPr>
        <w:spacing w:after="120"/>
      </w:pPr>
      <w:r>
        <w:rPr>
          <w:i w:val="false"/>
          <w:iCs w:val="false"/>
          <w:color w:val="1C2333"/>
          <w:sz w:val="21"/>
          <w:szCs w:val="21"/>
        </w:rPr>
        <w:t xml:space="preserve">East Africa as digital health innovation hub. Kenya, in particular, has emerged as the leading centre of digital health innovation in Sub-Saharan Africa, driven by the success of M-PESA (mobile money) as an innovation template and the vibrant startup ecosystem of Nairobi's Silicon Savannah. Companies including Flare (emergency response), mKopa (asset financing for health), and Shamiri (mental health) are building digital health services that serve African patients on African infrastructure — with potential to scale across the continent and offer lessons in frugal innovation for other markets.</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organisation have differentiated digital strategies for each major emerging market, or is a single global approach being applied without local adaptation? Has the organisation assessed the regulatory digital requirements in China, India, and Brazil specifically — including NMPA ICH alignment, CDSCO SUGAM adoption, and ANVISA electronic submission requirements — and are the regulatory information management systems capable of handling these distinctly? Is the organisation leveraging the digital health infrastructure of emerging markets — ABDM in India, WeChat in China, mobile platforms in Africa — in its commercial and patient engagement strategies? What competitive threats does the organisation face from local digital-first pharmaceutical companies in each emerging market?</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25.1: Emerging Markets Pharma Digital Landscape</w:t>
      </w:r>
    </w:p>
    <w:p>
      <w:pPr>
        <w:spacing w:after="120"/>
      </w:pPr>
      <w:r>
        <w:rPr>
          <w:color w:val="1C2333"/>
          <w:sz w:val="21"/>
          <w:szCs w:val="21"/>
        </w:rPr>
        <w:t xml:space="preserve">APPENDIX</w:t>
      </w:r>
    </w:p>
    <w:p>
      <w:pPr>
        <w:spacing w:after="120"/>
      </w:pPr>
      <w:r>
        <w:rPr>
          <w:color w:val="1C2333"/>
          <w:sz w:val="21"/>
          <w:szCs w:val="21"/>
        </w:rPr>
        <w:t xml:space="preserve">PART VIII — FRONTIER TOPICS</w:t>
      </w:r>
    </w:p>
    <w:p>
      <w:r>
        <w:br w:type="page"/>
      </w:r>
    </w:p>
    <w:p>
      <w:pPr>
        <w:pStyle w:val="Heading1"/>
        <w:spacing w:after="120" w:before="240"/>
      </w:pPr>
      <w:r>
        <w:rPr>
          <w:b/>
          <w:bCs/>
          <w:color w:val="0D2B55"/>
        </w:rPr>
        <w:t xml:space="preserve">Chapter 26: Generative AI in Pharma — LLMs, Copilots &amp; Enterprise Deployment</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Generative AI — the class of AI systems capable of producing novel text, molecular structures, protein sequences, images, and code — has moved from research curiosity to enterprise deployment in pharmaceutical companies at a speed that has outpaced most organisations' ability to govern it. Large language models (LLMs) including Claude, GPT-5, Gemini, and a growing ecosystem of domain-specific pharmaceutical AI systems are being deployed across drug discovery, clinical development, regulatory affairs, pharmacovigilance, manufacturing quality, and commercial operations. The potential is enormous: productivity improvements of 30–50% have been demonstrated in specific document-heavy workflows, novel molecule generation has reached clinical trial stage, and protein language models are revealing biological patterns invisible to conventional analysis. The risk is equally significant: LLMs hallucinate, embed biases, and can generate content that appears authoritative while being subtly or catastrophically wrong. This chapter provides the complete framework for responsible, high-value enterprise deployment of generative AI in pharmaceutical organisations.</w:t>
      </w:r>
    </w:p>
    <w:p>
      <w:pPr>
        <w:pStyle w:val="Heading2"/>
        <w:spacing w:after="120" w:before="240"/>
      </w:pPr>
      <w:r>
        <w:rPr>
          <w:b/>
          <w:bCs/>
          <w:color w:val="0D2B55"/>
        </w:rPr>
        <w:t xml:space="preserve">26.1 The Generative AI Landscape: What Exists and What Is Deployable Today</w:t>
      </w:r>
    </w:p>
    <w:p>
      <w:pPr>
        <w:spacing w:after="120"/>
      </w:pPr>
      <w:r>
        <w:rPr>
          <w:i w:val="false"/>
          <w:iCs w:val="false"/>
          <w:color w:val="1C2333"/>
          <w:sz w:val="21"/>
          <w:szCs w:val="21"/>
        </w:rPr>
        <w:t xml:space="preserve">The generative AI landscape for pharmaceutical applications spans three tiers that require very different deployment strategies.</w:t>
      </w:r>
    </w:p>
    <w:p>
      <w:pPr>
        <w:spacing w:after="120"/>
      </w:pPr>
      <w:r>
        <w:rPr>
          <w:i w:val="false"/>
          <w:iCs w:val="false"/>
          <w:color w:val="1C2333"/>
          <w:sz w:val="21"/>
          <w:szCs w:val="21"/>
        </w:rPr>
        <w:t xml:space="preserve">Foundation models. General-purpose large language models — OpenAI GPT-5, Anthropic Claude Opus and Sonnet, Google Gemini, and Meta's Llama 3 — are trained on vast corpora of human text and can generate high-quality written content, answer complex questions, summarise documents, write and review code, and engage in multi-step reasoning. These models are accessible via API and have demonstrated immediate utility in pharmaceutical workflows including scientific literature summarisation, regulatory document drafting, pharmacovigilance narrative generation, and clinical study report sections. Their limitation is their generality: they lack deep pharmaceutical domain knowledge (their training data includes pharmaceutical content but is not dominated by it), they cannot access proprietary company data without specific integration architecture, and they have no memory between sessions without explicit context management.</w:t>
      </w:r>
    </w:p>
    <w:p>
      <w:pPr>
        <w:spacing w:after="120"/>
      </w:pPr>
      <w:r>
        <w:rPr>
          <w:i w:val="false"/>
          <w:iCs w:val="false"/>
          <w:color w:val="1C2333"/>
          <w:sz w:val="21"/>
          <w:szCs w:val="21"/>
        </w:rPr>
        <w:t xml:space="preserve">Domain-specific pharmaceutical AI. A second tier of AI systems has been built specifically for pharmaceutical applications, often trained on pharmaceutical-specific data or fine-tuned from foundation models on pharmaceutical corpora. AlphaFold3 (DeepMind/Google) predicts protein structures and protein-ligand interactions. ESM3 (Meta's evolutionary scale modelling) is a protein language model that can generate and modify protein sequences. Chemistry42 (Insilico Medicine) generates novel drug-like molecular structures optimised for specified target and property profiles. Parabricks (NVIDIA) accelerates genomic data analysis. RxReasoner and similar LLMs fine-tuned on pharmacological data provide drug interaction and safety reasoning. These systems are more reliable than general-purpose LLMs for their specific tasks but narrower in scope.</w:t>
      </w:r>
    </w:p>
    <w:p>
      <w:pPr>
        <w:spacing w:after="120"/>
      </w:pPr>
      <w:r>
        <w:rPr>
          <w:i w:val="false"/>
          <w:iCs w:val="false"/>
          <w:color w:val="1C2333"/>
          <w:sz w:val="21"/>
          <w:szCs w:val="21"/>
        </w:rPr>
        <w:t xml:space="preserve">Enterprise AI platforms. The third tier is enterprise AI platforms that provide the infrastructure for deploying, governing, and monitoring generative AI applications within an organisation: Microsoft Azure OpenAI Service (providing GPT models within a HIPAA-compliant, enterprise data-isolated environment), Amazon Bedrock (providing multiple foundation models with enterprise security), Google Vertex AI (providing Gemini models with enterprise governance). These platforms are the appropriate deployment architecture for pharmaceutical companies that need to use generative AI with proprietary data while maintaining data security and regulatory compliance.</w:t>
      </w:r>
    </w:p>
    <w:p>
      <w:pPr>
        <w:pStyle w:val="Heading2"/>
        <w:spacing w:after="120" w:before="240"/>
      </w:pPr>
      <w:r>
        <w:rPr>
          <w:b/>
          <w:bCs/>
          <w:color w:val="0D2B55"/>
        </w:rPr>
        <w:t xml:space="preserve">26.2 Drug Discovery Applications: Molecular Generation and Target Biology</w:t>
      </w:r>
    </w:p>
    <w:p>
      <w:pPr>
        <w:spacing w:after="120"/>
      </w:pPr>
      <w:r>
        <w:rPr>
          <w:i w:val="false"/>
          <w:iCs w:val="false"/>
          <w:color w:val="1C2333"/>
          <w:sz w:val="21"/>
          <w:szCs w:val="21"/>
        </w:rPr>
        <w:t xml:space="preserve">The application of generative AI to drug discovery is the most scientifically transformative and most commercially significant pharmaceutical AI application category. Several deployment patterns have moved from research to production.</w:t>
      </w:r>
    </w:p>
    <w:p>
      <w:pPr>
        <w:spacing w:after="120"/>
      </w:pPr>
      <w:r>
        <w:rPr>
          <w:i w:val="false"/>
          <w:iCs w:val="false"/>
          <w:color w:val="1C2333"/>
          <w:sz w:val="21"/>
          <w:szCs w:val="21"/>
        </w:rPr>
        <w:t xml:space="preserve">Molecular generation. Generative AI models for molecular design — including variational autoencoders (VAEs), diffusion models applied to molecular geometry, and transformer architectures trained on SMILES or 3D molecular representations — can generate thousands of novel molecular structures per day optimised for specified binding, ADMET, and synthetic accessibility properties. The workflow is now well-established: define the target protein structure (using AlphaFold3 if no experimental structure is available), specify the desired molecular property profile (potency ≥1nM, LogP 1–4, no hERG liability, synthetic accessibility score ≤3), run the generative model to propose 500–2,000 novel scaffold candidates, filter and rank by AI-predicted ADMET properties, and select 50–100 for synthesis and experimental testing. The design-make-test cycle that took months in conventional medicinal chemistry now takes weeks with AI assistance.</w:t>
      </w:r>
    </w:p>
    <w:p>
      <w:pPr>
        <w:spacing w:after="120"/>
      </w:pPr>
      <w:r>
        <w:rPr>
          <w:i w:val="false"/>
          <w:iCs w:val="false"/>
          <w:color w:val="1C2333"/>
          <w:sz w:val="21"/>
          <w:szCs w:val="21"/>
        </w:rPr>
        <w:t xml:space="preserve">Protein language models for target biology. ESM3 and related protein language models — trained on hundreds of millions of protein sequences — have learned the "grammar" of proteins: which amino acid substitutions preserve function, which abolish it, and which create new functions. These models can predict the effect of any mutation on protein stability, binding affinity, and function with an accuracy that approaches experimental measurement for well-studied protein families. For drug discovery, protein language models enable systematic exploration of target protein variants (understanding which mutations in a disease-associated protein are activating versus loss-of-function), prediction of how resistance mutations in pathogen or cancer proteins affect drug binding, and design of novel proteins with therapeutic functions.</w:t>
      </w:r>
    </w:p>
    <w:p>
      <w:pPr>
        <w:spacing w:after="120"/>
      </w:pPr>
      <w:r>
        <w:rPr>
          <w:i w:val="false"/>
          <w:iCs w:val="false"/>
          <w:color w:val="1C2333"/>
          <w:sz w:val="21"/>
          <w:szCs w:val="21"/>
        </w:rPr>
        <w:t xml:space="preserve">Literature mining and hypothesis generation. General-purpose LLMs deployed on the scientific literature — via RAG (Retrieval Augmented Generation) architectures that ground model responses in retrieved scientific documents — are transforming the speed of scientific literature review. A literature search that would take a PhD scientist a week of reading can be summarised by an LLM in hours, with the model identifying key findings, contradictions in the literature, unexplored research directions, and connections between papers that are separated by disciplinary boundaries. Companies including Elsevier (through ClinicalKey AI), Semantic Scholar, and BioRxiv's AI-search tools are building LLM-powered literature interfaces for pharmaceutical researchers.</w:t>
      </w:r>
    </w:p>
    <w:p>
      <w:pPr>
        <w:pStyle w:val="Heading2"/>
        <w:spacing w:after="120" w:before="240"/>
      </w:pPr>
      <w:r>
        <w:rPr>
          <w:b/>
          <w:bCs/>
          <w:color w:val="0D2B55"/>
        </w:rPr>
        <w:t xml:space="preserve">26.3 Clinical Development: LLMs for Document Generation and Data Analysis</w:t>
      </w:r>
    </w:p>
    <w:p>
      <w:pPr>
        <w:spacing w:after="120"/>
      </w:pPr>
      <w:r>
        <w:rPr>
          <w:i w:val="false"/>
          <w:iCs w:val="false"/>
          <w:color w:val="1C2333"/>
          <w:sz w:val="21"/>
          <w:szCs w:val="21"/>
        </w:rPr>
        <w:t xml:space="preserve">Clinical development generates and requires enormous volumes of complex, highly structured documents — protocols, informed consent forms, clinical study reports, investigator brochures, regulatory briefing documents, and statistical analysis plans. These documents follow standard formats, contain large amounts of boilerplate text, must be internally consistent, and are expensive and time-consuming to produce using conventional authoring methods. LLMs are demonstrating 30–50% reductions in document authoring time in several documented deployments.</w:t>
      </w:r>
    </w:p>
    <w:p>
      <w:pPr>
        <w:spacing w:after="120"/>
      </w:pPr>
      <w:r>
        <w:rPr>
          <w:i w:val="false"/>
          <w:iCs w:val="false"/>
          <w:color w:val="1C2333"/>
          <w:sz w:val="21"/>
          <w:szCs w:val="21"/>
        </w:rPr>
        <w:t xml:space="preserve">Protocol generation. LLMs can generate first-draft clinical trial protocols from structured inputs — indication, mechanism of action, development stage, key scientific questions, patient population constraints — by learning from large corpora of historical trial protocols. The generated draft covers all standard ICH E6 GCP-required protocol sections: background and rationale, study objectives and endpoints, study design, patient selection criteria, treatment plan, safety monitoring, and statistical considerations. The medical writer's role shifts from blank-page authoring to expert review, editing, and validation of AI-generated content — a role that requires the same domain expertise but generates it in a fraction of the time.</w:t>
      </w:r>
    </w:p>
    <w:p>
      <w:pPr>
        <w:spacing w:after="120"/>
      </w:pPr>
      <w:r>
        <w:rPr>
          <w:i w:val="false"/>
          <w:iCs w:val="false"/>
          <w:color w:val="1C2333"/>
          <w:sz w:val="21"/>
          <w:szCs w:val="21"/>
        </w:rPr>
        <w:t xml:space="preserve">Clinical study report sections. The clinical study report (CSR) is the primary document through which clinical trial results are communicated to regulatory agencies. A typical Phase III CSR runs to 500–2,000 pages and contains hundreds of standardised sections, each populated from statistical analysis outputs and narrative descriptions of the trial results. LLMs trained on CSR templates and connected to statistical analysis outputs via structured data pipelines can generate boilerplate sections (patient disposition tables narratives, demographic characteristics descriptions, protocol deviation summaries) automatically, with statistical results populated from the analysis data. The most advanced implementations are demonstrating 40–60% reductions in CSR writing time.</w:t>
      </w:r>
    </w:p>
    <w:p>
      <w:pPr>
        <w:spacing w:after="120"/>
      </w:pPr>
      <w:r>
        <w:rPr>
          <w:i w:val="false"/>
          <w:iCs w:val="false"/>
          <w:color w:val="1C2333"/>
          <w:sz w:val="21"/>
          <w:szCs w:val="21"/>
        </w:rPr>
        <w:t xml:space="preserve">Pharmacovigilance narrative generation. As described in Chapter 8, the generation of Individual Case Safety Report (ICSR) narratives — structured medical summaries of each adverse event report — is one of the highest-volume, most repetitive document generation tasks in pharmaceutical operations. LLMs fine-tuned on ICSR narratives can generate regulation-compliant case narratives from structured case data (patient demographics, suspect drug, adverse event description, relevant medical history, concomitant medications, clinical outcome) in seconds, with human medical review required only for complex or serious cases. Validated deployments at several large pharmaceutical companies are demonstrating 60–80% reductions in narrative authoring time with equivalent or better quality compared to human-only approaches.</w:t>
      </w:r>
    </w:p>
    <w:p>
      <w:pPr>
        <w:pStyle w:val="Heading2"/>
        <w:spacing w:after="120" w:before="240"/>
      </w:pPr>
      <w:r>
        <w:rPr>
          <w:b/>
          <w:bCs/>
          <w:color w:val="0D2B55"/>
        </w:rPr>
        <w:t xml:space="preserve">26.4 Regulatory Affairs: AI-Assisted Submission Intelligence</w:t>
      </w:r>
    </w:p>
    <w:p>
      <w:pPr>
        <w:spacing w:after="120"/>
      </w:pPr>
      <w:r>
        <w:rPr>
          <w:i w:val="false"/>
          <w:iCs w:val="false"/>
          <w:color w:val="1C2333"/>
          <w:sz w:val="21"/>
          <w:szCs w:val="21"/>
        </w:rPr>
        <w:t xml:space="preserve">Regulatory affairs has some of the most document-intensive workflows in the pharmaceutical enterprise, and LLMs are being deployed across multiple regulatory workflows with measurable productivity impact.</w:t>
      </w:r>
    </w:p>
    <w:p>
      <w:pPr>
        <w:spacing w:after="120"/>
      </w:pPr>
      <w:r>
        <w:rPr>
          <w:i w:val="false"/>
          <w:iCs w:val="false"/>
          <w:color w:val="1C2333"/>
          <w:sz w:val="21"/>
          <w:szCs w:val="21"/>
        </w:rPr>
        <w:t xml:space="preserve">Regulatory question answering. Regulatory professionals spend significant time researching regulatory guidance — searching through dense FDA guidance documents, ICH guidelines, EMA scientific guidelines, and regional regulatory agency publications to answer specific questions about acceptable study designs, data requirements, and submission formats. LLMs trained on regulatory guidance corpora or integrated with RAG architectures that retrieve from regulatory document databases can answer regulatory questions in seconds with citations to the specific guidance paragraphs that support the answer. Veeva Vault's AI assistant and several specialist pharmaceutical regulatory AI platforms are deploying this capability commercially.</w:t>
      </w:r>
    </w:p>
    <w:p>
      <w:pPr>
        <w:spacing w:after="120"/>
      </w:pPr>
      <w:r>
        <w:rPr>
          <w:i w:val="false"/>
          <w:iCs w:val="false"/>
          <w:color w:val="1C2333"/>
          <w:sz w:val="21"/>
          <w:szCs w:val="21"/>
        </w:rPr>
        <w:t xml:space="preserve">eCTD section drafting. LLMs are being used to draft standard sections of marketing application dossiers — the quality module narratives (Module 3), the nonclinical summary and written summaries (Module 4), and the clinical summary and written summaries (Module 5). These sections follow highly standardised formats defined by ICH M4 guidelines and consist substantially of structured summaries of study data and regulatory argumentation that follows established patterns. LLM assistance in drafting these sections — with data scientists providing structured study data inputs and regulatory writers providing expert review — is demonstrating significant time savings in the most documentation-intensive regulatory submissions.</w:t>
      </w:r>
    </w:p>
    <w:p>
      <w:pPr>
        <w:spacing w:after="120"/>
      </w:pPr>
      <w:r>
        <w:rPr>
          <w:i w:val="false"/>
          <w:iCs w:val="false"/>
          <w:color w:val="1C2333"/>
          <w:sz w:val="21"/>
          <w:szCs w:val="21"/>
        </w:rPr>
        <w:t xml:space="preserve">Labelling review and consistency checking. Drug product labelling — the prescribing information that accompanies approved medicines — must be consistent across all sections (the Indications and Usage section must be consistent with the Clinical Studies section, the Warnings and Precautions must be reflected in the Boxed Warning if applicable), must comply with FDA-specific formatting requirements, and must accurately represent the evidence in the regulatory dossier. LLMs can perform automated consistency checking across labelling sections, flag potential inconsistencies for human review, and identify places where labelling text does not accurately reflect the underlying clinical data — a review that currently takes regulatory experts days can be completed by an LLM in minutes.</w:t>
      </w:r>
    </w:p>
    <w:p>
      <w:pPr>
        <w:pStyle w:val="Heading2"/>
        <w:spacing w:after="120" w:before="240"/>
      </w:pPr>
      <w:r>
        <w:rPr>
          <w:b/>
          <w:bCs/>
          <w:color w:val="0D2B55"/>
        </w:rPr>
        <w:t xml:space="preserve">26.5 Manufacturing and Quality: Generative AI Applications</w:t>
      </w:r>
    </w:p>
    <w:p>
      <w:pPr>
        <w:spacing w:after="120"/>
      </w:pPr>
      <w:r>
        <w:rPr>
          <w:i w:val="false"/>
          <w:iCs w:val="false"/>
          <w:color w:val="1C2333"/>
          <w:sz w:val="21"/>
          <w:szCs w:val="21"/>
        </w:rPr>
        <w:t xml:space="preserve">Manufacturing and quality management have a different generative AI use profile from scientific and regulatory workflows — lower volume of long-form text generation, but significant opportunity for AI-assisted process and quality intelligence.</w:t>
      </w:r>
    </w:p>
    <w:p>
      <w:pPr>
        <w:spacing w:after="120"/>
      </w:pPr>
      <w:r>
        <w:rPr>
          <w:i w:val="false"/>
          <w:iCs w:val="false"/>
          <w:color w:val="1C2333"/>
          <w:sz w:val="21"/>
          <w:szCs w:val="21"/>
        </w:rPr>
        <w:t xml:space="preserve">Deviation investigation assistance. Manufacturing quality deviations — unplanned departures from approved processes or specifications — require formal root cause analysis and CAPA documentation. An LLM trained on historical deviation records, root cause analyses, and CAPAs can assist deviation investigators by suggesting probable root causes based on the observed deviation pattern, identifying similar historical deviations and their root causes, and recommending CAPA actions that were effective for similar deviations in the past. This AI-assisted investigation support reduces investigation cycle time and improves CAPA quality by surfacing relevant institutional knowledge that investigators would not otherwise access.</w:t>
      </w:r>
    </w:p>
    <w:p>
      <w:pPr>
        <w:spacing w:after="120"/>
      </w:pPr>
      <w:r>
        <w:rPr>
          <w:i w:val="false"/>
          <w:iCs w:val="false"/>
          <w:color w:val="1C2333"/>
          <w:sz w:val="21"/>
          <w:szCs w:val="21"/>
        </w:rPr>
        <w:t xml:space="preserve">Batch record review. Electronic batch records contain large amounts of structured and semi-structured operator entries that must be reviewed by quality professionals before batch release. LLMs can assist batch record review by automatically flagging entries that deviate from expectations, identifying potential data integrity issues (entries made at implausible times or with implausible values), and generating exception summaries that allow quality reviewers to focus human attention on the entries that require expert judgment rather than reviewing each entry sequentially.</w:t>
      </w:r>
    </w:p>
    <w:p>
      <w:pPr>
        <w:pStyle w:val="Heading2"/>
        <w:spacing w:after="120" w:before="240"/>
      </w:pPr>
      <w:r>
        <w:rPr>
          <w:b/>
          <w:bCs/>
          <w:color w:val="0D2B55"/>
        </w:rPr>
        <w:t xml:space="preserve">26.6 Governance: Enterprise LLM Deployment Architecture</w:t>
      </w:r>
    </w:p>
    <w:p>
      <w:pPr>
        <w:spacing w:after="120"/>
      </w:pPr>
      <w:r>
        <w:rPr>
          <w:i w:val="false"/>
          <w:iCs w:val="false"/>
          <w:color w:val="1C2333"/>
          <w:sz w:val="21"/>
          <w:szCs w:val="21"/>
        </w:rPr>
        <w:t xml:space="preserve">Deploying LLMs in a pharmaceutical enterprise requires an architecture that addresses data security (pharmaceutical company data must not be sent to public AI APIs where it could be used for model training or exposed to other users), GxP compliance (LLM-assisted processes that produce GxP records must meet validation, audit trail, and human oversight requirements), output quality management (LLM hallucinations in regulatory or clinical content could have serious consequences), and performance monitoring (LLM performance must be continuously monitored and the system must be updated when model versions change).</w:t>
      </w:r>
    </w:p>
    <w:p>
      <w:pPr>
        <w:spacing w:after="120"/>
      </w:pPr>
      <w:r>
        <w:rPr>
          <w:i w:val="false"/>
          <w:iCs w:val="false"/>
          <w:color w:val="1C2333"/>
          <w:sz w:val="21"/>
          <w:szCs w:val="21"/>
        </w:rPr>
        <w:t xml:space="preserve">Private deployment architecture. The appropriate enterprise deployment architecture for most pharmaceutical LLM applications is a private cloud deployment — using enterprise AI platforms (Azure OpenAI Service, Amazon Bedrock, Google Vertex AI) that provide LLM inference within the pharmaceutical company's own cloud tenancy, ensuring that company data is not shared with the model provider and is not used for model training. Within this private environment, RAG (Retrieval Augmented Generation) architectures ground LLM responses in retrieved proprietary documents — making the LLM an intelligent interface to the company's own knowledge assets rather than a general knowledge system.</w:t>
      </w:r>
    </w:p>
    <w:p>
      <w:pPr>
        <w:spacing w:after="120"/>
      </w:pPr>
      <w:r>
        <w:rPr>
          <w:i w:val="false"/>
          <w:iCs w:val="false"/>
          <w:color w:val="1C2333"/>
          <w:sz w:val="21"/>
          <w:szCs w:val="21"/>
        </w:rPr>
        <w:t xml:space="preserve">Human-in-the-loop requirements. For GxP applications (pharmacovigilance narratives, regulatory submission content, batch record reviews), LLM-generated content must always be reviewed, verified, and approved by a qualified human professional before being incorporated into a GxP record. The LLM assists the human expert but does not replace the human review and approval step. The audit trail must record both the AI-generated content and the human review/approval action, with the human reviewer identified and their credentials documented.</w:t>
      </w:r>
    </w:p>
    <w:p>
      <w:pPr>
        <w:spacing w:after="120"/>
      </w:pPr>
      <w:r>
        <w:rPr>
          <w:i w:val="false"/>
          <w:iCs w:val="false"/>
          <w:color w:val="1C2333"/>
          <w:sz w:val="21"/>
          <w:szCs w:val="21"/>
        </w:rPr>
        <w:t xml:space="preserve">Validation framework. LLM-assisted GxP processes require validation under CSA principles: a risk assessment that categorises the LLM application by its potential impact on product quality and patient safety, performance testing that demonstrates the LLM generates output of adequate quality for its intended use, a change management procedure for managing LLM model version updates (which can change output characteristics), and ongoing monitoring that detects performance degradation. The GxP validation framework for LLM tools is still being developed by industry and regulators — ICH Q14 (analytical procedure development) provides some guidance, and the FDA's AI/ML Action Plan is evolving to address this.</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Has the organisation assessed the generative AI landscape across all major functions and identified the highest-value, lowest-risk applications for near-term deployment — and does a phased deployment roadmap exist? Is the enterprise AI deployment architecture in place — private cloud LLM infrastructure, RAG integration with internal knowledge bases, data security controls — or are employees using public AI tools with proprietary company data? Does the AI governance framework address generative AI specifically — including hallucination risk management, GxP validation requirements for LLM-assisted processes, and the human-in-the-loop requirements for clinical and regulatory applications? What is the organisation's position on generative AI for patient-facing communications, and has the medical-legal-regulatory review process been adapted for AI-generated promotional and safety content?</w:t>
      </w:r>
    </w:p>
    <w:p>
      <w:pPr>
        <w:pBdr>
          <w:left w:val="single" w:color="C9A84C" w:sz="18" w:space="8"/>
        </w:pBdr>
        <w:shd w:fill="FBF6E9" w:color="auto" w:val="clear"/>
        <w:spacing w:after="120"/>
        <w:ind w:left="240"/>
      </w:pPr>
      <w:r>
        <w:rPr>
          <w:i/>
          <w:iCs/>
          <w:color w:val="1C2333"/>
          <w:sz w:val="21"/>
          <w:szCs w:val="21"/>
        </w:rPr>
        <w:t xml:space="preserve">🌍 REGIONAL SPOTLIGHT: GENERATIVE AI DEPLOYMENT BY GEOGRAPHY</w:t>
      </w:r>
    </w:p>
    <w:p>
      <w:pPr>
        <w:pBdr>
          <w:left w:val="single" w:color="C9A84C" w:sz="18" w:space="8"/>
        </w:pBdr>
        <w:shd w:fill="FBF6E9" w:color="auto" w:val="clear"/>
        <w:spacing w:after="120"/>
        <w:ind w:left="240"/>
      </w:pPr>
      <w:r>
        <w:rPr>
          <w:i/>
          <w:iCs/>
          <w:color w:val="1C2333"/>
          <w:sz w:val="21"/>
          <w:szCs w:val="21"/>
        </w:rPr>
        <w:t xml:space="preserve">In the United States, the FDA has been actively engaged with pharmaceutical industry on AI/ML regulation since 2019, and the 2024 draft guidance on AI-enabled drug development covers generative AI applications in preclinical and clinical development. Several US pharmaceutical companies — Pfizer, J&amp;J, AstraZeneca — have disclosed enterprise generative AI programs with significant investment. The US regulatory environment is generally permissive for internal AI use while requiring human oversight for patient-facing applications. In the European Union, the EU AI Act explicitly addresses generative AI ("GPAI models") with transparency requirements including training data disclosure and capability evaluations for the most powerful models. Pharmaceutical companies deploying general-purpose AI models in the EU must ensure these models have been assessed under the GPAI provisions and that downstream uses in high-risk pharmaceutical applications meet the full high-risk AI requirements. The requirement will create pressure for pharmaceutical companies to document their AI supply chains — which foundation model is being used, what its training data includes, and how it has been evaluated.</w:t>
      </w:r>
    </w:p>
    <w:p>
      <w:pPr>
        <w:spacing w:after="120"/>
      </w:pPr>
      <w:r>
        <w:rPr>
          <w:i w:val="false"/>
          <w:iCs w:val="false"/>
          <w:color w:val="1C2333"/>
          <w:sz w:val="21"/>
          <w:szCs w:val="21"/>
        </w:rPr>
        <w:t xml:space="preserve">In India, a significant proportion of global pharmaceutical generative AI engineering work is being done in GCCs in Bangalore, Hyderabad, and Chennai. Indian pharmaceutical GCCs for AstraZeneca, Novartis, and Pfizer are building enterprise LLM platforms, fine-tuning domain-specific models, and developing RAG architectures that leverage company document repositories. India's strength in software engineering combined with growing pharmaceutical domain expertise is making India GCCs the primary implementation centres for global pharmaceutical generative AI programs.</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26.1: Generative AI Applications Across the Pharma Value Chain</w:t>
      </w:r>
    </w:p>
    <w:p>
      <w:r>
        <w:br w:type="page"/>
      </w:r>
    </w:p>
    <w:p>
      <w:pPr>
        <w:pStyle w:val="Heading1"/>
        <w:spacing w:after="120" w:before="240"/>
      </w:pPr>
      <w:r>
        <w:rPr>
          <w:b/>
          <w:bCs/>
          <w:color w:val="0D2B55"/>
        </w:rPr>
        <w:t xml:space="preserve">Chapter 27: Pandemic Preparedness &amp; Digital Health Security</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COVID-19 demonstrated with shattering clarity that a global pandemic can disrupt pharmaceutical operations, clinical development, supply chains, and commercial markets simultaneously and with little warning. It also demonstrated that digital capabilities — distributed trial monitoring, remote manufacturing oversight, digital supply chain visibility, mRNA platform manufacturing, and real-time safety surveillance — were the difference between organisations that adapted rapidly and those that were paralysed. This chapter examines the digital preparedness framework that pharmaceutical companies should build between pandemics, the specific technological capabilities that COVID-19 proved most valuable, and the emerging threat landscape — antimicrobial resistance, climate change-driven disease emergence, and deliberate bioterrorism — that makes pandemic preparedness a permanent strategic imperative.</w:t>
      </w:r>
    </w:p>
    <w:p>
      <w:pPr>
        <w:pStyle w:val="Heading2"/>
        <w:spacing w:after="120" w:before="240"/>
      </w:pPr>
      <w:r>
        <w:rPr>
          <w:b/>
          <w:bCs/>
          <w:color w:val="0D2B55"/>
        </w:rPr>
        <w:t xml:space="preserve">27.1 COVID-19 as a Digital Transformation Case Study</w:t>
      </w:r>
    </w:p>
    <w:p>
      <w:pPr>
        <w:spacing w:after="120"/>
      </w:pPr>
      <w:r>
        <w:rPr>
          <w:i w:val="false"/>
          <w:iCs w:val="false"/>
          <w:color w:val="1C2333"/>
          <w:sz w:val="21"/>
          <w:szCs w:val="21"/>
        </w:rPr>
        <w:t xml:space="preserve">The COVID-19 pandemic was, among many other things, the most powerful and most expensive real-world experiment in pharmaceutical digital maturity ever conducted. Companies with advanced digital capabilities navigated the crisis dramatically better than those without them, and the specific capabilities that proved decisive are now well-documented.</w:t>
      </w:r>
    </w:p>
    <w:p>
      <w:pPr>
        <w:spacing w:after="120"/>
      </w:pPr>
      <w:r>
        <w:rPr>
          <w:i w:val="false"/>
          <w:iCs w:val="false"/>
          <w:color w:val="1C2333"/>
          <w:sz w:val="21"/>
          <w:szCs w:val="21"/>
        </w:rPr>
        <w:t xml:space="preserve">Remote clinical trial monitoring. Companies with risk-based monitoring (RBM) platforms and central statistical oversight capabilities could continue overseeing active clinical trials when physical site visits became impossible. Those without these capabilities faced a stark choice between halting ongoing trials or accepting dramatically reduced oversight quality. The FDA's March 2020 guidance on conducting trials during COVID specifically endorsed central monitoring approaches, validating the investment that digitally mature companies had already made.</w:t>
      </w:r>
    </w:p>
    <w:p>
      <w:pPr>
        <w:spacing w:after="120"/>
      </w:pPr>
      <w:r>
        <w:rPr>
          <w:i w:val="false"/>
          <w:iCs w:val="false"/>
          <w:color w:val="1C2333"/>
          <w:sz w:val="21"/>
          <w:szCs w:val="21"/>
        </w:rPr>
        <w:t xml:space="preserve">Decentralised trial activation. Sponsors that had invested in decentralised trial infrastructure — electronic consent platforms, direct-to-patient supply systems, telemedicine assessment capabilities — could adapt running trials to pandemic conditions in weeks. Those without this infrastructure faced protocol amendments, waivers, and regulatory negotiations that took months. Several oncology trials — for which treatment interruption posed direct patient harm — were able to switch to home drug delivery and telemedicine follow-up rapidly precisely because the infrastructure existed.</w:t>
      </w:r>
    </w:p>
    <w:p>
      <w:pPr>
        <w:spacing w:after="120"/>
      </w:pPr>
      <w:r>
        <w:rPr>
          <w:i w:val="false"/>
          <w:iCs w:val="false"/>
          <w:color w:val="1C2333"/>
          <w:sz w:val="21"/>
          <w:szCs w:val="21"/>
        </w:rPr>
        <w:t xml:space="preserve">Digital supply chain visibility. Pharmaceutical companies that had invested in real-time supply chain visibility platforms — tracking inventory across manufacturing sites, distribution hubs, and healthcare institutions — could identify and respond to supply disruptions in days. Those managing supply chains from static spreadsheets took weeks to understand their exposure.</w:t>
      </w:r>
    </w:p>
    <w:p>
      <w:pPr>
        <w:spacing w:after="120"/>
      </w:pPr>
      <w:r>
        <w:rPr>
          <w:i w:val="false"/>
          <w:iCs w:val="false"/>
          <w:color w:val="1C2333"/>
          <w:sz w:val="21"/>
          <w:szCs w:val="21"/>
        </w:rPr>
        <w:t xml:space="preserve">mRNA platform technology. The most dramatic digital-biology convergence of the pandemic was the development of mRNA vaccines. BioNTech designed the BNT162b2 candidate sequence on a computer in two days in January 2020 — the speed of computational biology had already solved the scientific problem before any biological experiment was run. The manufacturing of the vaccine — using lipid nanoparticle encapsulation of synthetic mRNA, a process with essentially no physical product intermediates — was the most digitally intensive pharmaceutical manufacturing process ever commercialised at scale.</w:t>
      </w:r>
    </w:p>
    <w:p>
      <w:pPr>
        <w:pStyle w:val="Heading2"/>
        <w:spacing w:after="120" w:before="240"/>
      </w:pPr>
      <w:r>
        <w:rPr>
          <w:b/>
          <w:bCs/>
          <w:color w:val="0D2B55"/>
        </w:rPr>
        <w:t xml:space="preserve">27.2 The Digital Pandemic Preparedness Framework</w:t>
      </w:r>
    </w:p>
    <w:p>
      <w:pPr>
        <w:spacing w:after="120"/>
      </w:pPr>
      <w:r>
        <w:rPr>
          <w:i w:val="false"/>
          <w:iCs w:val="false"/>
          <w:color w:val="1C2333"/>
          <w:sz w:val="21"/>
          <w:szCs w:val="21"/>
        </w:rPr>
        <w:t xml:space="preserve">Building genuine pandemic preparedness requires investment in capabilities before a crisis occurs, by definition. The following framework organises pandemic preparedness investments into four layers.</w:t>
      </w:r>
    </w:p>
    <w:p>
      <w:pPr>
        <w:spacing w:after="120"/>
      </w:pPr>
      <w:r>
        <w:rPr>
          <w:i w:val="false"/>
          <w:iCs w:val="false"/>
          <w:color w:val="1C2333"/>
          <w:sz w:val="21"/>
          <w:szCs w:val="21"/>
        </w:rPr>
        <w:t xml:space="preserve">Layer 1: Surveillance and early warning. The ability to detect emerging infectious disease threats — and to assess their pharmaceutical implications — before they reach pandemic scale requires digital epidemiological surveillance capabilities. Global disease surveillance platforms including GIDEON (Global Infectious Diseases and Epidemiology Network), HealthMap, and the WHO's Epidemic Intelligence from Open Sources (EIOS) system aggregate disease signals from official reports, news media, and social media to identify novel outbreak events. Pharmaceutical companies with exposure to infectious disease therapeutics or vaccines should monitor these platforms as part of their strategic risk management, assessing potential demand implications and manufacturing readiness for the pathogens most likely to generate the next pandemic.</w:t>
      </w:r>
    </w:p>
    <w:p>
      <w:pPr>
        <w:spacing w:after="120"/>
      </w:pPr>
      <w:r>
        <w:rPr>
          <w:i w:val="false"/>
          <w:iCs w:val="false"/>
          <w:color w:val="1C2333"/>
          <w:sz w:val="21"/>
          <w:szCs w:val="21"/>
        </w:rPr>
        <w:t xml:space="preserve">Layer 2: Platform technology readiness. The key lesson of COVID-19 for pharmaceutical manufacturers is that platform technologies — manufacturing processes that can be adapted to new targets without fundamental process redesign — are the foundation of rapid pandemic response. mRNA platforms, adenoviral vector platforms, and broadly neutralising antibody platforms each represent a manufacturing paradigm where the process is generic and the product sequence can be changed in days. Building and maintaining the digital manufacturing infrastructure for these platforms — validated process control systems, digital quality management, supply chain orchestration — in a state of readiness for rapid scale-up is a form of pandemic preparedness that requires sustained investment between emergencies.</w:t>
      </w:r>
    </w:p>
    <w:p>
      <w:pPr>
        <w:spacing w:after="120"/>
      </w:pPr>
      <w:r>
        <w:rPr>
          <w:i w:val="false"/>
          <w:iCs w:val="false"/>
          <w:color w:val="1C2333"/>
          <w:sz w:val="21"/>
          <w:szCs w:val="21"/>
        </w:rPr>
        <w:t xml:space="preserve">Layer 3: Clinical trial infrastructure readiness. The COVID-19 vaccine and therapeutic trials demonstrated that global Phase III trials can be designed, enrolled, and executed in unprecedented timescales when regulatory agencies, pharmaceutical companies, and clinical trial networks collaborate — and when digital clinical infrastructure is in place. Pharmaceutical companies should maintain clinical trial infrastructure in a state of readiness that would allow rapid protocol activation for an emergency IND: pre-negotiated site contracts with global clinical trial site networks, pre-validated EDC configurations for standard emergency infectious disease endpoints, pre-prepared IRB submission templates, and relationships with regulatory agencies that enable rapid protocol review.</w:t>
      </w:r>
    </w:p>
    <w:p>
      <w:pPr>
        <w:spacing w:after="120"/>
      </w:pPr>
      <w:r>
        <w:rPr>
          <w:i w:val="false"/>
          <w:iCs w:val="false"/>
          <w:color w:val="1C2333"/>
          <w:sz w:val="21"/>
          <w:szCs w:val="21"/>
        </w:rPr>
        <w:t xml:space="preserve">Layer 4: Supply chain resilience. The pandemic exposed the fragility of just-in-time pharmaceutical supply chains that had optimised for cost efficiency at the expense of resilience. Digital supply chain visibility platforms that provide real-time inventory tracking across the entire global network, AI-powered demand scenario modelling that can rapidly reoptimise production and distribution plans in response to demand shocks, and pre-positioned strategic inventory of critical raw materials and API — all enabled and managed through digital systems — are the components of supply chain pandemic resilience.</w:t>
      </w:r>
    </w:p>
    <w:p>
      <w:pPr>
        <w:pStyle w:val="Heading2"/>
        <w:spacing w:after="120" w:before="240"/>
      </w:pPr>
      <w:r>
        <w:rPr>
          <w:b/>
          <w:bCs/>
          <w:color w:val="0D2B55"/>
        </w:rPr>
        <w:t xml:space="preserve">27.3 Antimicrobial Resistance: The Slow-Motion Pandemic</w:t>
      </w:r>
    </w:p>
    <w:p>
      <w:pPr>
        <w:spacing w:after="120"/>
      </w:pPr>
      <w:r>
        <w:rPr>
          <w:i w:val="false"/>
          <w:iCs w:val="false"/>
          <w:color w:val="1C2333"/>
          <w:sz w:val="21"/>
          <w:szCs w:val="21"/>
        </w:rPr>
        <w:t xml:space="preserve">Antimicrobial resistance (AMR) — the evolution of bacteria, viruses, fungi, and parasites that makes them resistant to the medicines that previously killed them — is described by the WHO as one of the greatest threats to global health. By 2050, AMR is projected to cause 10 million deaths annually if current trends continue — more than current cancer mortality. The pharmaceutical industry has a central role in AMR response — both in developing new antibiotics and in using digital tools to optimise the use of existing ones.</w:t>
      </w:r>
    </w:p>
    <w:p>
      <w:pPr>
        <w:spacing w:after="120"/>
      </w:pPr>
      <w:r>
        <w:rPr>
          <w:i w:val="false"/>
          <w:iCs w:val="false"/>
          <w:color w:val="1C2333"/>
          <w:sz w:val="21"/>
          <w:szCs w:val="21"/>
        </w:rPr>
        <w:t xml:space="preserve">Digital antibiotic stewardship. Antibiotic stewardship programs — systems that optimise the use of antibiotics to minimise the development of resistance — are increasingly supported by digital tools. AI systems that analyse hospital electronic health records and microbiology laboratory data in real time can identify patients receiving antibiotic therapy that is broader-spectrum than required (given the known sensitivity of the infecting pathogen), recommend de-escalation to narrower agents, flag patients whose clinical response to current antibiotic therapy suggests treatment failure, and alert clinicians to patients with high-risk pathogens requiring infection control precautions. These stewardship AI systems are being developed and commercialised by companies including Infectious Mind, Treat Systems, and BioMérieux's MYLA platform.</w:t>
      </w:r>
    </w:p>
    <w:p>
      <w:pPr>
        <w:spacing w:after="120"/>
      </w:pPr>
      <w:r>
        <w:rPr>
          <w:i w:val="false"/>
          <w:iCs w:val="false"/>
          <w:color w:val="1C2333"/>
          <w:sz w:val="21"/>
          <w:szCs w:val="21"/>
        </w:rPr>
        <w:t xml:space="preserve">Genomic surveillance for AMR. Whole genome sequencing of clinical bacterial isolates — now feasible at a per-sample cost of under $100 — is enabling real-time genomic surveillance of antibiotic resistance patterns at local, national, and global levels. Platforms including Pathogenwatch (Wellcome Sanger Institute) and ResFinder aggregate and analyse pathogen whole genome sequences to track the emergence and spread of resistance genes, identify outbreak clusters, and predict the resistance phenotype of novel isolates from their genomic sequences. Pharmaceutical companies developing novel antibiotics use these surveillance platforms to understand the resistance landscape their products will face at launch and to design clinical development programs that enroll patients with the specific resistance mechanisms their product is designed to address.</w:t>
      </w:r>
    </w:p>
    <w:p>
      <w:pPr>
        <w:pStyle w:val="Heading2"/>
        <w:spacing w:after="120" w:before="240"/>
      </w:pPr>
      <w:r>
        <w:rPr>
          <w:b/>
          <w:bCs/>
          <w:color w:val="0D2B55"/>
        </w:rPr>
        <w:t xml:space="preserve">27.4 Digital Health Security: Cyber Threats to Public Health Infrastructure</w:t>
      </w:r>
    </w:p>
    <w:p>
      <w:pPr>
        <w:spacing w:after="120"/>
      </w:pPr>
      <w:r>
        <w:rPr>
          <w:i w:val="false"/>
          <w:iCs w:val="false"/>
          <w:color w:val="1C2333"/>
          <w:sz w:val="21"/>
          <w:szCs w:val="21"/>
        </w:rPr>
        <w:t xml:space="preserve">The cyber threat landscape for healthcare and pharmaceutical organisations has grown dramatically in severity and sophistication. Ransomware attacks on hospitals and pharmaceutical companies are now common, state-sponsored cyber espionage targeting pharmaceutical intellectual property and clinical trial data has been documented extensively, and the emergence of AI-powered cyberattacks is creating attack capabilities that outpace conventional defensive measures.</w:t>
      </w:r>
    </w:p>
    <w:p>
      <w:pPr>
        <w:spacing w:after="120"/>
      </w:pPr>
      <w:r>
        <w:rPr>
          <w:i w:val="false"/>
          <w:iCs w:val="false"/>
          <w:color w:val="1C2333"/>
          <w:sz w:val="21"/>
          <w:szCs w:val="21"/>
        </w:rPr>
        <w:t xml:space="preserve">Healthcare ransomware. Ransomware attacks on healthcare organisations — including pharmaceutical companies — have reached epidemic proportions. The 2020 attack on Universal Health Services (UHS), one of the largest US hospital chains, encrypted 400 hospitals' systems simultaneously, disrupting patient care for weeks. The 2017 NotPetya attack cost Merck an estimated $870 million, disrupting manufacturing operations globally for months. These are not isolated incidents: healthcare is now the most frequently attacked sector for ransomware, because the critical nature of healthcare operations creates maximum pressure to pay ransoms quickly.</w:t>
      </w:r>
    </w:p>
    <w:p>
      <w:pPr>
        <w:spacing w:after="120"/>
      </w:pPr>
      <w:r>
        <w:rPr>
          <w:i w:val="false"/>
          <w:iCs w:val="false"/>
          <w:color w:val="1C2333"/>
          <w:sz w:val="21"/>
          <w:szCs w:val="21"/>
        </w:rPr>
        <w:t xml:space="preserve">Pharmaceutical IP theft. State-sponsored cyber espionage targeting pharmaceutical intellectual property has been extensively documented. During the COVID-19 pandemic, the FBI and CISA issued multiple warnings about nation-state actors specifically targeting COVID-19 vaccine and therapeutic research. The UK's NCSC, the US CISA, and Canada's CSE jointly attributed COVID-19 research theft attempts to Russian intelligence services (APT29 / Cozy Bear) in 2020. Chinese state-sponsored actors have been consistently documented targeting pharmaceutical R&amp;D networks. The intellectual property at risk includes compound synthesis routes, clinical trial protocols and results, regulatory submissions, and manufacturing process know-how — all of which have multi-billion dollar commercial value.</w:t>
      </w:r>
    </w:p>
    <w:p>
      <w:pPr>
        <w:spacing w:after="120"/>
      </w:pPr>
      <w:r>
        <w:rPr>
          <w:i w:val="false"/>
          <w:iCs w:val="false"/>
          <w:color w:val="1C2333"/>
          <w:sz w:val="21"/>
          <w:szCs w:val="21"/>
        </w:rPr>
        <w:t xml:space="preserve">OT/ICS security. As pharmaceutical manufacturing networks become more digitally connected — with process analytical technology sensors, electronic batch record systems, and predictive maintenance platforms connecting operational technology (OT) networks to enterprise IT networks — the attack surface of pharmaceutical manufacturing expands dramatically. OT security requires different approaches from IT security: operational technology systems run 24/7 and cannot be patched or restarted on the same schedule as enterprise IT systems; many OT protocols were designed for reliability rather than security; and the consequences of a cyberattack on a manufacturing control system can include physical damage to equipment, contamination of product, and harm to operators.</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Has the organisation conducted a formal pandemic preparedness assessment — mapping the specific digital capabilities that would be needed to maintain essential pharmaceutical operations in a future pandemic scenario, and identifying the gaps that would require emergency response rather than planned capability? Does the pharmaceutical R&amp;D portfolio include programs in antimicrobial resistance and pandemic-risk pathogens, and is the clinical development infrastructure ready to execute emergency trials if needed? Has a comprehensive OT cybersecurity assessment been conducted across all manufacturing facilities, and is there an OT-specific incident response plan that has been rehearsed?</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27.1: Digital Pandemic Preparedness Framework</w:t>
      </w:r>
    </w:p>
    <w:p>
      <w:r>
        <w:br w:type="page"/>
      </w:r>
    </w:p>
    <w:p>
      <w:pPr>
        <w:pStyle w:val="Heading1"/>
        <w:spacing w:after="120" w:before="240"/>
      </w:pPr>
      <w:r>
        <w:rPr>
          <w:b/>
          <w:bCs/>
          <w:color w:val="0D2B55"/>
        </w:rPr>
        <w:t xml:space="preserve">Chapter 28: Pharma Talent — Digital Reskilling, Culture &amp; the Future Workforce</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Every capability described in this handbook — AI-driven drug discovery, digital manufacturing, omnichannel commercial, real-world evidence — requires people who can design it, build it, operate it, and continuously improve it. The single most important constraint on pharmaceutical digital transformation is not technology, not capital, and not regulatory permission. It is talent. This chapter examines the pharmaceutical digital talent landscape in depth: the roles that matter most, the skills that are scarcest, the strategies for attracting and retaining digital talent in a sector that competes for the same people as technology companies offering higher salaries and more exciting technology problems, and the cultural transformation agenda that determines whether digital tools deliver their promised value or gather dust in the organisation's digital graveyard.</w:t>
      </w:r>
    </w:p>
    <w:p>
      <w:pPr>
        <w:pStyle w:val="Heading2"/>
        <w:spacing w:after="120" w:before="240"/>
      </w:pPr>
      <w:r>
        <w:rPr>
          <w:b/>
          <w:bCs/>
          <w:color w:val="0D2B55"/>
        </w:rPr>
        <w:t xml:space="preserve">28.1 The Digital Talent Gap: Magnitude and Dimensions</w:t>
      </w:r>
    </w:p>
    <w:p>
      <w:pPr>
        <w:spacing w:after="120"/>
      </w:pPr>
      <w:r>
        <w:rPr>
          <w:i w:val="false"/>
          <w:iCs w:val="false"/>
          <w:color w:val="1C2333"/>
          <w:sz w:val="21"/>
          <w:szCs w:val="21"/>
        </w:rPr>
        <w:t xml:space="preserve">The gap between the digital talent that pharmaceutical transformation requires and the supply available in the labour market is large, growing, and will not close without deliberate intervention. Quantifying the gap precisely is difficult because the required skills are an unusual combination — the intersection of pharmaceutical domain expertise, data science or engineering capability, and the regulatory and compliance knowledge specific to the GxP environment — that has no large natural talent pool from which to hire.</w:t>
      </w:r>
    </w:p>
    <w:p>
      <w:pPr>
        <w:spacing w:after="120"/>
      </w:pPr>
      <w:r>
        <w:rPr>
          <w:i w:val="false"/>
          <w:iCs w:val="false"/>
          <w:color w:val="1C2333"/>
          <w:sz w:val="21"/>
          <w:szCs w:val="21"/>
        </w:rPr>
        <w:t xml:space="preserve">The T-shaped talent shortage. The digital roles that generate the most value in pharmaceutical settings are those that combine deep technical expertise (the vertical bar of the T) with genuine pharmaceutical domain knowledge (the horizontal bar). A data scientist who understands both machine learning methodology and the regulatory requirements for clinical trial data analysis is far more valuable — and far scarcer — than a data scientist who is technically excellent but lacks the pharmaceutical context to work independently in a clinical development setting.</w:t>
      </w:r>
    </w:p>
    <w:p>
      <w:pPr>
        <w:spacing w:after="120"/>
      </w:pPr>
      <w:r>
        <w:rPr>
          <w:i w:val="false"/>
          <w:iCs w:val="false"/>
          <w:color w:val="1C2333"/>
          <w:sz w:val="21"/>
          <w:szCs w:val="21"/>
        </w:rPr>
        <w:t xml:space="preserve">The scarcity of T-shaped pharmaceutical digital talent is reflected in compensation: Senior data scientists with pharmaceutical regulatory knowledge command salaries 20–30% higher than general data scientists with equivalent technical qualifications. Computational chemists who can operate in a GxP-validated laboratory environment are among the most sought-after professionals in the industry.</w:t>
      </w:r>
    </w:p>
    <w:p>
      <w:pPr>
        <w:spacing w:after="120"/>
      </w:pPr>
      <w:r>
        <w:rPr>
          <w:i w:val="false"/>
          <w:iCs w:val="false"/>
          <w:color w:val="1C2333"/>
          <w:sz w:val="21"/>
          <w:szCs w:val="21"/>
        </w:rPr>
        <w:t xml:space="preserve">The regulatory informatics gap. Regulatory informatics — the application of data science and information technology to pharmaceutical regulatory processes — is perhaps the most acutely undersupplied talent category in pharmaceutical digital transformation. The ideal regulatory informaticist combines knowledge of pharmaceutical regulatory science (understanding the ICH guidelines, the FDA and EMA requirements, the eCTD format) with data management and systems implementation skills (IDMP, RIM platform configuration, CDISC standards). This combination is rare because the career paths that produce it are long and fragmented: most regulatory scientists have never been trained in data management, and most data managers have no exposure to regulatory science.</w:t>
      </w:r>
    </w:p>
    <w:p>
      <w:pPr>
        <w:pStyle w:val="Heading2"/>
        <w:spacing w:after="120" w:before="240"/>
      </w:pPr>
      <w:r>
        <w:rPr>
          <w:b/>
          <w:bCs/>
          <w:color w:val="0D2B55"/>
        </w:rPr>
        <w:t xml:space="preserve">28.2 Sourcing Strategy: Build, Buy, Borrow, and Bot</w:t>
      </w:r>
    </w:p>
    <w:p>
      <w:pPr>
        <w:spacing w:after="120"/>
      </w:pPr>
      <w:r>
        <w:rPr>
          <w:i w:val="false"/>
          <w:iCs w:val="false"/>
          <w:color w:val="1C2333"/>
          <w:sz w:val="21"/>
          <w:szCs w:val="21"/>
        </w:rPr>
        <w:t xml:space="preserve">Pharmaceutical companies have four primary options for acquiring digital talent, each with different cost, speed, and quality profiles.</w:t>
      </w:r>
    </w:p>
    <w:p>
      <w:pPr>
        <w:spacing w:after="120"/>
      </w:pPr>
      <w:r>
        <w:rPr>
          <w:i w:val="false"/>
          <w:iCs w:val="false"/>
          <w:color w:val="1C2333"/>
          <w:sz w:val="21"/>
          <w:szCs w:val="21"/>
        </w:rPr>
        <w:t xml:space="preserve">Build: reskilling and upskilling. The most sustainable talent strategy for most pharmaceutical companies — particularly for mid-career professionals who have deep pharmaceutical domain expertise but limited digital skills — is structured reskilling. Pharmaceutical scientists who understand the biology of drug discovery but lack computational skills can be trained in Python programming, machine learning methodology, and data analysis tools in 12–18 months of intensive development. Quality professionals who understand GMP requirements can be trained in electronic quality management systems, data integrity principles, and quality analytics in 6–12 months. The investment in reskilling has a uniquely high return in pharmaceutical settings because the scarce ingredient — pharmaceutical domain knowledge accumulated over years — is already in place and cannot be acquired through hiring.</w:t>
      </w:r>
    </w:p>
    <w:p>
      <w:pPr>
        <w:spacing w:after="120"/>
      </w:pPr>
      <w:r>
        <w:rPr>
          <w:i w:val="false"/>
          <w:iCs w:val="false"/>
          <w:color w:val="1C2333"/>
          <w:sz w:val="21"/>
          <w:szCs w:val="21"/>
        </w:rPr>
        <w:t xml:space="preserve">Buy: external hiring. External hiring for digital roles is necessary for capabilities that cannot be developed internally within the required timeframe — particularly senior technical roles (Chief Data Scientist, Head of AI, Principal ML Engineer) where deep expertise is required immediately and cannot be grown quickly. The challenge is that pharmaceutical companies compete for this talent with technology companies that offer higher base salaries, more interesting problems, better technology stacks, and stronger cultures of technical excellence. Pharmaceutical companies can compete through differentiated value propositions: the unique intellectual challenge of working at the intersection of cutting-edge biology and advanced computing, the ability to contribute to products that save and improve lives, and increasingly — as digital programs mature — genuinely interesting technical problems at the frontier of AI.</w:t>
      </w:r>
    </w:p>
    <w:p>
      <w:pPr>
        <w:spacing w:after="120"/>
      </w:pPr>
      <w:r>
        <w:rPr>
          <w:i w:val="false"/>
          <w:iCs w:val="false"/>
          <w:color w:val="1C2333"/>
          <w:sz w:val="21"/>
          <w:szCs w:val="21"/>
        </w:rPr>
        <w:t xml:space="preserve">Borrow: partnerships and GCCs. Partnerships with technology companies, academic institutions, CROs, and AI-specialist firms provide access to digital talent that cannot be hired directly. The GCC model — establishing a dedicated capability centre in India that builds a permanent, institutional-knowledge-bearing team — is the most effective "borrow" strategy because it builds genuine organisational capability rather than just purchasing services. The distinction between a GCC and outsourcing is critical: a GCC team is an embedded part of the pharmaceutical company, working on the same problems with the same goals as the home-country team; outsourcing provides a service with outputs but no institutional learning.</w:t>
      </w:r>
    </w:p>
    <w:p>
      <w:pPr>
        <w:spacing w:after="120"/>
      </w:pPr>
      <w:r>
        <w:rPr>
          <w:i w:val="false"/>
          <w:iCs w:val="false"/>
          <w:color w:val="1C2333"/>
          <w:sz w:val="21"/>
          <w:szCs w:val="21"/>
        </w:rPr>
        <w:t xml:space="preserve">Bot: AI-augmented productivity. The fourth talent strategy is to increase the productivity of existing talent through AI tools — effectively creating the equivalent of additional team members through automation and AI assistance. Generative AI tools that accelerate document authoring, code generation, data analysis, and literature review enable existing pharmaceutical digital teams to produce more output with the same headcount. This is not a substitute for building genuine digital capability — a pharmaceutical company that relies entirely on AI to substitute for digital talent will lack the expertise to evaluate, govern, and improve the AI systems it deploys — but it is a meaningful lever for amplifying the impact of the talent the organisation has.</w:t>
      </w:r>
    </w:p>
    <w:p>
      <w:pPr>
        <w:pStyle w:val="Heading2"/>
        <w:spacing w:after="120" w:before="240"/>
      </w:pPr>
      <w:r>
        <w:rPr>
          <w:b/>
          <w:bCs/>
          <w:color w:val="0D2B55"/>
        </w:rPr>
        <w:t xml:space="preserve">28.3 The Digital Academy Model</w:t>
      </w:r>
    </w:p>
    <w:p>
      <w:pPr>
        <w:spacing w:after="120"/>
      </w:pPr>
      <w:r>
        <w:rPr>
          <w:i w:val="false"/>
          <w:iCs w:val="false"/>
          <w:color w:val="1C2333"/>
          <w:sz w:val="21"/>
          <w:szCs w:val="21"/>
        </w:rPr>
        <w:t xml:space="preserve">The most successful pharmaceutical digital transformation programs have established dedicated internal learning organisations — digital academies, digital universities, or similar — that provide structured, role-specific digital capability development at scale. These are not conventional training programs: they combine formal learning with hands-on project experience, mentoring, and community building.</w:t>
      </w:r>
    </w:p>
    <w:p>
      <w:pPr>
        <w:spacing w:after="120"/>
      </w:pPr>
      <w:r>
        <w:rPr>
          <w:i w:val="false"/>
          <w:iCs w:val="false"/>
          <w:color w:val="1C2333"/>
          <w:sz w:val="21"/>
          <w:szCs w:val="21"/>
        </w:rPr>
        <w:t xml:space="preserve">Novartis Digital Academy. Novartis's digital academy — one of the most mature and extensively documented in the pharmaceutical industry — provides a tiered curriculum from digital awareness (for all 100,000+ Novartis employees) through intermediate digital skills (for employees whose roles benefit from digital competency) to advanced technical training (for data scientists, engineers, and digital product managers). The academy uses a blended learning model combining online courses, workshop-based learning, hackathons, and project-based assignments. As of 2023, Novartis has provided digital training to 90%+ of its global workforce and created a community of 3,000+ digital experts.</w:t>
      </w:r>
    </w:p>
    <w:p>
      <w:pPr>
        <w:spacing w:after="120"/>
      </w:pPr>
      <w:r>
        <w:rPr>
          <w:i w:val="false"/>
          <w:iCs w:val="false"/>
          <w:color w:val="1C2333"/>
          <w:sz w:val="21"/>
          <w:szCs w:val="21"/>
        </w:rPr>
        <w:t xml:space="preserve">Role-specific learning paths. The most effective digital academies provide role-specific learning paths rather than generic digital training programs. A manufacturing quality engineer needs a different curriculum (data integrity, MES operations, PAT data analysis) than a commercial analytics manager (IQVIA data, NBA modelling, CRM analytics) or a regulatory scientist (IDMP, eCTD automation, RIM platform operation). Designing these role-specific paths requires detailed job family analysis and close collaboration between the digital academy and the business functions it serves.</w:t>
      </w:r>
    </w:p>
    <w:p>
      <w:pPr>
        <w:spacing w:after="120"/>
      </w:pPr>
      <w:r>
        <w:rPr>
          <w:i w:val="false"/>
          <w:iCs w:val="false"/>
          <w:color w:val="1C2333"/>
          <w:sz w:val="21"/>
          <w:szCs w:val="21"/>
        </w:rPr>
        <w:t xml:space="preserve">Hackathons as learning events. Internal hackathons — time-bounded innovation events in which multidisciplinary teams work together on specific business problems using digital tools — are among the most effective learning interventions in the pharmaceutical digital academy toolkit. They create a psychologically safe environment for experimentation, build cross-functional relationships that persist after the hackathon, expose participants to the real potential of digital tools in their specific domain, and frequently generate ideas for digital initiatives that can be developed into funded programs.</w:t>
      </w:r>
    </w:p>
    <w:p>
      <w:pPr>
        <w:pStyle w:val="Heading2"/>
        <w:spacing w:after="120" w:before="240"/>
      </w:pPr>
      <w:r>
        <w:rPr>
          <w:b/>
          <w:bCs/>
          <w:color w:val="0D2B55"/>
        </w:rPr>
        <w:t xml:space="preserve">28.4 Cultural Transformation: The Behavioural Change Agenda</w:t>
      </w:r>
    </w:p>
    <w:p>
      <w:pPr>
        <w:spacing w:after="120"/>
      </w:pPr>
      <w:r>
        <w:rPr>
          <w:i w:val="false"/>
          <w:iCs w:val="false"/>
          <w:color w:val="1C2333"/>
          <w:sz w:val="21"/>
          <w:szCs w:val="21"/>
        </w:rPr>
        <w:t xml:space="preserve">Building digital capability without changing organisational culture produces the most common failure mode in pharmaceutical digital transformation: sophisticated systems that nobody uses. Culture change is the complement of technology deployment — without it, technology investment has no return.</w:t>
      </w:r>
    </w:p>
    <w:p>
      <w:pPr>
        <w:spacing w:after="120"/>
      </w:pPr>
      <w:r>
        <w:rPr>
          <w:i w:val="false"/>
          <w:iCs w:val="false"/>
          <w:color w:val="1C2333"/>
          <w:sz w:val="21"/>
          <w:szCs w:val="21"/>
        </w:rPr>
        <w:t xml:space="preserve">Data-driven decision-making norms. The foundational cultural change that digital transformation requires is the normalisation of data-informed decision-making at all levels of the organisation. In many pharmaceutical companies, the dominant decision-making norm is expert opinion: the most experienced scientist's intuition about which compound to advance, the sales director's instinct about territory design, the manufacturing manager's judgment about process troubleshooting. Data and analytics are available but are used to confirm rather than inform decisions. Shifting this norm requires leadership modelling (executives who visibly and consistently demonstrate data-informed decision-making), incentive alignment (performance management systems that reward decisions made with data), and capability building (ensuring that people have the data literacy and tool access to be data-informed in their decisions).</w:t>
      </w:r>
    </w:p>
    <w:p>
      <w:pPr>
        <w:spacing w:after="120"/>
      </w:pPr>
      <w:r>
        <w:rPr>
          <w:i w:val="false"/>
          <w:iCs w:val="false"/>
          <w:color w:val="1C2333"/>
          <w:sz w:val="21"/>
          <w:szCs w:val="21"/>
        </w:rPr>
        <w:t xml:space="preserve">Failure culture and experimentation norms. Digital transformation requires experimentation — and experimentation means accepting that some initiatives will fail. Pharmaceutical organisations with strong quality and compliance cultures sometimes extend zero-tolerance for quality failure into zero-tolerance for organisational failure more broadly, creating an environment where digital experiments are never truly exploratory because failure is career-limiting. Creating the cultural permission to experiment and fail in non-GxP contexts is one of the most important cultural interventions that digital leaders can make. This requires explicit senior leadership messaging that failed digital experiments are learning investments, not indicators of poor judgment, and performance management systems that reward thoughtful experimentation rather than only rewarding success.</w:t>
      </w:r>
    </w:p>
    <w:p>
      <w:pPr>
        <w:pStyle w:val="Heading2"/>
        <w:spacing w:after="120" w:before="240"/>
      </w:pPr>
      <w:r>
        <w:rPr>
          <w:b/>
          <w:bCs/>
          <w:color w:val="0D2B55"/>
        </w:rPr>
        <w:t xml:space="preserve">28.5 The Future Pharmaceutical Workforce</w:t>
      </w:r>
    </w:p>
    <w:p>
      <w:pPr>
        <w:spacing w:after="120"/>
      </w:pPr>
      <w:r>
        <w:rPr>
          <w:i w:val="false"/>
          <w:iCs w:val="false"/>
          <w:color w:val="1C2333"/>
          <w:sz w:val="21"/>
          <w:szCs w:val="21"/>
        </w:rPr>
        <w:t xml:space="preserve">By 2030, the pharmaceutical workforce will look substantially different from today's. Several structural trends are reshaping who works in pharma, what they do, and where.</w:t>
      </w:r>
    </w:p>
    <w:p>
      <w:pPr>
        <w:spacing w:after="120"/>
      </w:pPr>
      <w:r>
        <w:rPr>
          <w:i w:val="false"/>
          <w:iCs w:val="false"/>
          <w:color w:val="1C2333"/>
          <w:sz w:val="21"/>
          <w:szCs w:val="21"/>
        </w:rPr>
        <w:t xml:space="preserve">AI-native workforce entry. The students entering pharmaceutical careers in 2030 will have grown up with AI tools. They will expect their workflows to be AI-augmented from day one, will be uncomfortable with manual processes that current employees accept as normal, and will carry strong intuitions about where AI can and cannot be trusted. Managing this generational shift — retaining the judgment and wisdom of experienced professionals while enabling the AI-native productivity of younger colleagues — will be a significant organisational challenge.</w:t>
      </w:r>
    </w:p>
    <w:p>
      <w:pPr>
        <w:spacing w:after="120"/>
      </w:pPr>
      <w:r>
        <w:rPr>
          <w:i w:val="false"/>
          <w:iCs w:val="false"/>
          <w:color w:val="1C2333"/>
          <w:sz w:val="21"/>
          <w:szCs w:val="21"/>
        </w:rPr>
        <w:t xml:space="preserve">Remote and distributed talent models. COVID-19 has permanently expanded the geographic availability of pharmaceutical digital talent. Teams that were previously concentrated in pharma clusters (Boston, San Francisco, Basel, London) now routinely include members working remotely from talent-rich but lower-cost locations. Managing distributed digital teams — maintaining collaboration quality, culture coherence, and institutional knowledge transfer across geographies and time zones — is a management discipline that pharmaceutical companies are developing at pace.</w:t>
      </w:r>
    </w:p>
    <w:p>
      <w:pPr>
        <w:spacing w:after="120"/>
      </w:pPr>
      <w:r>
        <w:rPr>
          <w:i w:val="false"/>
          <w:iCs w:val="false"/>
          <w:color w:val="1C2333"/>
          <w:sz w:val="21"/>
          <w:szCs w:val="21"/>
        </w:rPr>
        <w:t xml:space="preserve">The scientist-engineer hybrid. The pharmaceutical professional of 2030 who generates the most value will be a scientist-engineer hybrid — a computational biologist who writes production-quality code, or a medicinal chemist who can train and evaluate machine learning models. Building career paths that develop and reward this hybrid profile — rather than forcing T-shaped talent into either a "scientist" or "engineer" box — is one of the most important talent management challenges facing pharmaceutical human resources leadership.</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Has the organisation quantified its digital talent gap — the number and type of digital roles it needs to have in place by year 3 of the transformation, compared to the current baseline — and is there a funded plan to close that gap? What is the annual investment in digital capability development (including the digital academy, external training, conference attendance, and mentoring programs), and how does it compare to the capital investment in digital technology? Is there a meaningful digital talent retention strategy — beyond base compensation — that makes the organisation a compelling place for data scientists and AI engineers to build careers? Does the performance management system reward data-informed decision-making and experimentation with appropriate recognition?</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28.1: Pharmaceutical Digital Talent Pyramid</w:t>
      </w:r>
    </w:p>
    <w:p>
      <w:r>
        <w:br w:type="page"/>
      </w:r>
    </w:p>
    <w:p>
      <w:pPr>
        <w:pStyle w:val="Heading1"/>
        <w:spacing w:after="120" w:before="240"/>
      </w:pPr>
      <w:r>
        <w:rPr>
          <w:b/>
          <w:bCs/>
          <w:color w:val="0D2B55"/>
        </w:rPr>
        <w:t xml:space="preserve">Chapter 29: Digital Pharma Investment, Valuation &amp; M&amp;A Strategy</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Digital capability in pharmaceutical companies is increasingly reflected in valuation multiples, M&amp;A premiums, and investor expectations. Acquirers are paying significant premiums for pharmaceutical companies with strong digital assets — Roche's $1.9B acquisition of Flatiron Health, AstraZeneca's investment in AI discovery partnerships, and the extraordinary valuations commanded by AI-native drug discovery companies demonstrate that the market is pricing digital capability. For pharmaceutical boards, CFOs, and corporate development teams, this chapter provides the frameworks for evaluating digital capability in acquisition targets, assessing the digital value contribution of existing portfolio companies, and making the investment decisions that will build durable digital value over the next decade.</w:t>
      </w:r>
    </w:p>
    <w:p>
      <w:pPr>
        <w:pStyle w:val="Heading2"/>
        <w:spacing w:after="120" w:before="240"/>
      </w:pPr>
      <w:r>
        <w:rPr>
          <w:b/>
          <w:bCs/>
          <w:color w:val="0D2B55"/>
        </w:rPr>
        <w:t xml:space="preserve">29.1 How Digital Capability Drives Pharmaceutical Valuation</w:t>
      </w:r>
    </w:p>
    <w:p>
      <w:pPr>
        <w:spacing w:after="120"/>
      </w:pPr>
      <w:r>
        <w:rPr>
          <w:i w:val="false"/>
          <w:iCs w:val="false"/>
          <w:color w:val="1C2333"/>
          <w:sz w:val="21"/>
          <w:szCs w:val="21"/>
        </w:rPr>
        <w:t xml:space="preserve">The relationship between digital capability and pharmaceutical valuation operates through five distinct value creation mechanisms, each of which manifests in different financial metrics.</w:t>
      </w:r>
    </w:p>
    <w:p>
      <w:pPr>
        <w:spacing w:after="120"/>
      </w:pPr>
      <w:r>
        <w:rPr>
          <w:i w:val="false"/>
          <w:iCs w:val="false"/>
          <w:color w:val="1C2333"/>
          <w:sz w:val="21"/>
          <w:szCs w:val="21"/>
        </w:rPr>
        <w:t xml:space="preserve">Pipeline quality and probability of success. AI-assisted drug discovery programs, when validated, demonstrate higher rates of advancing to clinical development and — early evidence suggests — higher Phase II success rates than conventionally discovered programs. A pharmaceutical company whose pipeline was substantially AI-assisted should trade at a higher rNPV (risk-adjusted net present value) multiple than a comparably sized conventionally discovered pipeline, reflecting both the higher probability of success and the shorter expected time to market. Investors are beginning to incorporate AI discovery pedigree into their pipeline valuation models.</w:t>
      </w:r>
    </w:p>
    <w:p>
      <w:pPr>
        <w:spacing w:after="120"/>
      </w:pPr>
      <w:r>
        <w:rPr>
          <w:i w:val="false"/>
          <w:iCs w:val="false"/>
          <w:color w:val="1C2333"/>
          <w:sz w:val="21"/>
          <w:szCs w:val="21"/>
        </w:rPr>
        <w:t xml:space="preserve">Discovery speed and pipeline velocity. AI-accelerated discovery compresses the time between program initiation and clinical candidate nomination from 4–6 years to 12–24 months. This timeline compression has a direct and substantial impact on the discounted NPV of pipeline assets: every year of acceleration at a discount rate of 10% adds approximately 10% to the NPV of a program. A company that consistently generates clinical candidates in 18 months rather than 5 years is generating pipeline value at a rate that should be reflected in a premium valuation.</w:t>
      </w:r>
    </w:p>
    <w:p>
      <w:pPr>
        <w:spacing w:after="120"/>
      </w:pPr>
      <w:r>
        <w:rPr>
          <w:i w:val="false"/>
          <w:iCs w:val="false"/>
          <w:color w:val="1C2333"/>
          <w:sz w:val="21"/>
          <w:szCs w:val="21"/>
        </w:rPr>
        <w:t xml:space="preserve">Commercial efficiency and margin. Digital commercial capabilities — AI-driven targeting, omnichannel engagement, marketing automation, market access analytics — generate measurable improvements in promotional ROI, market share, and peak sales achievement. For mature, commercial-stage pharmaceutical companies, these capabilities contribute directly to revenue and margin improvement. Investors in specialty pharma and large-cap branded pharma are increasingly measuring digital commercial maturity as a performance predictor.</w:t>
      </w:r>
    </w:p>
    <w:p>
      <w:pPr>
        <w:spacing w:after="120"/>
      </w:pPr>
      <w:r>
        <w:rPr>
          <w:i w:val="false"/>
          <w:iCs w:val="false"/>
          <w:color w:val="1C2333"/>
          <w:sz w:val="21"/>
          <w:szCs w:val="21"/>
        </w:rPr>
        <w:t xml:space="preserve">Manufacturing cost of goods. Digital manufacturing capabilities — PAT-enabled real-time release, AI process optimisation, digital quality management — drive COGS reduction and quality improvement that translates directly into gross margin expansion. For generics manufacturers competing on cost, digital manufacturing capability is a direct competitive advantage. For biologics manufacturers, digital process optimisation is a primary lever for improving the economics of high-cost biologic drugs.</w:t>
      </w:r>
    </w:p>
    <w:p>
      <w:pPr>
        <w:spacing w:after="120"/>
      </w:pPr>
      <w:r>
        <w:rPr>
          <w:i w:val="false"/>
          <w:iCs w:val="false"/>
          <w:color w:val="1C2333"/>
          <w:sz w:val="21"/>
          <w:szCs w:val="21"/>
        </w:rPr>
        <w:t xml:space="preserve">Data assets and platform value. Proprietary data assets — a large clinical trial database, a comprehensive real-world evidence platform, a genomic biobank — have standalone value as strategic assets that can be monetised through partnerships, licensing, and regulatory submissions. Roche's valuation premium relative to its pipeline reflects in part the strategic value of the Flatiron oncology data platform and the Foundation Medicine genomic database — assets whose value compounds over time as more data accumulates and as additional regulatory and commercial applications are developed.</w:t>
      </w:r>
    </w:p>
    <w:p>
      <w:pPr>
        <w:pStyle w:val="Heading2"/>
        <w:spacing w:after="120" w:before="240"/>
      </w:pPr>
      <w:r>
        <w:rPr>
          <w:b/>
          <w:bCs/>
          <w:color w:val="0D2B55"/>
        </w:rPr>
        <w:t xml:space="preserve">29.2 M&amp;A Due Diligence: Assessing Digital Capability in Acquisition Targets</w:t>
      </w:r>
    </w:p>
    <w:p>
      <w:pPr>
        <w:spacing w:after="120"/>
      </w:pPr>
      <w:r>
        <w:rPr>
          <w:i w:val="false"/>
          <w:iCs w:val="false"/>
          <w:color w:val="1C2333"/>
          <w:sz w:val="21"/>
          <w:szCs w:val="21"/>
        </w:rPr>
        <w:t xml:space="preserve">Digital capability assessment has become an essential component of pharmaceutical M&amp;A due diligence. The following framework provides a structured approach to evaluating an acquisition target's digital maturity, the quality of its digital assets, and the integration risks associated with its technology landscape.</w:t>
      </w:r>
    </w:p>
    <w:p>
      <w:pPr>
        <w:spacing w:after="120"/>
      </w:pPr>
      <w:r>
        <w:rPr>
          <w:i w:val="false"/>
          <w:iCs w:val="false"/>
          <w:color w:val="1C2333"/>
          <w:sz w:val="21"/>
          <w:szCs w:val="21"/>
        </w:rPr>
        <w:t xml:space="preserve">PDMF assessment. The primary diagnostic tool for acquisition digital due diligence is the Pharma Digital Maturity Framework assessment described in Chapter 2. A structured PDMF assessment of the target — covering all seven dimensions — provides a comparable, evidence-based view of the target's digital maturity that can be benchmarked against the acquirer's own profile and against the industry. Targets with significantly lower digital maturity than the acquirer should be modelled with integration cost adjustments for the digital remediation work required post-acquisition.</w:t>
      </w:r>
    </w:p>
    <w:p>
      <w:pPr>
        <w:spacing w:after="120"/>
      </w:pPr>
      <w:r>
        <w:rPr>
          <w:i w:val="false"/>
          <w:iCs w:val="false"/>
          <w:color w:val="1C2333"/>
          <w:sz w:val="21"/>
          <w:szCs w:val="21"/>
        </w:rPr>
        <w:t xml:space="preserve">Data asset valuation. Where a target holds significant proprietary data assets — a clinical trial database, a patient registry, a pharmacogenomics cohort, a real-world evidence platform — these should be explicitly valued as part of the M&amp;A valuation. Data asset valuation methods include: comparable transaction analysis (what have similar data assets sold for in comparable transactions), income approach (the discounted cash flows from identifiable revenue streams that the data asset enables, including data licensing, RWE study contracts, and companion diagnostic development), and cost approach (the cost that would be required to recreate the data asset from scratch). The Roche acquisition of Flatiron Health for $1.9B can be interpreted as a premium for the unique, irreplaceable nature of Flatiron's longitudinal oncology database — an asset that would have taken a decade to recreate and would not have been accessible to Roche through any other means.</w:t>
      </w:r>
    </w:p>
    <w:p>
      <w:pPr>
        <w:spacing w:after="120"/>
      </w:pPr>
      <w:r>
        <w:rPr>
          <w:i w:val="false"/>
          <w:iCs w:val="false"/>
          <w:color w:val="1C2333"/>
          <w:sz w:val="21"/>
          <w:szCs w:val="21"/>
        </w:rPr>
        <w:t xml:space="preserve">Technology stack assessment. The target's technology landscape should be assessed for both quality and integration complexity. Key questions include: Does the target run on modern, cloud-native platforms or legacy on-premises systems that will require significant investment post-acquisition? Are the target's data systems compatible with the acquirer's enterprise data model? What is the estimated cost and timeline for technology integration? Are there proprietary systems that represent genuine competitive assets, or are all systems off-the-shelf implementations that the acquirer already has?</w:t>
      </w:r>
    </w:p>
    <w:p>
      <w:pPr>
        <w:spacing w:after="120"/>
      </w:pPr>
      <w:r>
        <w:rPr>
          <w:i w:val="false"/>
          <w:iCs w:val="false"/>
          <w:color w:val="1C2333"/>
          <w:sz w:val="21"/>
          <w:szCs w:val="21"/>
        </w:rPr>
        <w:t xml:space="preserve">Regulatory digital compliance. For manufacturing acquisitions, the digital compliance status of the target's quality systems is a significant risk factor. Targets with paper-based batch records, legacy LIMS systems, or documented data integrity observations from regulatory agencies require quantified remediation provisions in the deal model.</w:t>
      </w:r>
    </w:p>
    <w:p>
      <w:pPr>
        <w:pStyle w:val="Heading2"/>
        <w:spacing w:after="120" w:before="240"/>
      </w:pPr>
      <w:r>
        <w:rPr>
          <w:b/>
          <w:bCs/>
          <w:color w:val="0D2B55"/>
        </w:rPr>
        <w:t xml:space="preserve">29.3 Investment Frameworks for Internal Digital Programs</w:t>
      </w:r>
    </w:p>
    <w:p>
      <w:pPr>
        <w:spacing w:after="120"/>
      </w:pPr>
      <w:r>
        <w:rPr>
          <w:i w:val="false"/>
          <w:iCs w:val="false"/>
          <w:color w:val="1C2333"/>
          <w:sz w:val="21"/>
          <w:szCs w:val="21"/>
        </w:rPr>
        <w:t xml:space="preserve">The investment decision framework for internal digital transformation programs requires different approaches for different investment categories — foundational infrastructure, use-case-specific applications, and exploratory innovation.</w:t>
      </w:r>
    </w:p>
    <w:p>
      <w:pPr>
        <w:spacing w:after="120"/>
      </w:pPr>
      <w:r>
        <w:rPr>
          <w:i w:val="false"/>
          <w:iCs w:val="false"/>
          <w:color w:val="1C2333"/>
          <w:sz w:val="21"/>
          <w:szCs w:val="21"/>
        </w:rPr>
        <w:t xml:space="preserve">Foundational infrastructure investments. Investments in enterprise data platforms, cloud migration, ERP modernisation, and enterprise quality systems are enabling investments whose value is generated by the downstream capabilities they make possible rather than by direct revenue or cost impacts. These investments should be evaluated using a portfolio ROI framework: what is the total value created by the suite of downstream capabilities enabled by this infrastructure, discounted to the present and compared to the infrastructure investment cost? This evaluation requires explicit mapping of the downstream use cases that depend on the infrastructure, quantified value estimates for each use case, and probability weighting for the likelihood that each use case will be successfully deployed.</w:t>
      </w:r>
    </w:p>
    <w:p>
      <w:pPr>
        <w:spacing w:after="120"/>
      </w:pPr>
      <w:r>
        <w:rPr>
          <w:i w:val="false"/>
          <w:iCs w:val="false"/>
          <w:color w:val="1C2333"/>
          <w:sz w:val="21"/>
          <w:szCs w:val="21"/>
        </w:rPr>
        <w:t xml:space="preserve">Use-case applications. AI and analytics use cases — NBA models for commercial, batch failure prediction for manufacturing, patient identification tools for clinical recruitment — have identifiable, measurable value drivers that allow conventional business case analysis. The business case should specify: what is the baseline performance of the process without the AI tool, what improvement is expected from the tool (based on comparable deployments at other companies or from internal pilot results), and what is the financial value of that improvement? Use case business cases should be prepared with 12-month, 36-month, and 60-month value realisation horizons, recognising that adoption curves mean early-phase deployments rarely achieve full value immediately.</w:t>
      </w:r>
    </w:p>
    <w:p>
      <w:pPr>
        <w:spacing w:after="120"/>
      </w:pPr>
      <w:r>
        <w:rPr>
          <w:i w:val="false"/>
          <w:iCs w:val="false"/>
          <w:color w:val="1C2333"/>
          <w:sz w:val="21"/>
          <w:szCs w:val="21"/>
        </w:rPr>
        <w:t xml:space="preserve">Innovation portfolio management. Pharmaceutical digital innovation — exploring novel AI applications, experimenting with emerging technologies, testing new digital health business models — requires an innovation portfolio approach rather than individual business case justification. A small proportion of innovation investments should be funded as exploration options — time-limited, resource-constrained experiments that test specific hypotheses with defined go/no-go criteria. Most will fail, and that is expected; the portfolio approach ensures that the ensemble of innovation investments generates a return even when individual experiments do not succeed.</w:t>
      </w:r>
    </w:p>
    <w:p>
      <w:pPr>
        <w:pStyle w:val="Heading2"/>
        <w:spacing w:after="120" w:before="240"/>
      </w:pPr>
      <w:r>
        <w:rPr>
          <w:b/>
          <w:bCs/>
          <w:color w:val="0D2B55"/>
        </w:rPr>
        <w:t xml:space="preserve">29.4 Partnerships, Alliances, and the Digital Ecosystem</w:t>
      </w:r>
    </w:p>
    <w:p>
      <w:pPr>
        <w:spacing w:after="120"/>
      </w:pPr>
      <w:r>
        <w:rPr>
          <w:i w:val="false"/>
          <w:iCs w:val="false"/>
          <w:color w:val="1C2333"/>
          <w:sz w:val="21"/>
          <w:szCs w:val="21"/>
        </w:rPr>
        <w:t xml:space="preserve">No pharmaceutical company can build all the digital capabilities it needs internally. The ecosystem of partnerships — with AI drug discovery companies, digital health platform providers, data companies, academic research centres, and technology partners — is a strategic asset that must be actively managed.</w:t>
      </w:r>
    </w:p>
    <w:p>
      <w:pPr>
        <w:spacing w:after="120"/>
      </w:pPr>
      <w:r>
        <w:rPr>
          <w:i w:val="false"/>
          <w:iCs w:val="false"/>
          <w:color w:val="1C2333"/>
          <w:sz w:val="21"/>
          <w:szCs w:val="21"/>
        </w:rPr>
        <w:t xml:space="preserve">AI drug discovery partnerships. The dominant model for major pharmaceutical companies accessing cutting-edge AI drug discovery capabilities is partnership rather than build or buy — reflecting the reality that the most capable AI drug discovery platforms (Recursion — which absorbed Exscientia in 2024 — Insilico, Schrödinger, Isomorphic Labs) have accumulated expertise, proprietary data, and technical capability that cannot be replicated internally in a reasonable timeframe. Partnership structures typically involve target-sharing arrangements (the AI company identifies targets using its platform; the pharmaceutical company provides biology expertise and clinical development capability), compound licensing (the AI company designs compounds; the pharmaceutical company licenses them for clinical development), or full collaboration (both parties contribute expertise and share value through milestones and royalties).</w:t>
      </w:r>
    </w:p>
    <w:p>
      <w:pPr>
        <w:spacing w:after="120"/>
      </w:pPr>
      <w:r>
        <w:rPr>
          <w:i w:val="false"/>
          <w:iCs w:val="false"/>
          <w:color w:val="1C2333"/>
          <w:sz w:val="21"/>
          <w:szCs w:val="21"/>
        </w:rPr>
        <w:t xml:space="preserve">Digital health platform investments. Corporate venture capital investment in digital health companies — through the company's own CVC fund or through co-investment with specialist VC firms — provides early access to emerging technologies and potential acquisition options that are not available through licensing alone. The most strategically aligned pharmaceutical CVC programs focus on companies in adjacent digital health markets (digital therapeutics, connected devices, clinical trial technology, RWE platforms) where strategic alignment between the digital health startup and the pharmaceutical company is clear.</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Does the board receive regular reporting on the digital maturity of the organisation's major acquisition targets and strategic partners, alongside conventional financial and pipeline metrics? Is there a quantified estimate of the digital value component of the organisation's own market capitalisation — and how does this compare to the estimated value of digital assets at leading-edge peers? Has the investment committee established a framework for evaluating digital transformation business cases that is consistent, transparent, and comparable across investment categories? What is the total five-year digital investment roadmap for the organisation, and has the board explicitly approved this as a strategic allocation of capital?</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29.1: Digital Investment Value Creation — Five Mechanisms</w:t>
      </w:r>
    </w:p>
    <w:p>
      <w:pPr>
        <w:spacing w:after="120"/>
      </w:pPr>
      <w:r>
        <w:rPr>
          <w:color w:val="1C2333"/>
          <w:sz w:val="21"/>
          <w:szCs w:val="21"/>
        </w:rPr>
        <w:t xml:space="preserve">APPENDIX</w:t>
      </w:r>
    </w:p>
    <w:p>
      <w:pPr>
        <w:spacing w:after="120"/>
      </w:pPr>
      <w:r>
        <w:rPr>
          <w:color w:val="1C2333"/>
          <w:sz w:val="21"/>
          <w:szCs w:val="21"/>
        </w:rPr>
        <w:t xml:space="preserve">PART IX — THE 2030 PLAYBOOK</w:t>
      </w:r>
    </w:p>
    <w:p>
      <w:r>
        <w:br w:type="page"/>
      </w:r>
    </w:p>
    <w:p>
      <w:pPr>
        <w:pStyle w:val="Heading1"/>
        <w:spacing w:after="120" w:before="240"/>
      </w:pPr>
      <w:r>
        <w:rPr>
          <w:b/>
          <w:bCs/>
          <w:color w:val="0D2B55"/>
        </w:rPr>
        <w:t xml:space="preserve">Chapter 30: The 2030 Integrated Implementation Playbook</w:t>
      </w:r>
    </w:p>
    <w:p>
      <w:pPr>
        <w:pBdr>
          <w:left w:val="single" w:color="C9A84C" w:sz="18" w:space="8"/>
        </w:pBdr>
        <w:shd w:fill="FBF6E9" w:color="auto" w:val="clear"/>
        <w:spacing w:after="120"/>
        <w:ind w:left="240"/>
      </w:pPr>
      <w:r>
        <w:rPr>
          <w:i/>
          <w:iCs/>
          <w:color w:val="1C2333"/>
          <w:sz w:val="21"/>
          <w:szCs w:val="21"/>
        </w:rPr>
        <w:t xml:space="preserve">EXECUTIVE SUMMARY</w:t>
      </w:r>
    </w:p>
    <w:p>
      <w:pPr>
        <w:pBdr>
          <w:left w:val="single" w:color="C9A84C" w:sz="18" w:space="8"/>
        </w:pBdr>
        <w:shd w:fill="FBF6E9" w:color="auto" w:val="clear"/>
        <w:spacing w:after="120"/>
        <w:ind w:left="240"/>
      </w:pPr>
      <w:r>
        <w:rPr>
          <w:i/>
          <w:iCs/>
          <w:color w:val="1C2333"/>
          <w:sz w:val="21"/>
          <w:szCs w:val="21"/>
        </w:rPr>
        <w:t xml:space="preserve">This final chapter synthesises the handbook's 29 preceding chapters into a coherent, actionable implementation playbook — the integrated set of decisions, sequencing choices, governance actions, investment allocations, and cultural interventions that will, executed together, build a digitally transformed pharmaceutical enterprise by 2030. It is written for the executive team member, the board director, or the transformation leader who has read the handbook and is now asking: where do I start, what do I do next year, and how do I know if it is working? The answer is always specific to the organisation's current situation, competitive context, and strategic priorities — but the framework presented here is designed to be adapted to that specificity rather than applied mechanically.</w:t>
      </w:r>
    </w:p>
    <w:p>
      <w:pPr>
        <w:pStyle w:val="Heading2"/>
        <w:spacing w:after="120" w:before="240"/>
      </w:pPr>
      <w:r>
        <w:rPr>
          <w:b/>
          <w:bCs/>
          <w:color w:val="0D2B55"/>
        </w:rPr>
        <w:t xml:space="preserve">30.1 Diagnosis Before Prescription: Knowing Where You Are</w:t>
      </w:r>
    </w:p>
    <w:p>
      <w:pPr>
        <w:spacing w:after="120"/>
      </w:pPr>
      <w:r>
        <w:rPr>
          <w:i w:val="false"/>
          <w:iCs w:val="false"/>
          <w:color w:val="1C2333"/>
          <w:sz w:val="21"/>
          <w:szCs w:val="21"/>
        </w:rPr>
        <w:t xml:space="preserve">No implementation plan is worth executing without an honest, rigorous understanding of the organisation's current digital maturity. The most common error in pharmaceutical digital transformation is designing an ambitious digital future state and working backward to an implementation plan, without adequately characterising the starting point. The result is a transformation agenda that assumes capabilities the organisation does not have, underestimates the investment required to build foundational infrastructure, and generates frustration when advanced analytics programs cannot deliver results because the data quality and integration prerequisites are not in place.</w:t>
      </w:r>
    </w:p>
    <w:p>
      <w:pPr>
        <w:spacing w:after="120"/>
      </w:pPr>
      <w:r>
        <w:rPr>
          <w:i w:val="false"/>
          <w:iCs w:val="false"/>
          <w:color w:val="1C2333"/>
          <w:sz w:val="21"/>
          <w:szCs w:val="21"/>
        </w:rPr>
        <w:t xml:space="preserve">The honest PDMF assessment. The starting point for the 2030 playbook is a rigorous PDMF assessment conducted as described in Chapter 2: structured interviews with key informants, system inventory review, evidence scoring against observable criteria, and calibration against published industry benchmarks. The assessment should be conducted by a team with no personal stake in the outcome — either by external consultants or by an internal team specifically constituted to be independent of the programs being assessed. The output should be a radar chart showing the organisation's current score on each of the seven PDMF dimensions, with the industry average and the leading-practice benchmark for each dimension for comparison.</w:t>
      </w:r>
    </w:p>
    <w:p>
      <w:pPr>
        <w:spacing w:after="120"/>
      </w:pPr>
      <w:r>
        <w:rPr>
          <w:i w:val="false"/>
          <w:iCs w:val="false"/>
          <w:color w:val="1C2333"/>
          <w:sz w:val="21"/>
          <w:szCs w:val="21"/>
        </w:rPr>
        <w:t xml:space="preserve">Gap analysis and prioritisation. The gap between current state and the target state required for competitive advantage — typically PDMF Level 3–4 across all dimensions by 2027–2028 — should be decomposed into dimension-level gaps that can be assigned to specific investment programs. Not all gaps are equally important: a company whose primary competitive challenge is manufacturing quality compliance needs to prioritise Data Infrastructure, Digital Operations/GxP, and Workforce dimensions more urgently than a company whose primary challenge is commercial competitiveness in a crowded specialty market.</w:t>
      </w:r>
    </w:p>
    <w:p>
      <w:pPr>
        <w:pStyle w:val="Heading2"/>
        <w:spacing w:after="120" w:before="240"/>
      </w:pPr>
      <w:r>
        <w:rPr>
          <w:b/>
          <w:bCs/>
          <w:color w:val="0D2B55"/>
        </w:rPr>
        <w:t xml:space="preserve">30.2 The Year-by-Year Implementation Agenda</w:t>
      </w:r>
    </w:p>
    <w:p>
      <w:pPr>
        <w:spacing w:after="120"/>
      </w:pPr>
      <w:r>
        <w:rPr>
          <w:i w:val="false"/>
          <w:iCs w:val="false"/>
          <w:color w:val="1C2333"/>
          <w:sz w:val="21"/>
          <w:szCs w:val="21"/>
        </w:rPr>
        <w:t xml:space="preserve">The three-horizon roadmap described in Chapter 13 provides the strategic framework; this section provides the year-by-year agenda that makes it operational.</w:t>
      </w:r>
    </w:p>
    <w:p>
      <w:pPr>
        <w:spacing w:after="120"/>
      </w:pPr>
      <w:r>
        <w:rPr>
          <w:i w:val="false"/>
          <w:iCs w:val="false"/>
          <w:color w:val="1C2333"/>
          <w:sz w:val="21"/>
          <w:szCs w:val="21"/>
        </w:rPr>
        <w:t xml:space="preserve">Year 1 priorities — Foundation setting. The first year of the transformation is about building the organisational and technical foundations without which nothing else will work. Three things must happen in Year 1 regardless of the organisation's specific context.</w:t>
      </w:r>
    </w:p>
    <w:p>
      <w:pPr>
        <w:spacing w:after="120"/>
      </w:pPr>
      <w:r>
        <w:rPr>
          <w:i w:val="false"/>
          <w:iCs w:val="false"/>
          <w:color w:val="1C2333"/>
          <w:sz w:val="21"/>
          <w:szCs w:val="21"/>
        </w:rPr>
        <w:t xml:space="preserve">First, governance must be established: a CDO with Executive Committee membership and clear authority, a Digital Leadership Council that meets monthly and owns the transformation agenda, and a Digital Transformation Office with a capable team and a funded program portfolio. Without governance, digital initiatives will fragment and stall.</w:t>
      </w:r>
    </w:p>
    <w:p>
      <w:pPr>
        <w:spacing w:after="120"/>
      </w:pPr>
      <w:r>
        <w:rPr>
          <w:i w:val="false"/>
          <w:iCs w:val="false"/>
          <w:color w:val="1C2333"/>
          <w:sz w:val="21"/>
          <w:szCs w:val="21"/>
        </w:rPr>
        <w:t xml:space="preserve">Second, data infrastructure work must begin: a cloud data platform that provides a unified, accessible foundation for analytics must be initiated even if it will not be complete for 18–24 months. Waiting for a perfect data platform before starting analytics programs is the wrong sequencing; starting analytics programs on a data platform that is not yet mature will generate low-quality results that undermine confidence in the digital program. The right balance is to start the data platform early and sequence analytics programs to use the data that is available, improving as the platform matures.</w:t>
      </w:r>
    </w:p>
    <w:p>
      <w:pPr>
        <w:spacing w:after="120"/>
      </w:pPr>
      <w:r>
        <w:rPr>
          <w:i w:val="false"/>
          <w:iCs w:val="false"/>
          <w:color w:val="1C2333"/>
          <w:sz w:val="21"/>
          <w:szCs w:val="21"/>
        </w:rPr>
        <w:t xml:space="preserve">Third, the digital talent strategy must be activated: the digital academy launched, key senior technical hires initiated (recognising that these will take 6–12 months to complete), and the GCC strategy decided and, if appropriate, initiated. Talent is the longest lead-time item in the transformation — organisations that do not start building digital talent in Year 1 will not have the capability they need by Year 3.</w:t>
      </w:r>
    </w:p>
    <w:p>
      <w:pPr>
        <w:spacing w:after="120"/>
      </w:pPr>
      <w:r>
        <w:rPr>
          <w:i w:val="false"/>
          <w:iCs w:val="false"/>
          <w:color w:val="1C2333"/>
          <w:sz w:val="21"/>
          <w:szCs w:val="21"/>
        </w:rPr>
        <w:t xml:space="preserve">Year 2 priorities — First value wave. Year 2 should generate the first measurable business value from digital investment — visible enough to sustain organisational commitment and sufficient to justify the Year 3 investment.</w:t>
      </w:r>
    </w:p>
    <w:p>
      <w:pPr>
        <w:spacing w:after="120"/>
      </w:pPr>
      <w:r>
        <w:rPr>
          <w:i w:val="false"/>
          <w:iCs w:val="false"/>
          <w:color w:val="1C2333"/>
          <w:sz w:val="21"/>
          <w:szCs w:val="21"/>
        </w:rPr>
        <w:t xml:space="preserve">The manufacturing domain should have electronic batch records in deployment at at least one major facility, with measurable improvements in batch release cycle time and deviation management. The commercial domain should have NBA analytics in production deployment in at least one major market, with measured impact on field force productivity. The clinical domain should have integrated central monitoring in place for active late-phase trials, with demonstrable improvement in data quality and monitoring cost efficiency.</w:t>
      </w:r>
    </w:p>
    <w:p>
      <w:pPr>
        <w:spacing w:after="120"/>
      </w:pPr>
      <w:r>
        <w:rPr>
          <w:i w:val="false"/>
          <w:iCs w:val="false"/>
          <w:color w:val="1C2333"/>
          <w:sz w:val="21"/>
          <w:szCs w:val="21"/>
        </w:rPr>
        <w:t xml:space="preserve">Year 3 priorities — Acceleration and scaling. Year 3 is when the transformation should shift from isolated wins to enterprise scale. The foundational data infrastructure built in Year 1 should now be supporting multiple analytics programs simultaneously. The governance structures established in Year 1 should be mature enough to manage a portfolio of 30–50 simultaneous digital initiatives without losing strategic coherence.</w:t>
      </w:r>
    </w:p>
    <w:p>
      <w:pPr>
        <w:spacing w:after="120"/>
      </w:pPr>
      <w:r>
        <w:rPr>
          <w:i w:val="false"/>
          <w:iCs w:val="false"/>
          <w:color w:val="1C2333"/>
          <w:sz w:val="21"/>
          <w:szCs w:val="21"/>
        </w:rPr>
        <w:t xml:space="preserve">By end of Year 3, the organisation should be able to claim PDMF Level 3 across all dimensions as a minimum — and Level 4 in the dimensions most critical to its competitive strategy.</w:t>
      </w:r>
    </w:p>
    <w:p>
      <w:pPr>
        <w:pStyle w:val="Heading2"/>
        <w:spacing w:after="120" w:before="240"/>
      </w:pPr>
      <w:r>
        <w:rPr>
          <w:b/>
          <w:bCs/>
          <w:color w:val="0D2B55"/>
        </w:rPr>
        <w:t xml:space="preserve">30.3 The 10 Non-Negotiables</w:t>
      </w:r>
    </w:p>
    <w:p>
      <w:pPr>
        <w:spacing w:after="120"/>
      </w:pPr>
      <w:r>
        <w:rPr>
          <w:i w:val="false"/>
          <w:iCs w:val="false"/>
          <w:color w:val="1C2333"/>
          <w:sz w:val="21"/>
          <w:szCs w:val="21"/>
        </w:rPr>
        <w:t xml:space="preserve">Across hundreds of pharmaceutical digital transformation case studies, assessment data, and published research, 10 factors emerge consistently as the difference between programs that deliver transformative value and programs that deliver incremental improvement. These are the non-negotiables — the conditions that must be present for a pharmaceutical digital transformation to succeed.</w:t>
      </w:r>
    </w:p>
    <w:p>
      <w:pPr>
        <w:spacing w:after="120"/>
      </w:pPr>
      <w:r>
        <w:rPr>
          <w:i w:val="false"/>
          <w:iCs w:val="false"/>
          <w:color w:val="1C2333"/>
          <w:sz w:val="21"/>
          <w:szCs w:val="21"/>
        </w:rPr>
        <w:t xml:space="preserve">1. CEO sponsorship that is active, not nominal. The CEO must visibly and consistently model digital behaviour — using data in their own decision-making, publicly praising digital wins, personally removing cultural barriers to change — not just announce support for the transformation and delegate.</w:t>
      </w:r>
    </w:p>
    <w:p>
      <w:pPr>
        <w:spacing w:after="120"/>
      </w:pPr>
      <w:r>
        <w:rPr>
          <w:i w:val="false"/>
          <w:iCs w:val="false"/>
          <w:color w:val="1C2333"/>
          <w:sz w:val="21"/>
          <w:szCs w:val="21"/>
        </w:rPr>
        <w:t xml:space="preserve">2. Data quality before data analytics. The temptation to launch AI programs before the data foundation is clean is one of the most seductive and most destructive errors in digital transformation. Garbage in, garbage out. Data quality must be treated as a prerequisite, not a parallel workstream.</w:t>
      </w:r>
    </w:p>
    <w:p>
      <w:pPr>
        <w:spacing w:after="120"/>
      </w:pPr>
      <w:r>
        <w:rPr>
          <w:i w:val="false"/>
          <w:iCs w:val="false"/>
          <w:color w:val="1C2333"/>
          <w:sz w:val="21"/>
          <w:szCs w:val="21"/>
        </w:rPr>
        <w:t xml:space="preserve">3. GxP compliance integrated from the start. In pharmaceutical organisations, treating digital programs as business initiatives that "hand off" to Quality for validation at the end is a guarantee of expensive redesign and delay. GxP compliance must be a design parameter, not an afterthought.</w:t>
      </w:r>
    </w:p>
    <w:p>
      <w:pPr>
        <w:spacing w:after="120"/>
      </w:pPr>
      <w:r>
        <w:rPr>
          <w:i w:val="false"/>
          <w:iCs w:val="false"/>
          <w:color w:val="1C2333"/>
          <w:sz w:val="21"/>
          <w:szCs w:val="21"/>
        </w:rPr>
        <w:t xml:space="preserve">4. Business ownership of digital products. Every digital product must have a business owner — a functional leader who is personally accountable for its adoption and impact, not just a project manager who is accountable for its technical delivery. Without business ownership, no digital product achieves its value potential.</w:t>
      </w:r>
    </w:p>
    <w:p>
      <w:pPr>
        <w:spacing w:after="120"/>
      </w:pPr>
      <w:r>
        <w:rPr>
          <w:i w:val="false"/>
          <w:iCs w:val="false"/>
          <w:color w:val="1C2333"/>
          <w:sz w:val="21"/>
          <w:szCs w:val="21"/>
        </w:rPr>
        <w:t xml:space="preserve">5. Outcome measurement from day one. The business case for every significant digital investment must specify exactly what outcomes will be measured, how they will be measured, and by when they should be visible. Post-implementation measurement is not optional.</w:t>
      </w:r>
    </w:p>
    <w:p>
      <w:pPr>
        <w:spacing w:after="120"/>
      </w:pPr>
      <w:r>
        <w:rPr>
          <w:i w:val="false"/>
          <w:iCs w:val="false"/>
          <w:color w:val="1C2333"/>
          <w:sz w:val="21"/>
          <w:szCs w:val="21"/>
        </w:rPr>
        <w:t xml:space="preserve">6. Change management funded at 20–30% of total program budget. The ratio of change management investment to technology investment is one of the strongest predictors of digital program success. Programs that allocate less than 15% of total budget to change management consistently underperform on adoption.</w:t>
      </w:r>
    </w:p>
    <w:p>
      <w:pPr>
        <w:spacing w:after="120"/>
      </w:pPr>
      <w:r>
        <w:rPr>
          <w:i w:val="false"/>
          <w:iCs w:val="false"/>
          <w:color w:val="1C2333"/>
          <w:sz w:val="21"/>
          <w:szCs w:val="21"/>
        </w:rPr>
        <w:t xml:space="preserve">7. A talent strategy, not just a hiring plan. Building digital capability requires a multi-year talent strategy encompassing reskilling, GCC development, academic partnerships, and cultural change — not just posting job descriptions and waiting for applicants.</w:t>
      </w:r>
    </w:p>
    <w:p>
      <w:pPr>
        <w:spacing w:after="120"/>
      </w:pPr>
      <w:r>
        <w:rPr>
          <w:i w:val="false"/>
          <w:iCs w:val="false"/>
          <w:color w:val="1C2333"/>
          <w:sz w:val="21"/>
          <w:szCs w:val="21"/>
        </w:rPr>
        <w:t xml:space="preserve">8. Architecture standards that prevent fragmentation. Every digital initiative added to the portfolio without conforming to enterprise architecture standards adds to the integration debt that will eventually bring transformation programs to a halt. Architecture governance is not bureaucracy — it is the infrastructure for sustainable digital scale.</w:t>
      </w:r>
    </w:p>
    <w:p>
      <w:pPr>
        <w:spacing w:after="120"/>
      </w:pPr>
      <w:r>
        <w:rPr>
          <w:i w:val="false"/>
          <w:iCs w:val="false"/>
          <w:color w:val="1C2333"/>
          <w:sz w:val="21"/>
          <w:szCs w:val="21"/>
        </w:rPr>
        <w:t xml:space="preserve">9. Realistic timelines. Enterprise digital transformation takes 5–7 years, not 18 months. Programs designed and resourced for 18-month transformation consistently disappoint; programs designed and resourced for 5-year transformation consistently surprise on the upside by generating early value while building durable capability.</w:t>
      </w:r>
    </w:p>
    <w:p>
      <w:pPr>
        <w:spacing w:after="120"/>
      </w:pPr>
      <w:r>
        <w:rPr>
          <w:i w:val="false"/>
          <w:iCs w:val="false"/>
          <w:color w:val="1C2333"/>
          <w:sz w:val="21"/>
          <w:szCs w:val="21"/>
        </w:rPr>
        <w:t xml:space="preserve">10. Learning and adaptation as a designed practice. The organisation must build the habit of systematic learning from both successes and failures in the transformation portfolio — reviewing outcomes honestly, updating the strategy in response to evidence, and rewarding learning as well as success.</w:t>
      </w:r>
    </w:p>
    <w:p>
      <w:pPr>
        <w:pStyle w:val="Heading2"/>
        <w:spacing w:after="120" w:before="240"/>
      </w:pPr>
      <w:r>
        <w:rPr>
          <w:b/>
          <w:bCs/>
          <w:color w:val="0D2B55"/>
        </w:rPr>
        <w:t xml:space="preserve">30.4 The 2030 Pharma Enterprise: A Vision to Work Toward</w:t>
      </w:r>
    </w:p>
    <w:p>
      <w:pPr>
        <w:spacing w:after="120"/>
      </w:pPr>
      <w:r>
        <w:rPr>
          <w:i w:val="false"/>
          <w:iCs w:val="false"/>
          <w:color w:val="1C2333"/>
          <w:sz w:val="21"/>
          <w:szCs w:val="21"/>
        </w:rPr>
        <w:t xml:space="preserve">The organisation that has successfully executed its digital transformation by 2030 will be unrecognisable compared to its 2024 counterpart in several important ways.</w:t>
      </w:r>
    </w:p>
    <w:p>
      <w:pPr>
        <w:spacing w:after="120"/>
      </w:pPr>
      <w:r>
        <w:rPr>
          <w:i w:val="false"/>
          <w:iCs w:val="false"/>
          <w:color w:val="1C2333"/>
          <w:sz w:val="21"/>
          <w:szCs w:val="21"/>
        </w:rPr>
        <w:t xml:space="preserve">Discovery is AI-first. The majority of molecules advancing into clinical development have been identified, designed, or optimised through AI tools. The discovery cycle has compressed from 5 years to 18–24 months. The quality of clinical candidates — measured by Phase II success rates — has improved materially. Human scientific creativity is amplified rather than replaced: scientists generate more and better hypotheses faster, test them more efficiently, and progress the most promising with greater confidence.</w:t>
      </w:r>
    </w:p>
    <w:p>
      <w:pPr>
        <w:spacing w:after="120"/>
      </w:pPr>
      <w:r>
        <w:rPr>
          <w:i w:val="false"/>
          <w:iCs w:val="false"/>
          <w:color w:val="1C2333"/>
          <w:sz w:val="21"/>
          <w:szCs w:val="21"/>
        </w:rPr>
        <w:t xml:space="preserve">Clinical development is continuous and patient-centric. Trials are designed through simulation, enrolled through digital patient identification, monitored through real-time risk analytics, and powered by wearable-generated digital endpoints. Decentralised designs are the norm, not the exception. Protocol deviations are detected in hours rather than weeks. The organisation generates clinical evidence continuously — not in discrete trial cycles separated by years of analysis and submission.</w:t>
      </w:r>
    </w:p>
    <w:p>
      <w:pPr>
        <w:spacing w:after="120"/>
      </w:pPr>
      <w:r>
        <w:rPr>
          <w:i w:val="false"/>
          <w:iCs w:val="false"/>
          <w:color w:val="1C2333"/>
          <w:sz w:val="21"/>
          <w:szCs w:val="21"/>
        </w:rPr>
        <w:t xml:space="preserve">Manufacturing is self-optimising. Plants run on digital twins. PAT sensors ensure every batch is monitored continuously. Deviations are detected before they affect product quality. Batch release happens in hours, not weeks. Supply chains sense demand shifts and adjust production plans automatically. The cost of goods has fallen by 20–30% and right-first-time rates exceed 98%.</w:t>
      </w:r>
    </w:p>
    <w:p>
      <w:pPr>
        <w:spacing w:after="120"/>
      </w:pPr>
      <w:r>
        <w:rPr>
          <w:i w:val="false"/>
          <w:iCs w:val="false"/>
          <w:color w:val="1C2333"/>
          <w:sz w:val="21"/>
          <w:szCs w:val="21"/>
        </w:rPr>
        <w:t xml:space="preserve">Commercial is outcome-oriented. Revenue is increasingly generated through outcome-based contracts — payments linked to the health outcomes that products deliver in real patients, tracked through digital health data. The commercial organisation is smaller, more analytically sophisticated, and more focused on demonstrating value than maximising prescriptions.</w:t>
      </w:r>
    </w:p>
    <w:p>
      <w:pPr>
        <w:spacing w:after="120"/>
      </w:pPr>
      <w:r>
        <w:rPr>
          <w:i w:val="false"/>
          <w:iCs w:val="false"/>
          <w:color w:val="1C2333"/>
          <w:sz w:val="21"/>
          <w:szCs w:val="21"/>
        </w:rPr>
        <w:t xml:space="preserve">The patient relationship is continuous. Pharmaceutical companies maintain ongoing digital relationships with patients taking their therapies — through connected devices, digital therapeutics, and patient support platforms. These relationships generate real-world evidence, improve adherence, and create the feedback loops that drive continuous improvement in therapeutic outcomes.</w:t>
      </w:r>
    </w:p>
    <w:p>
      <w:pPr>
        <w:spacing w:after="120"/>
      </w:pPr>
      <w:r>
        <w:rPr>
          <w:i w:val="false"/>
          <w:iCs w:val="false"/>
          <w:color w:val="1C2333"/>
          <w:sz w:val="21"/>
          <w:szCs w:val="21"/>
        </w:rPr>
        <w:t xml:space="preserve">This is not a science fiction scenario. Every element of this vision is being implemented somewhere in the pharmaceutical industry today. The question is how quickly it becomes the norm, and which organisations will lead and which will follow.</w:t>
      </w:r>
    </w:p>
    <w:p>
      <w:pPr>
        <w:pStyle w:val="Heading2"/>
        <w:spacing w:after="120" w:before="240"/>
      </w:pPr>
      <w:r>
        <w:rPr>
          <w:b/>
          <w:bCs/>
          <w:color w:val="0D2B55"/>
        </w:rPr>
        <w:t xml:space="preserve">30.5 A Final Word: The Human Imperative</w:t>
      </w:r>
    </w:p>
    <w:p>
      <w:pPr>
        <w:spacing w:after="120"/>
      </w:pPr>
      <w:r>
        <w:rPr>
          <w:i w:val="false"/>
          <w:iCs w:val="false"/>
          <w:color w:val="1C2333"/>
          <w:sz w:val="21"/>
          <w:szCs w:val="21"/>
        </w:rPr>
        <w:t xml:space="preserve">This handbook has covered a vast landscape of technology, data, and digital capability. It would be easy to read it and conclude that digital transformation is primarily a technology problem — a matter of selecting the right platforms, deploying the right AI tools, and building the right data infrastructure.</w:t>
      </w:r>
    </w:p>
    <w:p>
      <w:pPr>
        <w:spacing w:after="120"/>
      </w:pPr>
      <w:r>
        <w:rPr>
          <w:i w:val="false"/>
          <w:iCs w:val="false"/>
          <w:color w:val="1C2333"/>
          <w:sz w:val="21"/>
          <w:szCs w:val="21"/>
        </w:rPr>
        <w:t xml:space="preserve">It is not. Digital transformation in pharma — as in every industry — is fundamentally a human undertaking. The technologies described here are available to every organisation. What is not uniformly available is the leadership commitment, the organisational culture, the talent depth, the change management capability, and the sustained strategic focus that translate technology potential into business reality.</w:t>
      </w:r>
    </w:p>
    <w:p>
      <w:pPr>
        <w:spacing w:after="120"/>
      </w:pPr>
      <w:r>
        <w:rPr>
          <w:i w:val="false"/>
          <w:iCs w:val="false"/>
          <w:color w:val="1C2333"/>
          <w:sz w:val="21"/>
          <w:szCs w:val="21"/>
        </w:rPr>
        <w:t xml:space="preserve">The patients who will benefit from the faster drug discovery, the safer manufacturing, the more personalised treatment, and the better-supported medication adherence that digital transformation enables — those patients cannot wait for organisational inertia to be overcome slowly. The competitive threat from AI-native biotechs and digitally sophisticated multinationals cannot be deferred by cautious investment.</w:t>
      </w:r>
    </w:p>
    <w:p>
      <w:pPr>
        <w:spacing w:after="120"/>
      </w:pPr>
      <w:r>
        <w:rPr>
          <w:i w:val="false"/>
          <w:iCs w:val="false"/>
          <w:color w:val="1C2333"/>
          <w:sz w:val="21"/>
          <w:szCs w:val="21"/>
        </w:rPr>
        <w:t xml:space="preserve">The 2030 window is real. The organisations that start building digital capability with urgency and commitment today will be the ones that define the pharmaceutical industry of the next decade. The organisations that wait for certainty before investing will find themselves perpetually catching up to a frontier that keeps moving. The tools are available. The evidence is clear. The patients are waiting.</w:t>
      </w:r>
    </w:p>
    <w:p>
      <w:pPr>
        <w:spacing w:after="120"/>
      </w:pPr>
      <w:r>
        <w:rPr>
          <w:i w:val="false"/>
          <w:iCs w:val="false"/>
          <w:color w:val="1C2333"/>
          <w:sz w:val="21"/>
          <w:szCs w:val="21"/>
        </w:rPr>
        <w:t xml:space="preserve">The transformation begins with a decision.</w:t>
      </w:r>
    </w:p>
    <w:p>
      <w:pPr>
        <w:pBdr>
          <w:left w:val="single" w:color="C9A84C" w:sz="18" w:space="8"/>
        </w:pBdr>
        <w:shd w:fill="FBF6E9" w:color="auto" w:val="clear"/>
        <w:spacing w:after="120"/>
        <w:ind w:left="240"/>
      </w:pPr>
      <w:r>
        <w:rPr>
          <w:i/>
          <w:iCs/>
          <w:color w:val="1C2333"/>
          <w:sz w:val="21"/>
          <w:szCs w:val="21"/>
        </w:rPr>
        <w:t xml:space="preserve">❓ QUESTIONS FOR THE BOARD</w:t>
      </w:r>
    </w:p>
    <w:p>
      <w:pPr>
        <w:pBdr>
          <w:left w:val="single" w:color="C9A84C" w:sz="18" w:space="8"/>
        </w:pBdr>
        <w:shd w:fill="FBF6E9" w:color="auto" w:val="clear"/>
        <w:spacing w:after="120"/>
        <w:ind w:left="240"/>
      </w:pPr>
      <w:r>
        <w:rPr>
          <w:i/>
          <w:iCs/>
          <w:color w:val="1C2333"/>
          <w:sz w:val="21"/>
          <w:szCs w:val="21"/>
        </w:rPr>
        <w:t xml:space="preserve">Having read this handbook in its entirety, does the board believe the organisation has the leadership, talent, governance, and investment commitment required to achieve PDMF Level 3–4 across all dimensions by 2028? What are the two or three most important barriers to transformation success, and what specific actions are required to remove them? Is the digital transformation agenda reflected in the organisation's stated strategic priorities, investor communications, and executive compensation frameworks — or does it remain a technology program that does not register at the strategic level?</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238500"/>
                    </a:xfrm>
                    <a:prstGeom prst="rect">
                      <a:avLst/>
                    </a:prstGeom>
                  </pic:spPr>
                </pic:pic>
              </a:graphicData>
            </a:graphic>
          </wp:inline>
        </w:drawing>
      </w:r>
    </w:p>
    <w:p>
      <w:pPr>
        <w:spacing w:after="120"/>
        <w:jc w:val="center"/>
      </w:pPr>
      <w:r>
        <w:rPr>
          <w:i/>
          <w:iCs/>
          <w:color w:val="6B84A3"/>
          <w:sz w:val="18"/>
          <w:szCs w:val="18"/>
        </w:rPr>
        <w:t xml:space="preserve">Figure 30.1: The Pharma Enterprise of 2030 — Integrated Vision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84A3"/>
        <w:sz w:val="16"/>
        <w:szCs w:val="16"/>
      </w:rPr>
      <w:t xml:space="preserve">Pharma GCC Transformation Handbook · Refreshed 2026 · </w:t>
    </w:r>
    <w:r>
      <w:rPr>
        <w:color w:val="6B84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0e81d046f160d5597aefa627c90b32ef3605cc.png"/><Relationship Id="rId9" Type="http://schemas.openxmlformats.org/officeDocument/2006/relationships/image" Target="media/db3d541f653ed52c490eba7dfac121bc9a6d6fe6.png"/><Relationship Id="rId10" Type="http://schemas.openxmlformats.org/officeDocument/2006/relationships/image" Target="media/9c8298e2135018f987f5ee501c722479c681e1ea.png"/><Relationship Id="rId11" Type="http://schemas.openxmlformats.org/officeDocument/2006/relationships/image" Target="media/52aa2f2cb3ab5fc7def76d840015665c89a5a59f.png"/><Relationship Id="rId12" Type="http://schemas.openxmlformats.org/officeDocument/2006/relationships/image" Target="media/255885cece56b66675b48e40e160f708c8b30657.png"/><Relationship Id="rId13" Type="http://schemas.openxmlformats.org/officeDocument/2006/relationships/image" Target="media/c829f242128130230da81456217f13541e04394a.png"/><Relationship Id="rId14" Type="http://schemas.openxmlformats.org/officeDocument/2006/relationships/image" Target="media/084e2d8e9bde6af420d2279f732b858ee7d39f07.png"/><Relationship Id="rId15" Type="http://schemas.openxmlformats.org/officeDocument/2006/relationships/image" Target="media/6be94c1bda0e77e42bb15f1e3abfda1356ffdae9.png"/><Relationship Id="rId16" Type="http://schemas.openxmlformats.org/officeDocument/2006/relationships/image" Target="media/4be7f2f4ef8baf296633cd371405a209b38ea436.png"/><Relationship Id="rId17" Type="http://schemas.openxmlformats.org/officeDocument/2006/relationships/image" Target="media/27984becbfe9e7025ec4fe4d412d83b65a09a94a.png"/><Relationship Id="rId18" Type="http://schemas.openxmlformats.org/officeDocument/2006/relationships/image" Target="media/9cde0ca3b96567cefe512bfab132ca8169713207.png"/><Relationship Id="rId19" Type="http://schemas.openxmlformats.org/officeDocument/2006/relationships/image" Target="media/2f36080c90716718728a7e2779faed350e61e622.png"/><Relationship Id="rId20" Type="http://schemas.openxmlformats.org/officeDocument/2006/relationships/image" Target="media/305103df65bee1248f9506f05894d59ab05344ac.png"/><Relationship Id="rId21" Type="http://schemas.openxmlformats.org/officeDocument/2006/relationships/image" Target="media/dd109777c7564d858da053d1628ac8f7cd3b841d.png"/><Relationship Id="rId22" Type="http://schemas.openxmlformats.org/officeDocument/2006/relationships/image" Target="media/b9e347020f21feb72f926bcb00479df6e4ecdb1f.png"/><Relationship Id="rId23" Type="http://schemas.openxmlformats.org/officeDocument/2006/relationships/image" Target="media/a25ab6c3b70c1a0246d12a7b1c5f66c54716257a.png"/><Relationship Id="rId24" Type="http://schemas.openxmlformats.org/officeDocument/2006/relationships/image" Target="media/f1b28b84c566fd3303ae2c1de119f7636b5d8bce.png"/><Relationship Id="rId25" Type="http://schemas.openxmlformats.org/officeDocument/2006/relationships/image" Target="media/8c812d3822006fda529554eb5fb6105c23215274.png"/><Relationship Id="rId26" Type="http://schemas.openxmlformats.org/officeDocument/2006/relationships/image" Target="media/f3ea8d7d6d1372329f3a61e5a413ec9ca5ff8bd3.png"/><Relationship Id="rId27" Type="http://schemas.openxmlformats.org/officeDocument/2006/relationships/image" Target="media/c5c28a749ac6c182996ceb32db7008a1b5eb6995.png"/><Relationship Id="rId28" Type="http://schemas.openxmlformats.org/officeDocument/2006/relationships/image" Target="media/144969f156e2c6da60ceafe7287aad73e1deb900.png"/><Relationship Id="rId29" Type="http://schemas.openxmlformats.org/officeDocument/2006/relationships/image" Target="media/1844b65ced4cd7b80af41172349516e544ca2b48.png"/><Relationship Id="rId30" Type="http://schemas.openxmlformats.org/officeDocument/2006/relationships/image" Target="media/c94f919d3c02431a13cda4999b906648c670abd2.png"/><Relationship Id="rId31" Type="http://schemas.openxmlformats.org/officeDocument/2006/relationships/image" Target="media/74b408925a5db6e6c8b39e45980b381cb34976bb.png"/><Relationship Id="rId32" Type="http://schemas.openxmlformats.org/officeDocument/2006/relationships/image" Target="media/9bc76dbd7e0d4b63d3e28e5ee83fa28b840dcc49.png"/><Relationship Id="rId33" Type="http://schemas.openxmlformats.org/officeDocument/2006/relationships/image" Target="media/494a274a6bba2fdd4fa084de501896d7585be551.png"/><Relationship Id="rId34" Type="http://schemas.openxmlformats.org/officeDocument/2006/relationships/image" Target="media/553493e84218e35576a3a9a64f67c92f6709b5cb.png"/><Relationship Id="rId35" Type="http://schemas.openxmlformats.org/officeDocument/2006/relationships/image" Target="media/6bec7ee1c8de9e13061d2259fb7363cd426fce7d.png"/><Relationship Id="rId36" Type="http://schemas.openxmlformats.org/officeDocument/2006/relationships/image" Target="media/4b11b75a9b9182e488ec00f670758ed6ed2cd32c.png"/><Relationship Id="rId37" Type="http://schemas.openxmlformats.org/officeDocument/2006/relationships/image" Target="media/9c8869309011f98be1bce3554e2f85aa596ef4b2.png"/><Relationship Id="rId38" Type="http://schemas.openxmlformats.org/officeDocument/2006/relationships/image" Target="media/2386bbaa146d72781ae629a1d6dc5d1cb8fd8693.png"/><Relationship Id="rId39" Type="http://schemas.openxmlformats.org/officeDocument/2006/relationships/image" Target="media/51e208ede56caf02212edc8cc5789e18e0794cfd.png"/><Relationship Id="rId40" Type="http://schemas.openxmlformats.org/officeDocument/2006/relationships/image" Target="media/70e4ab4579a4c5e62cb721ee1c362056be7cc7c5.png"/><Relationship Id="rId41" Type="http://schemas.openxmlformats.org/officeDocument/2006/relationships/image" Target="media/e445ad0838009f9f40e3f40735daf047b9f08072.png"/><Relationship Id="rId42" Type="http://schemas.openxmlformats.org/officeDocument/2006/relationships/image" Target="media/331bdf2ea6f667a80c4be25ca27b90fd1d3148a8.png"/><Relationship Id="rId43" Type="http://schemas.openxmlformats.org/officeDocument/2006/relationships/image" Target="media/3e2cc2120b90116ae326bca68722c46157fc4849.png"/><Relationship Id="rId44" Type="http://schemas.openxmlformats.org/officeDocument/2006/relationships/image" Target="media/52dd85b7567465e316bd997359ae61219b202e63.png"/><Relationship Id="rId45" Type="http://schemas.openxmlformats.org/officeDocument/2006/relationships/image" Target="media/a49f2239af1c4dc4ea8bf04ada0dbe2e2f71d35e.png"/><Relationship Id="rId46" Type="http://schemas.openxmlformats.org/officeDocument/2006/relationships/image" Target="media/0b2ef921b54fa95c561179c3f864f3a4f5a08c59.png"/><Relationship Id="rId47" Type="http://schemas.openxmlformats.org/officeDocument/2006/relationships/image" Target="media/cfcf967c35a0137b22d0d8fa6f821c7a038a2de6.png"/><Relationship Id="rId48" Type="http://schemas.openxmlformats.org/officeDocument/2006/relationships/image" Target="media/c33cbbab4ce8c777785eb6f451207c79ee41775a.png"/><Relationship Id="rId49" Type="http://schemas.openxmlformats.org/officeDocument/2006/relationships/image" Target="media/879dbe82db2f8233988af2c42e83cfe811189d83.png"/><Relationship Id="rId50" Type="http://schemas.openxmlformats.org/officeDocument/2006/relationships/image" Target="media/516d85797153cfbf6b6faf7e59ebef7cd913418d.png"/><Relationship Id="rId51" Type="http://schemas.openxmlformats.org/officeDocument/2006/relationships/image" Target="media/ae0674f25db4315c00ff896b1fba575003c3f494.png"/><Relationship Id="rId52" Type="http://schemas.openxmlformats.org/officeDocument/2006/relationships/image" Target="media/8c6d5b58271cf3885ee8483256eafa8240b6ad3d.png"/><Relationship Id="rId53" Type="http://schemas.openxmlformats.org/officeDocument/2006/relationships/image" Target="media/19388c197bceb32e87dd09238a4ff2d6eeb904ab.png"/><Relationship Id="rId54" Type="http://schemas.openxmlformats.org/officeDocument/2006/relationships/image" Target="media/1c85f0fd0eefb1732a7bb11968d528dc4ded0944.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Pharmaceutical Industry Digital Transformation Handbook — Refreshed 2026</dc:title>
  <dc:creator>Kalilur Rahman</dc:creator>
  <dc:description>Ultimate Comprehensive Edition, refreshed 2026. 30 chapters across 9 parts.</dc:description>
  <cp:lastModifiedBy>Un-named</cp:lastModifiedBy>
  <cp:revision>1</cp:revision>
  <dcterms:created xsi:type="dcterms:W3CDTF">2026-07-25T16:34:16.281Z</dcterms:created>
  <dcterms:modified xsi:type="dcterms:W3CDTF">2026-07-25T16:34:16.303Z</dcterms:modified>
</cp:coreProperties>
</file>

<file path=docProps/custom.xml><?xml version="1.0" encoding="utf-8"?>
<Properties xmlns="http://schemas.openxmlformats.org/officeDocument/2006/custom-properties" xmlns:vt="http://schemas.openxmlformats.org/officeDocument/2006/docPropsVTypes"/>
</file>