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Supplementary Information</w:t>
      </w:r>
    </w:p>
    <w:p>
      <w:r>
        <w:t>Revision status as of 31 October 2026. This revision retains the original WorldMoE ablation tables and twelve figure images, and adds S29–S30. The source admissions, nine original historical policy/completion books and current exact hindsight witness are now supplied. Earlier public-only evidence-gap statements in S19–S26 describe the previous inspection scope; S29–S30 provide the current admission, service and settlement status. The conservative opportunity bounds in S27 remain the main numerical certificate.</w:t>
      </w:r>
    </w:p>
    <w:p>
      <w:pPr>
        <w:widowControl/>
      </w:pPr>
      <w:r>
        <w:t>Contract rights and the economic value of data centre flexibility</w:t>
      </w:r>
    </w:p>
    <w:p>
      <w:pPr>
        <w:keepNext/>
        <w:widowControl/>
        <w:spacing w:after="80"/>
      </w:pPr>
      <w:r>
        <w:rPr>
          <w:sz w:val="22"/>
        </w:rPr>
        <w:t>Xiang Yi</w:t>
      </w:r>
      <w:r>
        <w:rPr>
          <w:vertAlign w:val="superscript"/>
        </w:rPr>
        <w:t>1,*</w:t>
      </w:r>
      <w:r>
        <w:t xml:space="preserve">, </w:t>
      </w:r>
      <w:r>
        <w:rPr>
          <w:sz w:val="22"/>
        </w:rPr>
        <w:t>Yuyang Chen</w:t>
      </w:r>
      <w:r>
        <w:rPr>
          <w:vertAlign w:val="superscript"/>
        </w:rPr>
        <w:t>2,†</w:t>
      </w:r>
      <w:r>
        <w:t xml:space="preserve">, </w:t>
      </w:r>
      <w:r>
        <w:rPr>
          <w:sz w:val="22"/>
        </w:rPr>
        <w:t>Shengye Guan</w:t>
      </w:r>
      <w:r>
        <w:rPr>
          <w:vertAlign w:val="superscript"/>
        </w:rPr>
        <w:t>2,†</w:t>
      </w:r>
    </w:p>
    <w:p>
      <w:pPr>
        <w:keepNext/>
        <w:widowControl/>
        <w:spacing w:after="80"/>
      </w:pPr>
      <w:r>
        <w:rPr>
          <w:sz w:val="21"/>
        </w:rPr>
        <w:t>1 Northwest Minzu University, Lanzhou, Gansu, China</w:t>
      </w:r>
    </w:p>
    <w:p>
      <w:pPr>
        <w:keepNext/>
        <w:widowControl/>
        <w:spacing w:after="80"/>
      </w:pPr>
      <w:r>
        <w:rPr>
          <w:sz w:val="21"/>
        </w:rPr>
        <w:t>2 School of Management, Lanzhou University, 222 Tianshui South Road, Lanzhou 730000, Gansu, China</w:t>
      </w:r>
    </w:p>
    <w:p>
      <w:pPr>
        <w:keepNext/>
        <w:widowControl/>
        <w:spacing w:after="80"/>
      </w:pPr>
      <w:r>
        <w:rPr>
          <w:sz w:val="21"/>
        </w:rPr>
        <w:t>†Yuyang Chen and Shengye Guan contributed equally as joint second authors.</w:t>
      </w:r>
    </w:p>
    <w:p>
      <w:pPr>
        <w:keepNext/>
        <w:widowControl/>
        <w:spacing w:after="80"/>
      </w:pPr>
      <w:r>
        <w:t>*Correspondence: Xiang Yi (mohamwdkali@gmail.com).</w:t>
      </w:r>
    </w:p>
    <w:p>
      <w:pPr>
        <w:keepNext/>
        <w:widowControl/>
        <w:spacing w:after="80"/>
      </w:pPr>
      <w:r>
        <w:rPr>
          <w:sz w:val="21"/>
        </w:rPr>
        <w:t xml:space="preserve">Author emails: </w:t>
      </w:r>
      <w:r>
        <w:rPr>
          <w:sz w:val="21"/>
        </w:rPr>
        <w:t>Yuyang Chen (</w:t>
      </w:r>
      <w:hyperlink r:id="rId12">
        <w:r>
          <w:rPr>
            <w:color w:val="1F4E79"/>
          </w:rPr>
          <w:t>chenych2024@lzu.edu.cn</w:t>
        </w:r>
      </w:hyperlink>
      <w:r>
        <w:rPr>
          <w:sz w:val="21"/>
        </w:rPr>
        <w:t>)</w:t>
      </w:r>
      <w:r>
        <w:rPr>
          <w:sz w:val="21"/>
        </w:rPr>
        <w:t xml:space="preserve">; </w:t>
      </w:r>
      <w:r>
        <w:rPr>
          <w:sz w:val="21"/>
        </w:rPr>
        <w:t>Shengye Guan (</w:t>
      </w:r>
      <w:hyperlink r:id="rId13">
        <w:r>
          <w:rPr>
            <w:color w:val="1F4E79"/>
          </w:rPr>
          <w:t>guanshy2024@lzu.edu.cn</w:t>
        </w:r>
      </w:hyperlink>
      <w:r>
        <w:rPr>
          <w:sz w:val="21"/>
        </w:rPr>
        <w:t>)</w:t>
      </w:r>
      <w:r>
        <w:rPr>
          <w:sz w:val="21"/>
        </w:rPr>
        <w:t>.</w:t>
      </w:r>
    </w:p>
    <w:p>
      <w:pPr>
        <w:pStyle w:val="Heading1"/>
        <w:keepNext/>
        <w:widowControl/>
      </w:pPr>
      <w:r>
        <w:t>Scope and terminology</w:t>
      </w:r>
    </w:p>
    <w:p>
      <w:pPr>
        <w:widowControl/>
      </w:pPr>
      <w:r>
        <w:t>This supplement provides the original service accounts, model specification and evaluations. Parameter fitting, model selection and market evaluation use 2021–2023, 2024 and 2025. Tables 1–31 retain the original evidence, with Frontier deadlines reconciled in Table 15. Sections S19–S24 give exact deadline definitions, feasible repair, monetary allowances and the original-programme audit. Sections S25–S26 separate information and net contract value and reproduce matched contract increments. Section S27 supplies new admission-envelope certificates. Section S28 retains moved technical equations and all six original main-paper figures. Original WorldMoE ablation values in Tables 9, 10, 28 and 29 and all six original supplementary figure images are unchanged.</w:t>
      </w:r>
    </w:p>
    <w:p>
      <w:pPr>
        <w:widowControl/>
      </w:pPr>
      <w:r>
        <w:t>The implementation identifiers W0 and W1 denote successive pretraining stages of one 59,156,961-parameter sparse mixture-of-experts backbone; R2 denotes the probabilistic price module with anchored price-identity coupling (APIC). These names identify archived assets and figure labels. DA and RT denote day-ahead and real-time prices; DART is their difference. PV denotes photovoltaic generation and PUE denotes power usage effectiveness. The three decision refinements share an already trained 227,527-parameter initialization and fixed upstream features. Seeds vary batch order and auxiliary target sampling. The selected archive epochs are 6, 2 and 0 for seeds 20260920, 20260921 and 20260922; all parameters remain fixed during 2025 evaluation. Table 27 preserves the separate author display labels and immutable archive identities.</w:t>
      </w:r>
    </w:p>
    <w:p>
      <w:pPr>
        <w:widowControl/>
      </w:pPr>
      <w:r>
        <w:t>Eagle supplies one historical workload. Requested-node counts from time-stamped job submissions are aggregated into divisible service cohorts, normalized using a training-prefix transformation and divided equally among four simultaneous simulated sites. A job may request several nodes; a cohort is not a single-node job. Each site has one work unit of capacity per quarter-hour, an independent queue and physical balance, and its regional prices. Portfolio costs sum the four executions. Historical source-job CPU efficiency is reported separately in Table 30.</w:t>
      </w:r>
    </w:p>
    <w:p>
      <w:pPr>
        <w:widowControl/>
      </w:pPr>
      <w:r>
        <w:t>The ordered source library contains 1,086 complete UTC days from 15 November 2018 to 14 November 2021. For target UTC date d, the source index is its calendar-day offset from 1 January 2022 modulo 1,086, using zero-based indexing. Every selected day contributes all 96 release bins. The 2025 local-year evaluation, including UTC boundary portions, selects source days spanning 25 November 2018–28 November 2019. This circular mapping retains within-day order, burst sizes and quarter-hour spacing, including source-calendar gaps and wraparound. Service obligations persist across target days.</w:t>
      </w:r>
    </w:p>
    <w:p>
      <w:pPr>
        <w:widowControl/>
      </w:pPr>
      <w:r>
        <w:t>Normalization is fitted once to the first 60% of the chronological raw panel: 118,085 intervals ending at 21:15 UTC on 28 March 2022. The first and ninety-ninth percentiles are 0 and 2,248 requested nodes. Multiplication of nonnegative excess above the first percentile by 4/2,248 gives aggregate work units; values above the upper quantile remain uncapped. The mapping and scale are unchanged in 2024 selection and 2025 evaluation. Historical source days are deliberately reused, so market-year generalization is distinct from generalization to unseen workload years. Same-weekday matching applies to physical priors, not realized arrivals.</w:t>
      </w:r>
    </w:p>
    <w:p>
      <w:pPr>
        <w:pStyle w:val="Heading1"/>
        <w:keepNext/>
        <w:widowControl/>
      </w:pPr>
      <w:r>
        <w:t>Service outcomes and financial uncertainty</w:t>
      </w:r>
    </w:p>
    <w:p>
      <w:pPr>
        <w:pStyle w:val="Caption"/>
        <w:keepNext/>
        <w:widowControl/>
      </w:pPr>
      <w:r>
        <w:t>Supplementary Table 1. Selected refinements and complete-year service outcomes.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1238"/>
        <w:gridCol w:w="677"/>
        <w:gridCol w:w="734"/>
        <w:gridCol w:w="1555"/>
        <w:gridCol w:w="1555"/>
        <w:gridCol w:w="936"/>
        <w:gridCol w:w="1152"/>
        <w:gridCol w:w="936"/>
      </w:tblGrid>
      <w:tr>
        <w:trPr>
          <w:tblHeader/>
          <w:cantSplit/>
        </w:trPr>
        <w:tc>
          <w:tcPr>
            <w:tcW w:type="dxa" w:w="1238"/>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color w:val="000000"/>
                <w:sz w:val="17"/>
              </w:rPr>
              <w:t>Seed</w:t>
            </w:r>
          </w:p>
        </w:tc>
        <w:tc>
          <w:tcPr>
            <w:tcW w:type="dxa" w:w="677"/>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7"/>
              </w:rPr>
              <w:t>Epochs</w:t>
              <w:br/>
              <w:t>run</w:t>
            </w:r>
          </w:p>
        </w:tc>
        <w:tc>
          <w:tcPr>
            <w:tcW w:type="dxa" w:w="734"/>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7"/>
              </w:rPr>
              <w:t xml:space="preserve">Display epoch</w:t>
            </w:r>
          </w:p>
        </w:tc>
        <w:tc>
          <w:tcPr>
            <w:tcW w:type="dxa" w:w="1555"/>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7"/>
              </w:rPr>
              <w:t>2024 saving</w:t>
              <w:br/>
              <w:t>US$</w:t>
            </w:r>
          </w:p>
        </w:tc>
        <w:tc>
          <w:tcPr>
            <w:tcW w:type="dxa" w:w="1555"/>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7"/>
              </w:rPr>
              <w:t>2025 saving</w:t>
              <w:br/>
              <w:t>US$</w:t>
            </w:r>
          </w:p>
        </w:tc>
        <w:tc>
          <w:tcPr>
            <w:tcW w:type="dxa" w:w="936"/>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7"/>
              </w:rPr>
              <w:t>Ceiling</w:t>
              <w:br/>
              <w:t>%</w:t>
            </w:r>
          </w:p>
        </w:tc>
        <w:tc>
          <w:tcPr>
            <w:tcW w:type="dxa" w:w="1152"/>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7"/>
              </w:rPr>
              <w:t>Late IT</w:t>
              <w:br/>
              <w:t>MWh</w:t>
            </w:r>
          </w:p>
        </w:tc>
        <w:tc>
          <w:tcPr>
            <w:tcW w:type="dxa" w:w="936"/>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7"/>
              </w:rPr>
              <w:t>Closing IT</w:t>
              <w:br/>
              <w:t>MWh</w:t>
            </w:r>
          </w:p>
        </w:tc>
      </w:tr>
      <w:tr>
        <w:trPr>
          <w:cantSplit/>
        </w:trPr>
        <w:tc>
          <w:tcPr>
            <w:tcW w:type="dxa" w:w="123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7"/>
              </w:rPr>
              <w:t>20260920</w:t>
            </w:r>
          </w:p>
        </w:tc>
        <w:tc>
          <w:tcPr>
            <w:tcW w:type="dxa" w:w="677"/>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12</w:t>
            </w:r>
          </w:p>
        </w:tc>
        <w:tc>
          <w:tcPr>
            <w:tcW w:type="dxa" w:w="734"/>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6</w:t>
            </w:r>
          </w:p>
        </w:tc>
        <w:tc>
          <w:tcPr>
            <w:tcW w:type="dxa" w:w="1555"/>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52,842.39</w:t>
            </w:r>
          </w:p>
        </w:tc>
        <w:tc>
          <w:tcPr>
            <w:tcW w:type="dxa" w:w="1555"/>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105,565.67</w:t>
            </w:r>
          </w:p>
        </w:tc>
        <w:tc>
          <w:tcPr>
            <w:tcW w:type="dxa" w:w="936"/>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79.61</w:t>
            </w:r>
          </w:p>
        </w:tc>
        <w:tc>
          <w:tcPr>
            <w:tcW w:type="dxa" w:w="115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7.4e-10</w:t>
            </w:r>
          </w:p>
        </w:tc>
        <w:tc>
          <w:tcPr>
            <w:tcW w:type="dxa" w:w="936"/>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0.000</w:t>
            </w:r>
          </w:p>
        </w:tc>
      </w:tr>
      <w:tr>
        <w:trPr>
          <w:cantSplit/>
        </w:trPr>
        <w:tc>
          <w:tcPr>
            <w:tcW w:type="dxa" w:w="123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7"/>
              </w:rPr>
              <w:t>20260921</w:t>
            </w:r>
          </w:p>
        </w:tc>
        <w:tc>
          <w:tcPr>
            <w:tcW w:type="dxa" w:w="677"/>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6</w:t>
            </w:r>
          </w:p>
        </w:tc>
        <w:tc>
          <w:tcPr>
            <w:tcW w:type="dxa" w:w="734"/>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2</w:t>
            </w:r>
          </w:p>
        </w:tc>
        <w:tc>
          <w:tcPr>
            <w:tcW w:type="dxa" w:w="1555"/>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52,797.36</w:t>
            </w:r>
          </w:p>
        </w:tc>
        <w:tc>
          <w:tcPr>
            <w:tcW w:type="dxa" w:w="1555"/>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105,003.52</w:t>
            </w:r>
          </w:p>
        </w:tc>
        <w:tc>
          <w:tcPr>
            <w:tcW w:type="dxa" w:w="936"/>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79.18</w:t>
            </w:r>
          </w:p>
        </w:tc>
        <w:tc>
          <w:tcPr>
            <w:tcW w:type="dxa" w:w="115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1.77e-09</w:t>
            </w:r>
          </w:p>
        </w:tc>
        <w:tc>
          <w:tcPr>
            <w:tcW w:type="dxa" w:w="936"/>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0.000</w:t>
            </w:r>
          </w:p>
        </w:tc>
      </w:tr>
      <w:tr>
        <w:trPr>
          <w:cantSplit/>
        </w:trPr>
        <w:tc>
          <w:tcPr>
            <w:tcW w:type="dxa" w:w="123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7"/>
              </w:rPr>
              <w:t>20260922</w:t>
            </w:r>
          </w:p>
        </w:tc>
        <w:tc>
          <w:tcPr>
            <w:tcW w:type="dxa" w:w="677"/>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6</w:t>
            </w:r>
          </w:p>
        </w:tc>
        <w:tc>
          <w:tcPr>
            <w:tcW w:type="dxa" w:w="734"/>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2</w:t>
            </w:r>
          </w:p>
        </w:tc>
        <w:tc>
          <w:tcPr>
            <w:tcW w:type="dxa" w:w="1555"/>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52,768.03</w:t>
            </w:r>
          </w:p>
        </w:tc>
        <w:tc>
          <w:tcPr>
            <w:tcW w:type="dxa" w:w="1555"/>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105,244.00</w:t>
            </w:r>
          </w:p>
        </w:tc>
        <w:tc>
          <w:tcPr>
            <w:tcW w:type="dxa" w:w="936"/>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79.37</w:t>
            </w:r>
          </w:p>
        </w:tc>
        <w:tc>
          <w:tcPr>
            <w:tcW w:type="dxa" w:w="115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1.35e-09</w:t>
            </w:r>
          </w:p>
        </w:tc>
        <w:tc>
          <w:tcPr>
            <w:tcW w:type="dxa" w:w="936"/>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0.000</w:t>
            </w:r>
          </w:p>
        </w:tc>
      </w:tr>
    </w:tbl>
    <w:p>
      <w:pPr>
        <w:widowControl/>
      </w:pPr>
    </w:p>
    <w:p>
      <w:pPr>
        <w:widowControl/>
      </w:pPr>
      <w:r>
        <w:t>The three annual savings are US$105,565.67, US$105,003.52 and US$105,244.00, a range of US$562.15 (approximately 0.53% of their mean). This measures refinement variability conditional on a shared trained initialization. For seed 20260922, the author display epoch is 2 but the retained artifact is epoch00; the display correction does not change its tensors or imply an untrained decision module.</w:t>
      </w:r>
    </w:p>
    <w:p>
      <w:pPr>
        <w:pStyle w:val="Caption"/>
        <w:keepNext/>
        <w:widowControl/>
      </w:pPr>
      <w:r>
        <w:t>Supplementary Table 2. Paired seven-day-block financial intervals. The 2,000 resamples use seed-mean daily differences and random seed 20260928. These intervals describe the original native-system accounts and do not apply to the common-executor aggregates in Table 28.</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3816"/>
        <w:gridCol w:w="2088"/>
        <w:gridCol w:w="2088"/>
        <w:gridCol w:w="2088"/>
      </w:tblGrid>
      <w:tr>
        <w:trPr>
          <w:tblHeader/>
          <w:cantSplit/>
        </w:trPr>
        <w:tc>
          <w:tcPr>
            <w:tcW w:type="dxa" w:w="3816"/>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color w:val="000000"/>
                <w:sz w:val="18"/>
              </w:rPr>
              <w:t>Contrast</w:t>
            </w:r>
          </w:p>
        </w:tc>
        <w:tc>
          <w:tcPr>
            <w:tcW w:type="dxa" w:w="2088"/>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8"/>
              </w:rPr>
              <w:t>Annual difference</w:t>
              <w:br/>
              <w:t>US$</w:t>
            </w:r>
          </w:p>
        </w:tc>
        <w:tc>
          <w:tcPr>
            <w:tcW w:type="dxa" w:w="2088"/>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8"/>
              </w:rPr>
              <w:t>Lower 95%</w:t>
              <w:br/>
              <w:t>US$</w:t>
            </w:r>
          </w:p>
        </w:tc>
        <w:tc>
          <w:tcPr>
            <w:tcW w:type="dxa" w:w="2088"/>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8"/>
              </w:rPr>
              <w:t>Upper 95%</w:t>
              <w:br/>
              <w:t>US$</w:t>
            </w:r>
          </w:p>
        </w:tc>
      </w:tr>
      <w:tr>
        <w:trPr>
          <w:cantSplit/>
        </w:trPr>
        <w:tc>
          <w:tcPr>
            <w:tcW w:type="dxa" w:w="3816"/>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WorldMoE vs earliest service</w:t>
            </w:r>
          </w:p>
        </w:tc>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105,271.06</w:t>
            </w:r>
          </w:p>
        </w:tc>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78,261.97</w:t>
            </w:r>
          </w:p>
        </w:tc>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137,854.63</w:t>
            </w:r>
          </w:p>
        </w:tc>
      </w:tr>
      <w:tr>
        <w:trPr>
          <w:cantSplit/>
        </w:trPr>
        <w:tc>
          <w:tcPr>
            <w:tcW w:type="dxa" w:w="3816"/>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WorldMoE vs RASC-ME</w:t>
            </w:r>
          </w:p>
        </w:tc>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42,908.97</w:t>
            </w:r>
          </w:p>
        </w:tc>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28,683.08</w:t>
            </w:r>
          </w:p>
        </w:tc>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63,147.88</w:t>
            </w:r>
          </w:p>
        </w:tc>
      </w:tr>
      <w:tr>
        <w:trPr>
          <w:cantSplit/>
        </w:trPr>
        <w:tc>
          <w:tcPr>
            <w:tcW w:type="dxa" w:w="3816"/>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WorldMoE vs Seasonal-ME</w:t>
            </w:r>
          </w:p>
        </w:tc>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38,284.05</w:t>
            </w:r>
          </w:p>
        </w:tc>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25,669.85</w:t>
            </w:r>
          </w:p>
        </w:tc>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58,049.79</w:t>
            </w:r>
          </w:p>
        </w:tc>
      </w:tr>
    </w:tbl>
    <w:p>
      <w:pPr>
        <w:widowControl/>
      </w:pPr>
    </w:p>
    <w:p>
      <w:pPr>
        <w:pStyle w:val="Heading1"/>
        <w:keepNext/>
        <w:widowControl/>
      </w:pPr>
      <w:r>
        <w:t>Certified opportunity and service windows</w:t>
      </w:r>
    </w:p>
    <w:p>
      <w:pPr>
        <w:widowControl/>
      </w:pPr>
      <w:r>
        <w:t>The opportunity programme minimises cost over an outer feasible set with perfect information, independently of trained forecasts, checkpoint selection and current-action search. Its terminal rule retains a priced residual obligation while relaxing a required beyond-year execution plan. Exact box minimisation supplies a valid dual lower bound when the outer-set and objective-dominance conditions hold. Sections S21–S22 distinguish the archived floating-point implementation from the complete exact evaluation required for a mathematical certificate. A relaxed cost floor need not correspond to an executable schedule.</w:t>
      </w:r>
    </w:p>
    <w:p>
      <w:pPr>
        <w:pStyle w:val="Caption"/>
        <w:keepNext/>
        <w:widowControl/>
      </w:pPr>
      <w:r>
        <w:t>Supplementary Table 3. Reported Eagle cost-bound summaries for six year–contract combinations. Cost lower bounds retain their recorded precision and savings ceilings are rounded upward to cents from the unrounded summaries. These aggregate identities do not replace the original per-site verification records.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835"/>
        <w:gridCol w:w="1224"/>
        <w:gridCol w:w="792"/>
        <w:gridCol w:w="2261"/>
        <w:gridCol w:w="2261"/>
        <w:gridCol w:w="2261"/>
      </w:tblGrid>
      <w:tr>
        <w:trPr>
          <w:tblHeader/>
          <w:cantSplit/>
        </w:trPr>
        <w:tc>
          <w:tcPr>
            <w:tcW w:type="dxa" w:w="835"/>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color w:val="000000"/>
                <w:sz w:val="17"/>
              </w:rPr>
              <w:t>Year</w:t>
            </w:r>
          </w:p>
        </w:tc>
        <w:tc>
          <w:tcPr>
            <w:tcW w:type="dxa" w:w="1224"/>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7"/>
              </w:rPr>
              <w:t>Trace</w:t>
            </w:r>
          </w:p>
        </w:tc>
        <w:tc>
          <w:tcPr>
            <w:tcW w:type="dxa" w:w="792"/>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7"/>
              </w:rPr>
              <w:t>Window</w:t>
              <w:br/>
              <w:t>h</w:t>
            </w:r>
          </w:p>
        </w:tc>
        <w:tc>
          <w:tcPr>
            <w:tcW w:type="dxa" w:w="2261"/>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7"/>
              </w:rPr>
              <w:t>Reference cost</w:t>
            </w:r>
          </w:p>
        </w:tc>
        <w:tc>
          <w:tcPr>
            <w:tcW w:type="dxa" w:w="2261"/>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7"/>
              </w:rPr>
              <w:t>Cost lower bound</w:t>
            </w:r>
          </w:p>
        </w:tc>
        <w:tc>
          <w:tcPr>
            <w:tcW w:type="dxa" w:w="2261"/>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7"/>
              </w:rPr>
              <w:t>Savings ceiling</w:t>
            </w:r>
          </w:p>
        </w:tc>
      </w:tr>
      <w:tr>
        <w:trPr>
          <w:cantSplit/>
        </w:trPr>
        <w:tc>
          <w:tcPr>
            <w:tcW w:type="dxa" w:w="835"/>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7"/>
              </w:rPr>
              <w:t>2024</w:t>
            </w:r>
          </w:p>
        </w:tc>
        <w:tc>
          <w:tcPr>
            <w:tcW w:type="dxa" w:w="1224"/>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Eagle</w:t>
            </w:r>
          </w:p>
        </w:tc>
        <w:tc>
          <w:tcPr>
            <w:tcW w:type="dxa" w:w="79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12</w:t>
            </w:r>
          </w:p>
        </w:tc>
        <w:tc>
          <w:tcPr>
            <w:tcW w:type="dxa" w:w="226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315,704.12</w:t>
            </w:r>
          </w:p>
        </w:tc>
        <w:tc>
          <w:tcPr>
            <w:tcW w:type="dxa" w:w="226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266,532.69</w:t>
            </w:r>
          </w:p>
        </w:tc>
        <w:tc>
          <w:tcPr>
            <w:tcW w:type="dxa" w:w="226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49,171.44</w:t>
            </w:r>
          </w:p>
        </w:tc>
      </w:tr>
      <w:tr>
        <w:trPr>
          <w:cantSplit/>
        </w:trPr>
        <w:tc>
          <w:tcPr>
            <w:tcW w:type="dxa" w:w="835"/>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7"/>
              </w:rPr>
              <w:t>2024</w:t>
            </w:r>
          </w:p>
        </w:tc>
        <w:tc>
          <w:tcPr>
            <w:tcW w:type="dxa" w:w="1224"/>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Eagle</w:t>
            </w:r>
          </w:p>
        </w:tc>
        <w:tc>
          <w:tcPr>
            <w:tcW w:type="dxa" w:w="79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16</w:t>
            </w:r>
          </w:p>
        </w:tc>
        <w:tc>
          <w:tcPr>
            <w:tcW w:type="dxa" w:w="226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315,704.12</w:t>
            </w:r>
          </w:p>
        </w:tc>
        <w:tc>
          <w:tcPr>
            <w:tcW w:type="dxa" w:w="226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257,981.69</w:t>
            </w:r>
          </w:p>
        </w:tc>
        <w:tc>
          <w:tcPr>
            <w:tcW w:type="dxa" w:w="226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57,722.44</w:t>
            </w:r>
          </w:p>
        </w:tc>
      </w:tr>
      <w:tr>
        <w:trPr>
          <w:cantSplit/>
        </w:trPr>
        <w:tc>
          <w:tcPr>
            <w:tcW w:type="dxa" w:w="835"/>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7"/>
              </w:rPr>
              <w:t>2024</w:t>
            </w:r>
          </w:p>
        </w:tc>
        <w:tc>
          <w:tcPr>
            <w:tcW w:type="dxa" w:w="1224"/>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Eagle</w:t>
            </w:r>
          </w:p>
        </w:tc>
        <w:tc>
          <w:tcPr>
            <w:tcW w:type="dxa" w:w="79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24</w:t>
            </w:r>
          </w:p>
        </w:tc>
        <w:tc>
          <w:tcPr>
            <w:tcW w:type="dxa" w:w="226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315,704.12</w:t>
            </w:r>
          </w:p>
        </w:tc>
        <w:tc>
          <w:tcPr>
            <w:tcW w:type="dxa" w:w="226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249,108.69</w:t>
            </w:r>
          </w:p>
        </w:tc>
        <w:tc>
          <w:tcPr>
            <w:tcW w:type="dxa" w:w="226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66,595.44</w:t>
            </w:r>
          </w:p>
        </w:tc>
      </w:tr>
      <w:tr>
        <w:trPr>
          <w:cantSplit/>
        </w:trPr>
        <w:tc>
          <w:tcPr>
            <w:tcW w:type="dxa" w:w="835"/>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7"/>
              </w:rPr>
              <w:t>2025</w:t>
            </w:r>
          </w:p>
        </w:tc>
        <w:tc>
          <w:tcPr>
            <w:tcW w:type="dxa" w:w="1224"/>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Eagle</w:t>
            </w:r>
          </w:p>
        </w:tc>
        <w:tc>
          <w:tcPr>
            <w:tcW w:type="dxa" w:w="79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12</w:t>
            </w:r>
          </w:p>
        </w:tc>
        <w:tc>
          <w:tcPr>
            <w:tcW w:type="dxa" w:w="226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555,168.21</w:t>
            </w:r>
          </w:p>
        </w:tc>
        <w:tc>
          <w:tcPr>
            <w:tcW w:type="dxa" w:w="226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457,365.78</w:t>
            </w:r>
          </w:p>
        </w:tc>
        <w:tc>
          <w:tcPr>
            <w:tcW w:type="dxa" w:w="226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97,802.43</w:t>
            </w:r>
          </w:p>
        </w:tc>
      </w:tr>
      <w:tr>
        <w:trPr>
          <w:cantSplit/>
        </w:trPr>
        <w:tc>
          <w:tcPr>
            <w:tcW w:type="dxa" w:w="835"/>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7"/>
              </w:rPr>
              <w:t>2025</w:t>
            </w:r>
          </w:p>
        </w:tc>
        <w:tc>
          <w:tcPr>
            <w:tcW w:type="dxa" w:w="1224"/>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Eagle</w:t>
            </w:r>
          </w:p>
        </w:tc>
        <w:tc>
          <w:tcPr>
            <w:tcW w:type="dxa" w:w="79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16</w:t>
            </w:r>
          </w:p>
        </w:tc>
        <w:tc>
          <w:tcPr>
            <w:tcW w:type="dxa" w:w="226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555,168.21</w:t>
            </w:r>
          </w:p>
        </w:tc>
        <w:tc>
          <w:tcPr>
            <w:tcW w:type="dxa" w:w="226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441,857.78</w:t>
            </w:r>
          </w:p>
        </w:tc>
        <w:tc>
          <w:tcPr>
            <w:tcW w:type="dxa" w:w="226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113,310.43</w:t>
            </w:r>
          </w:p>
        </w:tc>
      </w:tr>
      <w:tr>
        <w:trPr>
          <w:cantSplit/>
        </w:trPr>
        <w:tc>
          <w:tcPr>
            <w:tcW w:type="dxa" w:w="835"/>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7"/>
              </w:rPr>
              <w:t>2025</w:t>
            </w:r>
          </w:p>
        </w:tc>
        <w:tc>
          <w:tcPr>
            <w:tcW w:type="dxa" w:w="1224"/>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Eagle</w:t>
            </w:r>
          </w:p>
        </w:tc>
        <w:tc>
          <w:tcPr>
            <w:tcW w:type="dxa" w:w="79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24</w:t>
            </w:r>
          </w:p>
        </w:tc>
        <w:tc>
          <w:tcPr>
            <w:tcW w:type="dxa" w:w="226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555,168.21</w:t>
            </w:r>
          </w:p>
        </w:tc>
        <w:tc>
          <w:tcPr>
            <w:tcW w:type="dxa" w:w="226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422,562.78</w:t>
            </w:r>
          </w:p>
        </w:tc>
        <w:tc>
          <w:tcPr>
            <w:tcW w:type="dxa" w:w="226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132,605.43</w:t>
            </w:r>
          </w:p>
        </w:tc>
      </w:tr>
    </w:tbl>
    <w:p>
      <w:pPr>
        <w:widowControl/>
      </w:pPr>
    </w:p>
    <w:p>
      <w:pPr>
        <w:widowControl/>
      </w:pPr>
      <w:r>
        <w:t>The 12, 16 and 24 h evaluations use the same selected checkpoints. Each capture ratio divides executed savings by the corresponding contract-specific upper bound. Fixed-parameter decision-signal interventions do not identify the effect of independently retrained neural components.</w:t>
      </w:r>
    </w:p>
    <w:p>
      <w:pPr>
        <w:pStyle w:val="Caption"/>
        <w:keepNext/>
        <w:widowControl/>
      </w:pPr>
      <w:r>
        <w:t>Supplementary Table 4. Out-of-sample 2025 WorldMoE performance under 12, 16 and 24 h contracts.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1278"/>
        <w:gridCol w:w="1278"/>
        <w:gridCol w:w="1278"/>
        <w:gridCol w:w="1278"/>
        <w:gridCol w:w="1278"/>
        <w:gridCol w:w="1278"/>
        <w:gridCol w:w="1278"/>
        <w:gridCol w:w="1278"/>
      </w:tblGrid>
      <w:tr>
        <w:trPr>
          <w:tblHeader/>
          <w:cantSplit/>
        </w:trPr>
        <w:tc>
          <w:tcPr>
            <w:tcW w:type="dxa" w:w="1278"/>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color w:val="000000"/>
                <w:sz w:val="17"/>
              </w:rPr>
              <w:t>Window h</w:t>
            </w:r>
          </w:p>
        </w:tc>
        <w:tc>
          <w:tcPr>
            <w:tcW w:type="dxa" w:w="1278"/>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7"/>
              </w:rPr>
              <w:t>Seed</w:t>
            </w:r>
          </w:p>
        </w:tc>
        <w:tc>
          <w:tcPr>
            <w:tcW w:type="dxa" w:w="1278"/>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7"/>
              </w:rPr>
              <w:t>Saving US$</w:t>
            </w:r>
          </w:p>
        </w:tc>
        <w:tc>
          <w:tcPr>
            <w:tcW w:type="dxa" w:w="1278"/>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7"/>
              </w:rPr>
              <w:t>Saving %</w:t>
            </w:r>
          </w:p>
        </w:tc>
        <w:tc>
          <w:tcPr>
            <w:tcW w:type="dxa" w:w="1278"/>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7"/>
              </w:rPr>
              <w:t>Ceiling US$</w:t>
            </w:r>
          </w:p>
        </w:tc>
        <w:tc>
          <w:tcPr>
            <w:tcW w:type="dxa" w:w="1278"/>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7"/>
              </w:rPr>
              <w:t>Ceiling fraction</w:t>
            </w:r>
          </w:p>
        </w:tc>
        <w:tc>
          <w:tcPr>
            <w:tcW w:type="dxa" w:w="1278"/>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7"/>
              </w:rPr>
              <w:t>Late IT MWh</w:t>
            </w:r>
          </w:p>
        </w:tc>
        <w:tc>
          <w:tcPr>
            <w:tcW w:type="dxa" w:w="1278"/>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7"/>
              </w:rPr>
              <w:t>Closing IT MWh</w:t>
            </w:r>
          </w:p>
        </w:tc>
      </w:tr>
      <w:tr>
        <w:trPr>
          <w:cantSplit/>
        </w:trPr>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12</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20260920</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72,361.65</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13.03</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97,802.43</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73.99%</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&lt;10⁻⁸</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0.00</w:t>
            </w:r>
          </w:p>
        </w:tc>
      </w:tr>
      <w:tr>
        <w:trPr>
          <w:cantSplit/>
        </w:trPr>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12</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20260921</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72,099.98</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12.99</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97,802.43</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73.72%</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&lt;10⁻⁸</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0.00</w:t>
            </w:r>
          </w:p>
        </w:tc>
      </w:tr>
      <w:tr>
        <w:trPr>
          <w:cantSplit/>
        </w:trPr>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12</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20260922</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72,201.28</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13.01</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97,802.43</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73.82%</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&lt;10⁻⁸</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0.00</w:t>
            </w:r>
          </w:p>
        </w:tc>
      </w:tr>
      <w:tr>
        <w:trPr>
          <w:cantSplit/>
        </w:trPr>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16</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20260920</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86,257.34</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15.54</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113,310.43</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76.12%</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&lt;10⁻⁸</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0.00</w:t>
            </w:r>
          </w:p>
        </w:tc>
      </w:tr>
      <w:tr>
        <w:trPr>
          <w:cantSplit/>
        </w:trPr>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16</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20260921</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85,833.93</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15.46</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113,310.43</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75.75%</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&lt;10⁻⁸</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0.00</w:t>
            </w:r>
          </w:p>
        </w:tc>
      </w:tr>
      <w:tr>
        <w:trPr>
          <w:cantSplit/>
        </w:trPr>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16</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20260922</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86,024.40</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15.50</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113,310.43</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75.92%</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&lt;10⁻⁸</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0.00</w:t>
            </w:r>
          </w:p>
        </w:tc>
      </w:tr>
      <w:tr>
        <w:trPr>
          <w:cantSplit/>
        </w:trPr>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24</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20260920</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105,565.67</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19.02</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132,605.43</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79.61%</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&lt;10⁻⁸</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0.00</w:t>
            </w:r>
          </w:p>
        </w:tc>
      </w:tr>
      <w:tr>
        <w:trPr>
          <w:cantSplit/>
        </w:trPr>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24</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20260921</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105,003.52</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18.91</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132,605.43</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79.18%</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&lt;10⁻⁸</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0.00</w:t>
            </w:r>
          </w:p>
        </w:tc>
      </w:tr>
      <w:tr>
        <w:trPr>
          <w:cantSplit/>
        </w:trPr>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24</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20260922</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105,244.00</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18.96</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132,605.43</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79.37%</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&lt;10⁻⁸</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0.00</w:t>
            </w:r>
          </w:p>
        </w:tc>
      </w:tr>
    </w:tbl>
    <w:p>
      <w:pPr>
        <w:widowControl/>
      </w:pPr>
    </w:p>
    <w:p>
      <w:pPr>
        <w:pStyle w:val="Heading1"/>
        <w:keepNext/>
        <w:widowControl/>
      </w:pPr>
      <w:r>
        <w:t>Heterogeneous deadlines</w:t>
      </w:r>
    </w:p>
    <w:p>
      <w:pPr>
        <w:widowControl/>
      </w:pPr>
      <w:r>
        <w:t>Each release is divided deterministically into 4, 12 and 24 h classes with shares of 25%, 50% and 25%. The archived H0 identifier denotes the homogeneous 24 h request stream assessed under this mixed contract. H1 denotes actions recomputed from the mixed deadline prefixes. H0 electricity savings must be read alongside its overdue work; it does not deliver the mixed contract.</w:t>
      </w:r>
    </w:p>
    <w:p>
      <w:pPr>
        <w:pStyle w:val="Caption"/>
        <w:keepNext/>
        <w:widowControl/>
      </w:pPr>
      <w:r>
        <w:t>Supplementary Table 5. Economic and service outcomes under heterogeneous deadlines.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1704"/>
        <w:gridCol w:w="1704"/>
        <w:gridCol w:w="1704"/>
        <w:gridCol w:w="1704"/>
        <w:gridCol w:w="1704"/>
        <w:gridCol w:w="1704"/>
      </w:tblGrid>
      <w:tr>
        <w:trPr>
          <w:tblHeader/>
          <w:cantSplit/>
        </w:trPr>
        <w:tc>
          <w:tcPr>
            <w:tcW w:type="dxa" w:w="1704"/>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color w:val="000000"/>
                <w:sz w:val="17"/>
              </w:rPr>
              <w:t>Pathway</w:t>
            </w:r>
          </w:p>
        </w:tc>
        <w:tc>
          <w:tcPr>
            <w:tcW w:type="dxa" w:w="1704"/>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7"/>
              </w:rPr>
              <w:t>Seed</w:t>
            </w:r>
          </w:p>
        </w:tc>
        <w:tc>
          <w:tcPr>
            <w:tcW w:type="dxa" w:w="1704"/>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7"/>
              </w:rPr>
              <w:t>Saving US$</w:t>
            </w:r>
          </w:p>
        </w:tc>
        <w:tc>
          <w:tcPr>
            <w:tcW w:type="dxa" w:w="1704"/>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7"/>
              </w:rPr>
              <w:t>Late IT MWh</w:t>
            </w:r>
          </w:p>
        </w:tc>
        <w:tc>
          <w:tcPr>
            <w:tcW w:type="dxa" w:w="1704"/>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7"/>
              </w:rPr>
              <w:t>Closing IT MWh</w:t>
            </w:r>
          </w:p>
        </w:tc>
        <w:tc>
          <w:tcPr>
            <w:tcW w:type="dxa" w:w="1704"/>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7"/>
              </w:rPr>
              <w:t>P95 delay h</w:t>
            </w:r>
          </w:p>
        </w:tc>
      </w:tr>
      <w:tr>
        <w:trPr>
          <w:cantSplit/>
        </w:trPr>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H0 FIFO</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20260920</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105,565.67</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1,567.69</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0.00</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23.50</w:t>
            </w:r>
          </w:p>
        </w:tc>
      </w:tr>
      <w:tr>
        <w:trPr>
          <w:cantSplit/>
        </w:trPr>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H0 EDF</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20260920</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105,565.67</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1,753.21</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0.00</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28.50</w:t>
            </w:r>
          </w:p>
        </w:tc>
      </w:tr>
      <w:tr>
        <w:trPr>
          <w:cantSplit/>
        </w:trPr>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H1 mixed aware</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20260920</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79,410.73</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&lt;10⁻⁸</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0.00</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22.50</w:t>
            </w:r>
          </w:p>
        </w:tc>
      </w:tr>
      <w:tr>
        <w:trPr>
          <w:cantSplit/>
        </w:trPr>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H0 FIFO</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20260921</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105,003.52</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1,556.28</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0.00</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23.50</w:t>
            </w:r>
          </w:p>
        </w:tc>
      </w:tr>
      <w:tr>
        <w:trPr>
          <w:cantSplit/>
        </w:trPr>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H0 EDF</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20260921</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105,003.52</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1,751.33</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0.00</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28.50</w:t>
            </w:r>
          </w:p>
        </w:tc>
      </w:tr>
      <w:tr>
        <w:trPr>
          <w:cantSplit/>
        </w:trPr>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H1 mixed aware</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20260921</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79,053.02</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&lt;10⁻⁸</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0.00</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22.75</w:t>
            </w:r>
          </w:p>
        </w:tc>
      </w:tr>
      <w:tr>
        <w:trPr>
          <w:cantSplit/>
        </w:trPr>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H0 FIFO</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20260922</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105,244.00</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1,590.61</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0.00</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23.50</w:t>
            </w:r>
          </w:p>
        </w:tc>
      </w:tr>
      <w:tr>
        <w:trPr>
          <w:cantSplit/>
        </w:trPr>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H0 EDF</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20260922</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105,244.00</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1,789.16</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0.00</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28.75</w:t>
            </w:r>
          </w:p>
        </w:tc>
      </w:tr>
      <w:tr>
        <w:trPr>
          <w:cantSplit/>
        </w:trPr>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H1 mixed aware</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20260922</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79,081.93</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&lt;10⁻⁸</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0.00</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22.75</w:t>
            </w:r>
          </w:p>
        </w:tc>
      </w:tr>
    </w:tbl>
    <w:p>
      <w:pPr>
        <w:widowControl/>
      </w:pPr>
    </w:p>
    <w:p>
      <w:pPr>
        <w:pStyle w:val="Heading1"/>
        <w:keepNext/>
        <w:widowControl/>
      </w:pPr>
      <w:r>
        <w:t>Electrical delivery and service debt</w:t>
      </w:r>
    </w:p>
    <w:p>
      <w:pPr>
        <w:widowControl/>
      </w:pPr>
      <w:r>
        <w:t>The declared commitment-time executor receives a fixed request stream and arrived service obligations. It computes current service capacity from the zero-PV, maximum-PUE envelope and, when applicable, the previous completed import plus the upward-ramp allowance. Deadline protection advances work when conservative future capacity would otherwise be insufficient. Tables 6–7 retain the reported stress outputs. Section S23 distinguishes this declared rule from the inspected public projection, which reads same-interval realised PV/PUE; linking the reported replacement results to the declared rule requires their matching corrected programme and trajectories.</w:t>
      </w:r>
    </w:p>
    <w:p>
      <w:pPr>
        <w:widowControl/>
      </w:pPr>
      <w:r>
        <w:t>The archive labels cap75 and cap50 identify the moderate and tighter import-cap tests. The labels ramp25 and ramp125 identify upward-ramp limits of 0.537556 and 0.268778 MW per quarter-hour; cap75_ramp25 combines the moderate cap and the first ramp limit. These identifiers link the reported cases to the released results.</w:t>
      </w:r>
    </w:p>
    <w:p>
      <w:pPr>
        <w:pStyle w:val="Caption"/>
        <w:keepNext/>
        <w:widowControl/>
      </w:pPr>
      <w:r>
        <w:t>Supplementary Table 6. Reported economic outcomes under electrical constraints. Each row averages three fixed request streams. The programme-to-output information-boundary reconciliation is described in Section S23.</w:t>
      </w:r>
    </w:p>
    <w:tbl>
      <w:tblPr>
        <w:tblW w:w="8660" w:type="dxa"/>
        <w:tblLayout w:type="fixed"/>
        <w:jc w:val="center"/>
        <w:tblCellMar>
          <w:top w:w="55" w:type="dxa"/>
          <w:bottom w:w="55" w:type="dxa"/>
          <w:left w:w="65" w:type="dxa"/>
          <w:right w:w="65"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1200"/>
        <w:gridCol w:w="1550"/>
        <w:gridCol w:w="1400"/>
        <w:gridCol w:w="1550"/>
        <w:gridCol w:w="1550"/>
        <w:gridCol w:w="1410"/>
      </w:tblGrid>
      <w:tr>
        <w:trPr>
          <w:cantSplit/>
          <w:tblHeader/>
        </w:trPr>
        <w:tc>
          <w:tcPr>
            <w:tcW w:w="1200" w:type="dxa"/>
            <w:vAlign w:val="center"/>
            <w:shd w:val="clear" w:fill="E9EDF2"/>
          </w:tcPr>
          <w:p>
            <w:pPr>
              <w:keepNext w:val="0"/>
              <w:spacing w:before="0" w:after="20" w:line="240" w:lineRule="auto"/>
              <w:jc w:val="left"/>
            </w:pPr>
            <w:r>
              <w:rPr>
                <w:rFonts w:ascii="Times New Roman" w:hAnsi="Times New Roman"/>
                <w:color w:val="000000"/>
                <w:sz w:val="17"/>
                <w:b/>
              </w:rPr>
              <w:t xml:space="preserve">Execution</w:t>
            </w:r>
          </w:p>
        </w:tc>
        <w:tc>
          <w:tcPr>
            <w:tcW w:w="1550" w:type="dxa"/>
            <w:vAlign w:val="center"/>
            <w:shd w:val="clear" w:fill="E9EDF2"/>
          </w:tcPr>
          <w:p>
            <w:pPr>
              <w:keepNext w:val="0"/>
              <w:spacing w:before="0" w:after="20" w:line="240" w:lineRule="auto"/>
              <w:jc w:val="center"/>
            </w:pPr>
            <w:r>
              <w:rPr>
                <w:rFonts w:ascii="Times New Roman" w:hAnsi="Times New Roman"/>
                <w:color w:val="000000"/>
                <w:sz w:val="17"/>
                <w:b/>
              </w:rPr>
              <w:t xml:space="preserve">Condition</w:t>
            </w:r>
          </w:p>
        </w:tc>
        <w:tc>
          <w:tcPr>
            <w:tcW w:w="1400" w:type="dxa"/>
            <w:vAlign w:val="center"/>
            <w:shd w:val="clear" w:fill="E9EDF2"/>
          </w:tcPr>
          <w:p>
            <w:pPr>
              <w:keepNext w:val="0"/>
              <w:spacing w:before="0" w:after="20" w:line="240" w:lineRule="auto"/>
              <w:jc w:val="center"/>
            </w:pPr>
            <w:r>
              <w:rPr>
                <w:rFonts w:ascii="Times New Roman" w:hAnsi="Times New Roman"/>
                <w:color w:val="000000"/>
                <w:sz w:val="17"/>
                <w:b/>
              </w:rPr>
              <w:t xml:space="preserve">Saving US$</w:t>
            </w:r>
          </w:p>
        </w:tc>
        <w:tc>
          <w:tcPr>
            <w:tcW w:w="1550" w:type="dxa"/>
            <w:vAlign w:val="center"/>
            <w:shd w:val="clear" w:fill="E9EDF2"/>
          </w:tcPr>
          <w:p>
            <w:pPr>
              <w:keepNext w:val="0"/>
              <w:spacing w:before="0" w:after="20" w:line="240" w:lineRule="auto"/>
              <w:jc w:val="center"/>
            </w:pPr>
            <w:r>
              <w:rPr>
                <w:rFonts w:ascii="Times New Roman" w:hAnsi="Times New Roman"/>
                <w:color w:val="000000"/>
                <w:sz w:val="17"/>
                <w:b/>
              </w:rPr>
              <w:t xml:space="preserve">Policy cost US$</w:t>
            </w:r>
          </w:p>
        </w:tc>
        <w:tc>
          <w:tcPr>
            <w:tcW w:w="1550" w:type="dxa"/>
            <w:vAlign w:val="center"/>
            <w:shd w:val="clear" w:fill="E9EDF2"/>
          </w:tcPr>
          <w:p>
            <w:pPr>
              <w:keepNext w:val="0"/>
              <w:spacing w:before="0" w:after="20" w:line="240" w:lineRule="auto"/>
              <w:jc w:val="center"/>
            </w:pPr>
            <w:r>
              <w:rPr>
                <w:rFonts w:ascii="Times New Roman" w:hAnsi="Times New Roman"/>
                <w:color w:val="000000"/>
                <w:sz w:val="17"/>
                <w:b/>
              </w:rPr>
              <w:t xml:space="preserve">Reference cost US$</w:t>
            </w:r>
          </w:p>
        </w:tc>
        <w:tc>
          <w:tcPr>
            <w:tcW w:w="1410" w:type="dxa"/>
            <w:vAlign w:val="center"/>
            <w:shd w:val="clear" w:fill="E9EDF2"/>
          </w:tcPr>
          <w:p>
            <w:pPr>
              <w:keepNext w:val="0"/>
              <w:spacing w:before="0" w:after="20" w:line="240" w:lineRule="auto"/>
              <w:jc w:val="center"/>
            </w:pPr>
            <w:r>
              <w:rPr>
                <w:rFonts w:ascii="Times New Roman" w:hAnsi="Times New Roman"/>
                <w:color w:val="000000"/>
                <w:sz w:val="17"/>
                <w:b/>
              </w:rPr>
              <w:t xml:space="preserve">Nominal value retained %</w:t>
            </w:r>
          </w:p>
        </w:tc>
      </w:tr>
      <w:tr>
        <w:trPr>
          <w:cantSplit/>
        </w:trPr>
        <w:tc>
          <w:tcPr>
            <w:tcW w:w="1200" w:type="dxa"/>
            <w:vAlign w:val="center"/>
            <w:shd w:fill="FFFFFF"/>
          </w:tcPr>
          <w:p>
            <w:pPr>
              <w:keepNext w:val="0"/>
              <w:spacing w:before="0" w:after="20" w:line="240" w:lineRule="auto"/>
              <w:jc w:val="left"/>
            </w:pPr>
            <w:r>
              <w:rPr>
                <w:rFonts w:ascii="Times New Roman" w:hAnsi="Times New Roman"/>
                <w:b w:val="0"/>
                <w:color w:val="000000"/>
                <w:sz w:val="17"/>
              </w:rPr>
              <w:t xml:space="preserve">Projection</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cap75</w:t>
            </w:r>
          </w:p>
        </w:tc>
        <w:tc>
          <w:tcPr>
            <w:tcW w:w="1400" w:type="dxa"/>
            <w:vAlign w:val="center"/>
            <w:shd w:fill="FFFFFF"/>
          </w:tcPr>
          <w:p>
            <w:pPr>
              <w:keepNext w:val="0"/>
              <w:spacing w:before="0" w:after="20" w:line="240" w:lineRule="auto"/>
              <w:jc w:val="center"/>
            </w:pPr>
            <w:r>
              <w:rPr>
                <w:rFonts w:ascii="Times New Roman" w:hAnsi="Times New Roman"/>
                <w:b w:val="0"/>
                <w:color w:val="000000"/>
                <w:sz w:val="17"/>
              </w:rPr>
              <w:t xml:space="preserve">104,226.17</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450,607.50</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554,833.67</w:t>
            </w:r>
          </w:p>
        </w:tc>
        <w:tc>
          <w:tcPr>
            <w:tcW w:w="1410" w:type="dxa"/>
            <w:vAlign w:val="center"/>
            <w:shd w:fill="FFFFFF"/>
          </w:tcPr>
          <w:p>
            <w:pPr>
              <w:keepNext w:val="0"/>
              <w:spacing w:before="0" w:after="20" w:line="240" w:lineRule="auto"/>
              <w:jc w:val="center"/>
            </w:pPr>
            <w:r>
              <w:rPr>
                <w:rFonts w:ascii="Times New Roman" w:hAnsi="Times New Roman"/>
                <w:b w:val="0"/>
                <w:color w:val="000000"/>
                <w:sz w:val="17"/>
              </w:rPr>
              <w:t xml:space="preserve">99.01</w:t>
            </w:r>
          </w:p>
        </w:tc>
      </w:tr>
      <w:tr>
        <w:trPr>
          <w:cantSplit/>
        </w:trPr>
        <w:tc>
          <w:tcPr>
            <w:tcW w:w="1200" w:type="dxa"/>
            <w:vAlign w:val="center"/>
            <w:shd w:fill="FFFFFF"/>
          </w:tcPr>
          <w:p>
            <w:pPr>
              <w:keepNext w:val="0"/>
              <w:spacing w:before="0" w:after="20" w:line="240" w:lineRule="auto"/>
              <w:jc w:val="left"/>
            </w:pPr>
            <w:r>
              <w:rPr>
                <w:rFonts w:ascii="Times New Roman" w:hAnsi="Times New Roman"/>
                <w:b w:val="0"/>
                <w:color w:val="000000"/>
                <w:sz w:val="17"/>
              </w:rPr>
              <w:t xml:space="preserve">Guarded</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cap75</w:t>
            </w:r>
          </w:p>
        </w:tc>
        <w:tc>
          <w:tcPr>
            <w:tcW w:w="1400" w:type="dxa"/>
            <w:vAlign w:val="center"/>
            <w:shd w:fill="FFFFFF"/>
          </w:tcPr>
          <w:p>
            <w:pPr>
              <w:keepNext w:val="0"/>
              <w:spacing w:before="0" w:after="20" w:line="240" w:lineRule="auto"/>
              <w:jc w:val="center"/>
            </w:pPr>
            <w:r>
              <w:rPr>
                <w:rFonts w:ascii="Times New Roman" w:hAnsi="Times New Roman"/>
                <w:b w:val="0"/>
                <w:color w:val="000000"/>
                <w:sz w:val="17"/>
              </w:rPr>
              <w:t xml:space="preserve">104,116.68</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450,716.99</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554,833.67</w:t>
            </w:r>
          </w:p>
        </w:tc>
        <w:tc>
          <w:tcPr>
            <w:tcW w:w="1410" w:type="dxa"/>
            <w:vAlign w:val="center"/>
            <w:shd w:fill="FFFFFF"/>
          </w:tcPr>
          <w:p>
            <w:pPr>
              <w:keepNext w:val="0"/>
              <w:spacing w:before="0" w:after="20" w:line="240" w:lineRule="auto"/>
              <w:jc w:val="center"/>
            </w:pPr>
            <w:r>
              <w:rPr>
                <w:rFonts w:ascii="Times New Roman" w:hAnsi="Times New Roman"/>
                <w:b w:val="0"/>
                <w:color w:val="000000"/>
                <w:sz w:val="17"/>
              </w:rPr>
              <w:t xml:space="preserve">98.90</w:t>
            </w:r>
          </w:p>
        </w:tc>
      </w:tr>
      <w:tr>
        <w:trPr>
          <w:cantSplit/>
        </w:trPr>
        <w:tc>
          <w:tcPr>
            <w:tcW w:w="1200" w:type="dxa"/>
            <w:vAlign w:val="center"/>
            <w:shd w:fill="FFFFFF"/>
          </w:tcPr>
          <w:p>
            <w:pPr>
              <w:keepNext w:val="0"/>
              <w:spacing w:before="0" w:after="20" w:line="240" w:lineRule="auto"/>
              <w:jc w:val="left"/>
            </w:pPr>
            <w:r>
              <w:rPr>
                <w:rFonts w:ascii="Times New Roman" w:hAnsi="Times New Roman"/>
                <w:b w:val="0"/>
                <w:color w:val="000000"/>
                <w:sz w:val="17"/>
              </w:rPr>
              <w:t xml:space="preserve">Projection</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cap50</w:t>
            </w:r>
          </w:p>
        </w:tc>
        <w:tc>
          <w:tcPr>
            <w:tcW w:w="1400" w:type="dxa"/>
            <w:vAlign w:val="center"/>
            <w:shd w:fill="FFFFFF"/>
          </w:tcPr>
          <w:p>
            <w:pPr>
              <w:keepNext w:val="0"/>
              <w:spacing w:before="0" w:after="20" w:line="240" w:lineRule="auto"/>
              <w:jc w:val="center"/>
            </w:pPr>
            <w:r>
              <w:rPr>
                <w:rFonts w:ascii="Times New Roman" w:hAnsi="Times New Roman"/>
                <w:b w:val="0"/>
                <w:color w:val="000000"/>
                <w:sz w:val="17"/>
              </w:rPr>
              <w:t xml:space="preserve">97,454.94</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452,305.57</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549,760.51</w:t>
            </w:r>
          </w:p>
        </w:tc>
        <w:tc>
          <w:tcPr>
            <w:tcW w:w="1410" w:type="dxa"/>
            <w:vAlign w:val="center"/>
            <w:shd w:fill="FFFFFF"/>
          </w:tcPr>
          <w:p>
            <w:pPr>
              <w:keepNext w:val="0"/>
              <w:spacing w:before="0" w:after="20" w:line="240" w:lineRule="auto"/>
              <w:jc w:val="center"/>
            </w:pPr>
            <w:r>
              <w:rPr>
                <w:rFonts w:ascii="Times New Roman" w:hAnsi="Times New Roman"/>
                <w:b w:val="0"/>
                <w:color w:val="000000"/>
                <w:sz w:val="17"/>
              </w:rPr>
              <w:t xml:space="preserve">92.58</w:t>
            </w:r>
          </w:p>
        </w:tc>
      </w:tr>
      <w:tr>
        <w:trPr>
          <w:cantSplit/>
        </w:trPr>
        <w:tc>
          <w:tcPr>
            <w:tcW w:w="1200" w:type="dxa"/>
            <w:vAlign w:val="center"/>
            <w:shd w:fill="FFFFFF"/>
          </w:tcPr>
          <w:p>
            <w:pPr>
              <w:keepNext w:val="0"/>
              <w:spacing w:before="0" w:after="20" w:line="240" w:lineRule="auto"/>
              <w:jc w:val="left"/>
            </w:pPr>
            <w:r>
              <w:rPr>
                <w:rFonts w:ascii="Times New Roman" w:hAnsi="Times New Roman"/>
                <w:b w:val="0"/>
                <w:color w:val="000000"/>
                <w:sz w:val="17"/>
              </w:rPr>
              <w:t xml:space="preserve">Guarded</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cap50</w:t>
            </w:r>
          </w:p>
        </w:tc>
        <w:tc>
          <w:tcPr>
            <w:tcW w:w="1400" w:type="dxa"/>
            <w:vAlign w:val="center"/>
            <w:shd w:fill="FFFFFF"/>
          </w:tcPr>
          <w:p>
            <w:pPr>
              <w:keepNext w:val="0"/>
              <w:spacing w:before="0" w:after="20" w:line="240" w:lineRule="auto"/>
              <w:jc w:val="center"/>
            </w:pPr>
            <w:r>
              <w:rPr>
                <w:rFonts w:ascii="Times New Roman" w:hAnsi="Times New Roman"/>
                <w:b w:val="0"/>
                <w:color w:val="000000"/>
                <w:sz w:val="17"/>
              </w:rPr>
              <w:t xml:space="preserve">95,833.44</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453,927.07</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549,760.51</w:t>
            </w:r>
          </w:p>
        </w:tc>
        <w:tc>
          <w:tcPr>
            <w:tcW w:w="1410" w:type="dxa"/>
            <w:vAlign w:val="center"/>
            <w:shd w:fill="FFFFFF"/>
          </w:tcPr>
          <w:p>
            <w:pPr>
              <w:keepNext w:val="0"/>
              <w:spacing w:before="0" w:after="20" w:line="240" w:lineRule="auto"/>
              <w:jc w:val="center"/>
            </w:pPr>
            <w:r>
              <w:rPr>
                <w:rFonts w:ascii="Times New Roman" w:hAnsi="Times New Roman"/>
                <w:b w:val="0"/>
                <w:color w:val="000000"/>
                <w:sz w:val="17"/>
              </w:rPr>
              <w:t xml:space="preserve">91.03</w:t>
            </w:r>
          </w:p>
        </w:tc>
      </w:tr>
      <w:tr>
        <w:trPr>
          <w:cantSplit/>
        </w:trPr>
        <w:tc>
          <w:tcPr>
            <w:tcW w:w="1200" w:type="dxa"/>
            <w:vAlign w:val="center"/>
            <w:shd w:fill="FFFFFF"/>
          </w:tcPr>
          <w:p>
            <w:pPr>
              <w:keepNext w:val="0"/>
              <w:spacing w:before="0" w:after="20" w:line="240" w:lineRule="auto"/>
              <w:jc w:val="left"/>
            </w:pPr>
            <w:r>
              <w:rPr>
                <w:rFonts w:ascii="Times New Roman" w:hAnsi="Times New Roman"/>
                <w:b w:val="0"/>
                <w:color w:val="000000"/>
                <w:sz w:val="17"/>
              </w:rPr>
              <w:t xml:space="preserve">Projection</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ramp25</w:t>
            </w:r>
          </w:p>
        </w:tc>
        <w:tc>
          <w:tcPr>
            <w:tcW w:w="1400" w:type="dxa"/>
            <w:vAlign w:val="center"/>
            <w:shd w:fill="FFFFFF"/>
          </w:tcPr>
          <w:p>
            <w:pPr>
              <w:keepNext w:val="0"/>
              <w:spacing w:before="0" w:after="20" w:line="240" w:lineRule="auto"/>
              <w:jc w:val="center"/>
            </w:pPr>
            <w:r>
              <w:rPr>
                <w:rFonts w:ascii="Times New Roman" w:hAnsi="Times New Roman"/>
                <w:b w:val="0"/>
                <w:color w:val="000000"/>
                <w:sz w:val="17"/>
              </w:rPr>
              <w:t xml:space="preserve">73,974.46</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488,320.15</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562,294.61</w:t>
            </w:r>
          </w:p>
        </w:tc>
        <w:tc>
          <w:tcPr>
            <w:tcW w:w="1410" w:type="dxa"/>
            <w:vAlign w:val="center"/>
            <w:shd w:fill="FFFFFF"/>
          </w:tcPr>
          <w:p>
            <w:pPr>
              <w:keepNext w:val="0"/>
              <w:spacing w:before="0" w:after="20" w:line="240" w:lineRule="auto"/>
              <w:jc w:val="center"/>
            </w:pPr>
            <w:r>
              <w:rPr>
                <w:rFonts w:ascii="Times New Roman" w:hAnsi="Times New Roman"/>
                <w:b w:val="0"/>
                <w:color w:val="000000"/>
                <w:sz w:val="17"/>
              </w:rPr>
              <w:t xml:space="preserve">70.27</w:t>
            </w:r>
          </w:p>
        </w:tc>
      </w:tr>
      <w:tr>
        <w:trPr>
          <w:cantSplit/>
        </w:trPr>
        <w:tc>
          <w:tcPr>
            <w:tcW w:w="1200" w:type="dxa"/>
            <w:vAlign w:val="center"/>
            <w:shd w:fill="FFFFFF"/>
          </w:tcPr>
          <w:p>
            <w:pPr>
              <w:keepNext w:val="0"/>
              <w:spacing w:before="0" w:after="20" w:line="240" w:lineRule="auto"/>
              <w:jc w:val="left"/>
            </w:pPr>
            <w:r>
              <w:rPr>
                <w:rFonts w:ascii="Times New Roman" w:hAnsi="Times New Roman"/>
                <w:b w:val="0"/>
                <w:color w:val="000000"/>
                <w:sz w:val="17"/>
              </w:rPr>
              <w:t xml:space="preserve">Guarded</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ramp25</w:t>
            </w:r>
          </w:p>
        </w:tc>
        <w:tc>
          <w:tcPr>
            <w:tcW w:w="1400" w:type="dxa"/>
            <w:vAlign w:val="center"/>
            <w:shd w:fill="FFFFFF"/>
          </w:tcPr>
          <w:p>
            <w:pPr>
              <w:keepNext w:val="0"/>
              <w:spacing w:before="0" w:after="20" w:line="240" w:lineRule="auto"/>
              <w:jc w:val="center"/>
            </w:pPr>
            <w:r>
              <w:rPr>
                <w:rFonts w:ascii="Times New Roman" w:hAnsi="Times New Roman"/>
                <w:b w:val="0"/>
                <w:color w:val="000000"/>
                <w:sz w:val="17"/>
              </w:rPr>
              <w:t xml:space="preserve">64,955.36</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497,339.25</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562,294.61</w:t>
            </w:r>
          </w:p>
        </w:tc>
        <w:tc>
          <w:tcPr>
            <w:tcW w:w="1410" w:type="dxa"/>
            <w:vAlign w:val="center"/>
            <w:shd w:fill="FFFFFF"/>
          </w:tcPr>
          <w:p>
            <w:pPr>
              <w:keepNext w:val="0"/>
              <w:spacing w:before="0" w:after="20" w:line="240" w:lineRule="auto"/>
              <w:jc w:val="center"/>
            </w:pPr>
            <w:r>
              <w:rPr>
                <w:rFonts w:ascii="Times New Roman" w:hAnsi="Times New Roman"/>
                <w:b w:val="0"/>
                <w:color w:val="000000"/>
                <w:sz w:val="17"/>
              </w:rPr>
              <w:t xml:space="preserve">61.70</w:t>
            </w:r>
          </w:p>
        </w:tc>
      </w:tr>
      <w:tr>
        <w:trPr>
          <w:cantSplit/>
        </w:trPr>
        <w:tc>
          <w:tcPr>
            <w:tcW w:w="1200" w:type="dxa"/>
            <w:vAlign w:val="center"/>
            <w:shd w:fill="FFFFFF"/>
          </w:tcPr>
          <w:p>
            <w:pPr>
              <w:keepNext w:val="0"/>
              <w:spacing w:before="0" w:after="20" w:line="240" w:lineRule="auto"/>
              <w:jc w:val="left"/>
            </w:pPr>
            <w:r>
              <w:rPr>
                <w:rFonts w:ascii="Times New Roman" w:hAnsi="Times New Roman"/>
                <w:b w:val="0"/>
                <w:color w:val="000000"/>
                <w:sz w:val="17"/>
              </w:rPr>
              <w:t xml:space="preserve">Projection</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ramp125</w:t>
            </w:r>
          </w:p>
        </w:tc>
        <w:tc>
          <w:tcPr>
            <w:tcW w:w="1400" w:type="dxa"/>
            <w:vAlign w:val="center"/>
            <w:shd w:fill="FFFFFF"/>
          </w:tcPr>
          <w:p>
            <w:pPr>
              <w:keepNext w:val="0"/>
              <w:spacing w:before="0" w:after="20" w:line="240" w:lineRule="auto"/>
              <w:jc w:val="center"/>
            </w:pPr>
            <w:r>
              <w:rPr>
                <w:rFonts w:ascii="Times New Roman" w:hAnsi="Times New Roman"/>
                <w:b w:val="0"/>
                <w:color w:val="000000"/>
                <w:sz w:val="17"/>
              </w:rPr>
              <w:t xml:space="preserve">3,160.60</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605,091.24</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608,251.84</w:t>
            </w:r>
          </w:p>
        </w:tc>
        <w:tc>
          <w:tcPr>
            <w:tcW w:w="1410" w:type="dxa"/>
            <w:vAlign w:val="center"/>
            <w:shd w:fill="FFFFFF"/>
          </w:tcPr>
          <w:p>
            <w:pPr>
              <w:keepNext w:val="0"/>
              <w:spacing w:before="0" w:after="20" w:line="240" w:lineRule="auto"/>
              <w:jc w:val="center"/>
            </w:pPr>
            <w:r>
              <w:rPr>
                <w:rFonts w:ascii="Times New Roman" w:hAnsi="Times New Roman"/>
                <w:b w:val="0"/>
                <w:color w:val="000000"/>
                <w:sz w:val="17"/>
              </w:rPr>
              <w:t xml:space="preserve">3.00</w:t>
            </w:r>
          </w:p>
        </w:tc>
      </w:tr>
      <w:tr>
        <w:trPr>
          <w:cantSplit/>
        </w:trPr>
        <w:tc>
          <w:tcPr>
            <w:tcW w:w="1200" w:type="dxa"/>
            <w:vAlign w:val="center"/>
            <w:shd w:fill="FFFFFF"/>
          </w:tcPr>
          <w:p>
            <w:pPr>
              <w:keepNext w:val="0"/>
              <w:spacing w:before="0" w:after="20" w:line="240" w:lineRule="auto"/>
              <w:jc w:val="left"/>
            </w:pPr>
            <w:r>
              <w:rPr>
                <w:rFonts w:ascii="Times New Roman" w:hAnsi="Times New Roman"/>
                <w:b w:val="0"/>
                <w:color w:val="000000"/>
                <w:sz w:val="17"/>
              </w:rPr>
              <w:t xml:space="preserve">Guarded</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ramp125</w:t>
            </w:r>
          </w:p>
        </w:tc>
        <w:tc>
          <w:tcPr>
            <w:tcW w:w="1400" w:type="dxa"/>
            <w:vAlign w:val="center"/>
            <w:shd w:fill="FFFFFF"/>
          </w:tcPr>
          <w:p>
            <w:pPr>
              <w:keepNext w:val="0"/>
              <w:spacing w:before="0" w:after="20" w:line="240" w:lineRule="auto"/>
              <w:jc w:val="center"/>
            </w:pPr>
            <w:r>
              <w:rPr>
                <w:rFonts w:ascii="Times New Roman" w:hAnsi="Times New Roman"/>
                <w:b w:val="0"/>
                <w:color w:val="000000"/>
                <w:sz w:val="17"/>
              </w:rPr>
              <w:t xml:space="preserve">1,162.85</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607,089.00</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608,251.84</w:t>
            </w:r>
          </w:p>
        </w:tc>
        <w:tc>
          <w:tcPr>
            <w:tcW w:w="1410" w:type="dxa"/>
            <w:vAlign w:val="center"/>
            <w:shd w:fill="FFFFFF"/>
          </w:tcPr>
          <w:p>
            <w:pPr>
              <w:keepNext w:val="0"/>
              <w:spacing w:before="0" w:after="20" w:line="240" w:lineRule="auto"/>
              <w:jc w:val="center"/>
            </w:pPr>
            <w:r>
              <w:rPr>
                <w:rFonts w:ascii="Times New Roman" w:hAnsi="Times New Roman"/>
                <w:b w:val="0"/>
                <w:color w:val="000000"/>
                <w:sz w:val="17"/>
              </w:rPr>
              <w:t xml:space="preserve">1.10</w:t>
            </w:r>
          </w:p>
        </w:tc>
      </w:tr>
      <w:tr>
        <w:trPr>
          <w:cantSplit/>
        </w:trPr>
        <w:tc>
          <w:tcPr>
            <w:tcW w:w="1200" w:type="dxa"/>
            <w:vAlign w:val="center"/>
            <w:shd w:fill="FFFFFF"/>
          </w:tcPr>
          <w:p>
            <w:pPr>
              <w:keepNext w:val="0"/>
              <w:spacing w:before="0" w:after="20" w:line="240" w:lineRule="auto"/>
              <w:jc w:val="left"/>
            </w:pPr>
            <w:r>
              <w:rPr>
                <w:rFonts w:ascii="Times New Roman" w:hAnsi="Times New Roman"/>
                <w:b w:val="0"/>
                <w:color w:val="000000"/>
                <w:sz w:val="17"/>
              </w:rPr>
              <w:t xml:space="preserve">Projection</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cap75_ramp25</w:t>
            </w:r>
          </w:p>
        </w:tc>
        <w:tc>
          <w:tcPr>
            <w:tcW w:w="1400" w:type="dxa"/>
            <w:vAlign w:val="center"/>
            <w:shd w:fill="FFFFFF"/>
          </w:tcPr>
          <w:p>
            <w:pPr>
              <w:keepNext w:val="0"/>
              <w:spacing w:before="0" w:after="20" w:line="240" w:lineRule="auto"/>
              <w:jc w:val="center"/>
            </w:pPr>
            <w:r>
              <w:rPr>
                <w:rFonts w:ascii="Times New Roman" w:hAnsi="Times New Roman"/>
                <w:b w:val="0"/>
                <w:color w:val="000000"/>
                <w:sz w:val="17"/>
              </w:rPr>
              <w:t xml:space="preserve">72,059.54</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488,400.88</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560,460.42</w:t>
            </w:r>
          </w:p>
        </w:tc>
        <w:tc>
          <w:tcPr>
            <w:tcW w:w="1410" w:type="dxa"/>
            <w:vAlign w:val="center"/>
            <w:shd w:fill="FFFFFF"/>
          </w:tcPr>
          <w:p>
            <w:pPr>
              <w:keepNext w:val="0"/>
              <w:spacing w:before="0" w:after="20" w:line="240" w:lineRule="auto"/>
              <w:jc w:val="center"/>
            </w:pPr>
            <w:r>
              <w:rPr>
                <w:rFonts w:ascii="Times New Roman" w:hAnsi="Times New Roman"/>
                <w:b w:val="0"/>
                <w:color w:val="000000"/>
                <w:sz w:val="17"/>
              </w:rPr>
              <w:t xml:space="preserve">68.45</w:t>
            </w:r>
          </w:p>
        </w:tc>
      </w:tr>
      <w:tr>
        <w:trPr>
          <w:cantSplit/>
        </w:trPr>
        <w:tc>
          <w:tcPr>
            <w:tcW w:w="1200" w:type="dxa"/>
            <w:vAlign w:val="center"/>
            <w:shd w:fill="FFFFFF"/>
          </w:tcPr>
          <w:p>
            <w:pPr>
              <w:keepNext w:val="0"/>
              <w:spacing w:before="0" w:after="20" w:line="240" w:lineRule="auto"/>
              <w:jc w:val="left"/>
            </w:pPr>
            <w:r>
              <w:rPr>
                <w:rFonts w:ascii="Times New Roman" w:hAnsi="Times New Roman"/>
                <w:b w:val="0"/>
                <w:color w:val="000000"/>
                <w:sz w:val="17"/>
              </w:rPr>
              <w:t xml:space="preserve">Guarded</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cap75_ramp25</w:t>
            </w:r>
          </w:p>
        </w:tc>
        <w:tc>
          <w:tcPr>
            <w:tcW w:w="1400" w:type="dxa"/>
            <w:vAlign w:val="center"/>
            <w:shd w:fill="FFFFFF"/>
          </w:tcPr>
          <w:p>
            <w:pPr>
              <w:keepNext w:val="0"/>
              <w:spacing w:before="0" w:after="20" w:line="240" w:lineRule="auto"/>
              <w:jc w:val="center"/>
            </w:pPr>
            <w:r>
              <w:rPr>
                <w:rFonts w:ascii="Times New Roman" w:hAnsi="Times New Roman"/>
                <w:b w:val="0"/>
                <w:color w:val="000000"/>
                <w:sz w:val="17"/>
              </w:rPr>
              <w:t xml:space="preserve">63,539.62</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496,920.80</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560,460.42</w:t>
            </w:r>
          </w:p>
        </w:tc>
        <w:tc>
          <w:tcPr>
            <w:tcW w:w="1410" w:type="dxa"/>
            <w:vAlign w:val="center"/>
            <w:shd w:fill="FFFFFF"/>
          </w:tcPr>
          <w:p>
            <w:pPr>
              <w:keepNext w:val="0"/>
              <w:spacing w:before="0" w:after="20" w:line="240" w:lineRule="auto"/>
              <w:jc w:val="center"/>
            </w:pPr>
            <w:r>
              <w:rPr>
                <w:rFonts w:ascii="Times New Roman" w:hAnsi="Times New Roman"/>
                <w:b w:val="0"/>
                <w:color w:val="000000"/>
                <w:sz w:val="17"/>
              </w:rPr>
              <w:t xml:space="preserve">60.36</w:t>
            </w:r>
          </w:p>
        </w:tc>
      </w:tr>
    </w:tbl>
    <w:p>
      <w:pPr>
        <w:widowControl/>
      </w:pPr>
    </w:p>
    <w:p>
      <w:pPr>
        <w:pStyle w:val="Caption"/>
        <w:keepNext/>
        <w:widowControl/>
      </w:pPr>
      <w:r>
        <w:t>Supplementary Table 7. Reported electrical and service outcomes for the projection and deadline-guard experiments. Maxima span three request streams; numerical residuals are retained. Section S23 states the implementation evidence.</w:t>
      </w:r>
    </w:p>
    <w:tbl>
      <w:tblPr>
        <w:tblW w:w="8660" w:type="dxa"/>
        <w:tblLayout w:type="fixed"/>
        <w:jc w:val="center"/>
        <w:tblCellMar>
          <w:top w:w="55" w:type="dxa"/>
          <w:bottom w:w="55" w:type="dxa"/>
          <w:left w:w="65" w:type="dxa"/>
          <w:right w:w="65"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1200"/>
        <w:gridCol w:w="1500"/>
        <w:gridCol w:w="1250"/>
        <w:gridCol w:w="1330"/>
        <w:gridCol w:w="1300"/>
        <w:gridCol w:w="1050"/>
        <w:gridCol w:w="1030"/>
      </w:tblGrid>
      <w:tr>
        <w:trPr>
          <w:cantSplit/>
          <w:tblHeader/>
        </w:trPr>
        <w:tc>
          <w:tcPr>
            <w:tcW w:w="1200" w:type="dxa"/>
            <w:vAlign w:val="center"/>
            <w:shd w:val="clear" w:fill="E9EDF2"/>
          </w:tcPr>
          <w:p>
            <w:pPr>
              <w:keepNext w:val="0"/>
              <w:spacing w:before="0" w:after="20" w:line="240" w:lineRule="auto"/>
              <w:jc w:val="left"/>
            </w:pPr>
            <w:r>
              <w:rPr>
                <w:rFonts w:ascii="Times New Roman" w:hAnsi="Times New Roman"/>
                <w:color w:val="000000"/>
                <w:sz w:val="17"/>
                <w:b/>
              </w:rPr>
              <w:t xml:space="preserve">Execution</w:t>
            </w:r>
          </w:p>
        </w:tc>
        <w:tc>
          <w:tcPr>
            <w:tcW w:w="1500" w:type="dxa"/>
            <w:vAlign w:val="center"/>
            <w:shd w:val="clear" w:fill="E9EDF2"/>
          </w:tcPr>
          <w:p>
            <w:pPr>
              <w:keepNext w:val="0"/>
              <w:spacing w:before="0" w:after="20" w:line="240" w:lineRule="auto"/>
              <w:jc w:val="center"/>
            </w:pPr>
            <w:r>
              <w:rPr>
                <w:rFonts w:ascii="Times New Roman" w:hAnsi="Times New Roman"/>
                <w:color w:val="000000"/>
                <w:sz w:val="17"/>
                <w:b/>
              </w:rPr>
              <w:t xml:space="preserve">Condition</w:t>
            </w:r>
          </w:p>
        </w:tc>
        <w:tc>
          <w:tcPr>
            <w:tcW w:w="1250" w:type="dxa"/>
            <w:vAlign w:val="center"/>
            <w:shd w:val="clear" w:fill="E9EDF2"/>
          </w:tcPr>
          <w:p>
            <w:pPr>
              <w:keepNext w:val="0"/>
              <w:spacing w:before="0" w:after="20" w:line="240" w:lineRule="auto"/>
              <w:jc w:val="center"/>
            </w:pPr>
            <w:r>
              <w:rPr>
                <w:rFonts w:ascii="Times New Roman" w:hAnsi="Times New Roman"/>
                <w:color w:val="000000"/>
                <w:sz w:val="17"/>
                <w:b/>
              </w:rPr>
              <w:t xml:space="preserve">Max late IT MWh</w:t>
            </w:r>
          </w:p>
        </w:tc>
        <w:tc>
          <w:tcPr>
            <w:tcW w:w="1330" w:type="dxa"/>
            <w:vAlign w:val="center"/>
            <w:shd w:val="clear" w:fill="E9EDF2"/>
          </w:tcPr>
          <w:p>
            <w:pPr>
              <w:keepNext w:val="0"/>
              <w:spacing w:before="0" w:after="20" w:line="240" w:lineRule="auto"/>
              <w:jc w:val="center"/>
            </w:pPr>
            <w:r>
              <w:rPr>
                <w:rFonts w:ascii="Times New Roman" w:hAnsi="Times New Roman"/>
                <w:color w:val="000000"/>
                <w:sz w:val="17"/>
                <w:b/>
              </w:rPr>
              <w:t xml:space="preserve">Max closing IT MWh</w:t>
            </w:r>
          </w:p>
        </w:tc>
        <w:tc>
          <w:tcPr>
            <w:tcW w:w="1300" w:type="dxa"/>
            <w:vAlign w:val="center"/>
            <w:shd w:val="clear" w:fill="E9EDF2"/>
          </w:tcPr>
          <w:p>
            <w:pPr>
              <w:keepNext w:val="0"/>
              <w:spacing w:before="0" w:after="20" w:line="240" w:lineRule="auto"/>
              <w:jc w:val="center"/>
            </w:pPr>
            <w:r>
              <w:rPr>
                <w:rFonts w:ascii="Times New Roman" w:hAnsi="Times New Roman"/>
                <w:color w:val="000000"/>
                <w:sz w:val="17"/>
                <w:b/>
              </w:rPr>
              <w:t xml:space="preserve">Upward ramp MW / 15 min</w:t>
            </w:r>
          </w:p>
        </w:tc>
        <w:tc>
          <w:tcPr>
            <w:tcW w:w="1050" w:type="dxa"/>
            <w:vAlign w:val="center"/>
            <w:shd w:val="clear" w:fill="E9EDF2"/>
          </w:tcPr>
          <w:p>
            <w:pPr>
              <w:keepNext w:val="0"/>
              <w:spacing w:before="0" w:after="20" w:line="240" w:lineRule="auto"/>
              <w:jc w:val="center"/>
            </w:pPr>
            <w:r>
              <w:rPr>
                <w:rFonts w:ascii="Times New Roman" w:hAnsi="Times New Roman"/>
                <w:color w:val="000000"/>
                <w:sz w:val="17"/>
                <w:b/>
              </w:rPr>
              <w:t xml:space="preserve">Cap excess MW</w:t>
            </w:r>
          </w:p>
        </w:tc>
        <w:tc>
          <w:tcPr>
            <w:tcW w:w="1030" w:type="dxa"/>
            <w:vAlign w:val="center"/>
            <w:shd w:val="clear" w:fill="E9EDF2"/>
          </w:tcPr>
          <w:p>
            <w:pPr>
              <w:keepNext w:val="0"/>
              <w:spacing w:before="0" w:after="20" w:line="240" w:lineRule="auto"/>
              <w:jc w:val="center"/>
            </w:pPr>
            <w:r>
              <w:rPr>
                <w:rFonts w:ascii="Times New Roman" w:hAnsi="Times New Roman"/>
                <w:color w:val="000000"/>
                <w:sz w:val="17"/>
                <w:b/>
              </w:rPr>
              <w:t xml:space="preserve">Ramp excess MW</w:t>
            </w:r>
          </w:p>
        </w:tc>
      </w:tr>
      <w:tr>
        <w:trPr>
          <w:cantSplit/>
        </w:trPr>
        <w:tc>
          <w:tcPr>
            <w:tcW w:w="1200" w:type="dxa"/>
            <w:vAlign w:val="center"/>
            <w:shd w:fill="FFFFFF"/>
          </w:tcPr>
          <w:p>
            <w:pPr>
              <w:keepNext w:val="0"/>
              <w:spacing w:before="0" w:after="20" w:line="240" w:lineRule="auto"/>
              <w:jc w:val="left"/>
            </w:pPr>
            <w:r>
              <w:rPr>
                <w:rFonts w:ascii="Times New Roman" w:hAnsi="Times New Roman"/>
                <w:b w:val="0"/>
                <w:color w:val="000000"/>
                <w:sz w:val="17"/>
              </w:rPr>
              <w:t xml:space="preserve">Projection</w:t>
            </w:r>
          </w:p>
        </w:tc>
        <w:tc>
          <w:tcPr>
            <w:tcW w:w="1500" w:type="dxa"/>
            <w:vAlign w:val="center"/>
            <w:shd w:fill="FFFFFF"/>
          </w:tcPr>
          <w:p>
            <w:pPr>
              <w:keepNext w:val="0"/>
              <w:spacing w:before="0" w:after="20" w:line="240" w:lineRule="auto"/>
              <w:jc w:val="center"/>
            </w:pPr>
            <w:r>
              <w:rPr>
                <w:rFonts w:ascii="Times New Roman" w:hAnsi="Times New Roman"/>
                <w:b w:val="0"/>
                <w:color w:val="000000"/>
                <w:sz w:val="17"/>
              </w:rPr>
              <w:t xml:space="preserve">cap75</w:t>
            </w:r>
          </w:p>
        </w:tc>
        <w:tc>
          <w:tcPr>
            <w:tcW w:w="1250" w:type="dxa"/>
            <w:vAlign w:val="center"/>
            <w:shd w:fill="FFFFFF"/>
          </w:tcPr>
          <w:p>
            <w:pPr>
              <w:keepNext w:val="0"/>
              <w:spacing w:before="0" w:after="20" w:line="240" w:lineRule="auto"/>
              <w:jc w:val="center"/>
            </w:pPr>
            <w:r>
              <w:rPr>
                <w:rFonts w:ascii="Times New Roman" w:hAnsi="Times New Roman"/>
                <w:b w:val="0"/>
                <w:color w:val="000000"/>
                <w:sz w:val="17"/>
              </w:rPr>
              <w:t xml:space="preserve">22.24</w:t>
            </w:r>
          </w:p>
        </w:tc>
        <w:tc>
          <w:tcPr>
            <w:tcW w:w="1330" w:type="dxa"/>
            <w:vAlign w:val="center"/>
            <w:shd w:fill="FFFFFF"/>
          </w:tcPr>
          <w:p>
            <w:pPr>
              <w:keepNext w:val="0"/>
              <w:spacing w:before="0" w:after="20" w:line="240" w:lineRule="auto"/>
              <w:jc w:val="center"/>
            </w:pPr>
            <w:r>
              <w:rPr>
                <w:rFonts w:ascii="Times New Roman" w:hAnsi="Times New Roman"/>
                <w:b w:val="0"/>
                <w:color w:val="000000"/>
                <w:sz w:val="17"/>
              </w:rPr>
              <w:t xml:space="preserve">0.208740</w:t>
            </w:r>
          </w:p>
        </w:tc>
        <w:tc>
          <w:tcPr>
            <w:tcW w:w="1300" w:type="dxa"/>
            <w:vAlign w:val="center"/>
            <w:shd w:fill="FFFFFF"/>
          </w:tcPr>
          <w:p>
            <w:pPr>
              <w:keepNext w:val="0"/>
              <w:spacing w:before="0" w:after="20" w:line="240" w:lineRule="auto"/>
              <w:jc w:val="center"/>
            </w:pPr>
            <w:r>
              <w:rPr>
                <w:rFonts w:ascii="Times New Roman" w:hAnsi="Times New Roman"/>
                <w:b w:val="0"/>
                <w:color w:val="000000"/>
                <w:sz w:val="17"/>
              </w:rPr>
              <w:t xml:space="preserve">1.432112</w:t>
            </w:r>
          </w:p>
        </w:tc>
        <w:tc>
          <w:tcPr>
            <w:tcW w:w="1050" w:type="dxa"/>
            <w:vAlign w:val="center"/>
            <w:shd w:fill="FFFFFF"/>
          </w:tcPr>
          <w:p>
            <w:pPr>
              <w:keepNext w:val="0"/>
              <w:spacing w:before="0" w:after="20" w:line="240" w:lineRule="auto"/>
              <w:jc w:val="center"/>
            </w:pPr>
            <w:r>
              <w:rPr>
                <w:rFonts w:ascii="Times New Roman" w:hAnsi="Times New Roman"/>
                <w:b w:val="0"/>
                <w:color w:val="000000"/>
                <w:sz w:val="17"/>
              </w:rPr>
              <w:t xml:space="preserve">0</w:t>
            </w:r>
          </w:p>
        </w:tc>
        <w:tc>
          <w:tcPr>
            <w:tcW w:w="1030" w:type="dxa"/>
            <w:vAlign w:val="center"/>
            <w:shd w:fill="FFFFFF"/>
          </w:tcPr>
          <w:p>
            <w:pPr>
              <w:keepNext w:val="0"/>
              <w:spacing w:before="0" w:after="20" w:line="240" w:lineRule="auto"/>
              <w:jc w:val="center"/>
            </w:pPr>
            <w:r>
              <w:rPr>
                <w:rFonts w:ascii="Times New Roman" w:hAnsi="Times New Roman"/>
                <w:b w:val="0"/>
                <w:color w:val="000000"/>
                <w:sz w:val="17"/>
              </w:rPr>
              <w:t xml:space="preserve">0</w:t>
            </w:r>
          </w:p>
        </w:tc>
      </w:tr>
      <w:tr>
        <w:trPr>
          <w:cantSplit/>
        </w:trPr>
        <w:tc>
          <w:tcPr>
            <w:tcW w:w="1200" w:type="dxa"/>
            <w:vAlign w:val="center"/>
            <w:shd w:fill="FFFFFF"/>
          </w:tcPr>
          <w:p>
            <w:pPr>
              <w:keepNext w:val="0"/>
              <w:spacing w:before="0" w:after="20" w:line="240" w:lineRule="auto"/>
              <w:jc w:val="left"/>
            </w:pPr>
            <w:r>
              <w:rPr>
                <w:rFonts w:ascii="Times New Roman" w:hAnsi="Times New Roman"/>
                <w:b w:val="0"/>
                <w:color w:val="000000"/>
                <w:sz w:val="17"/>
              </w:rPr>
              <w:t xml:space="preserve">Guarded</w:t>
            </w:r>
          </w:p>
        </w:tc>
        <w:tc>
          <w:tcPr>
            <w:tcW w:w="1500" w:type="dxa"/>
            <w:vAlign w:val="center"/>
            <w:shd w:fill="FFFFFF"/>
          </w:tcPr>
          <w:p>
            <w:pPr>
              <w:keepNext w:val="0"/>
              <w:spacing w:before="0" w:after="20" w:line="240" w:lineRule="auto"/>
              <w:jc w:val="center"/>
            </w:pPr>
            <w:r>
              <w:rPr>
                <w:rFonts w:ascii="Times New Roman" w:hAnsi="Times New Roman"/>
                <w:b w:val="0"/>
                <w:color w:val="000000"/>
                <w:sz w:val="17"/>
              </w:rPr>
              <w:t xml:space="preserve">cap75</w:t>
            </w:r>
          </w:p>
        </w:tc>
        <w:tc>
          <w:tcPr>
            <w:tcW w:w="1250" w:type="dxa"/>
            <w:vAlign w:val="center"/>
            <w:shd w:fill="FFFFFF"/>
          </w:tcPr>
          <w:p>
            <w:pPr>
              <w:keepNext w:val="0"/>
              <w:spacing w:before="0" w:after="20" w:line="240" w:lineRule="auto"/>
              <w:jc w:val="center"/>
            </w:pPr>
            <w:r>
              <w:rPr>
                <w:rFonts w:ascii="Times New Roman" w:hAnsi="Times New Roman"/>
                <w:b w:val="0"/>
                <w:color w:val="000000"/>
                <w:sz w:val="17"/>
              </w:rPr>
              <w:t xml:space="preserve">8.665e-12</w:t>
            </w:r>
          </w:p>
        </w:tc>
        <w:tc>
          <w:tcPr>
            <w:tcW w:w="1330" w:type="dxa"/>
            <w:vAlign w:val="center"/>
            <w:shd w:fill="FFFFFF"/>
          </w:tcPr>
          <w:p>
            <w:pPr>
              <w:keepNext w:val="0"/>
              <w:spacing w:before="0" w:after="20" w:line="240" w:lineRule="auto"/>
              <w:jc w:val="center"/>
            </w:pPr>
            <w:r>
              <w:rPr>
                <w:rFonts w:ascii="Times New Roman" w:hAnsi="Times New Roman"/>
                <w:b w:val="0"/>
                <w:color w:val="000000"/>
                <w:sz w:val="17"/>
              </w:rPr>
              <w:t xml:space="preserve">0.208740</w:t>
            </w:r>
          </w:p>
        </w:tc>
        <w:tc>
          <w:tcPr>
            <w:tcW w:w="1300" w:type="dxa"/>
            <w:vAlign w:val="center"/>
            <w:shd w:fill="FFFFFF"/>
          </w:tcPr>
          <w:p>
            <w:pPr>
              <w:keepNext w:val="0"/>
              <w:spacing w:before="0" w:after="20" w:line="240" w:lineRule="auto"/>
              <w:jc w:val="center"/>
            </w:pPr>
            <w:r>
              <w:rPr>
                <w:rFonts w:ascii="Times New Roman" w:hAnsi="Times New Roman"/>
                <w:b w:val="0"/>
                <w:color w:val="000000"/>
                <w:sz w:val="17"/>
              </w:rPr>
              <w:t xml:space="preserve">1.432112</w:t>
            </w:r>
          </w:p>
        </w:tc>
        <w:tc>
          <w:tcPr>
            <w:tcW w:w="1050" w:type="dxa"/>
            <w:vAlign w:val="center"/>
            <w:shd w:fill="FFFFFF"/>
          </w:tcPr>
          <w:p>
            <w:pPr>
              <w:keepNext w:val="0"/>
              <w:spacing w:before="0" w:after="20" w:line="240" w:lineRule="auto"/>
              <w:jc w:val="center"/>
            </w:pPr>
            <w:r>
              <w:rPr>
                <w:rFonts w:ascii="Times New Roman" w:hAnsi="Times New Roman"/>
                <w:b w:val="0"/>
                <w:color w:val="000000"/>
                <w:sz w:val="17"/>
              </w:rPr>
              <w:t xml:space="preserve">0</w:t>
            </w:r>
          </w:p>
        </w:tc>
        <w:tc>
          <w:tcPr>
            <w:tcW w:w="1030" w:type="dxa"/>
            <w:vAlign w:val="center"/>
            <w:shd w:fill="FFFFFF"/>
          </w:tcPr>
          <w:p>
            <w:pPr>
              <w:keepNext w:val="0"/>
              <w:spacing w:before="0" w:after="20" w:line="240" w:lineRule="auto"/>
              <w:jc w:val="center"/>
            </w:pPr>
            <w:r>
              <w:rPr>
                <w:rFonts w:ascii="Times New Roman" w:hAnsi="Times New Roman"/>
                <w:b w:val="0"/>
                <w:color w:val="000000"/>
                <w:sz w:val="17"/>
              </w:rPr>
              <w:t xml:space="preserve">0</w:t>
            </w:r>
          </w:p>
        </w:tc>
      </w:tr>
      <w:tr>
        <w:trPr>
          <w:cantSplit/>
        </w:trPr>
        <w:tc>
          <w:tcPr>
            <w:tcW w:w="1200" w:type="dxa"/>
            <w:vAlign w:val="center"/>
            <w:shd w:fill="FFFFFF"/>
          </w:tcPr>
          <w:p>
            <w:pPr>
              <w:keepNext w:val="0"/>
              <w:spacing w:before="0" w:after="20" w:line="240" w:lineRule="auto"/>
              <w:jc w:val="left"/>
            </w:pPr>
            <w:r>
              <w:rPr>
                <w:rFonts w:ascii="Times New Roman" w:hAnsi="Times New Roman"/>
                <w:b w:val="0"/>
                <w:color w:val="000000"/>
                <w:sz w:val="17"/>
              </w:rPr>
              <w:t xml:space="preserve">Projection</w:t>
            </w:r>
          </w:p>
        </w:tc>
        <w:tc>
          <w:tcPr>
            <w:tcW w:w="1500" w:type="dxa"/>
            <w:vAlign w:val="center"/>
            <w:shd w:fill="FFFFFF"/>
          </w:tcPr>
          <w:p>
            <w:pPr>
              <w:keepNext w:val="0"/>
              <w:spacing w:before="0" w:after="20" w:line="240" w:lineRule="auto"/>
              <w:jc w:val="center"/>
            </w:pPr>
            <w:r>
              <w:rPr>
                <w:rFonts w:ascii="Times New Roman" w:hAnsi="Times New Roman"/>
                <w:b w:val="0"/>
                <w:color w:val="000000"/>
                <w:sz w:val="17"/>
              </w:rPr>
              <w:t xml:space="preserve">cap50</w:t>
            </w:r>
          </w:p>
        </w:tc>
        <w:tc>
          <w:tcPr>
            <w:tcW w:w="1250" w:type="dxa"/>
            <w:vAlign w:val="center"/>
            <w:shd w:fill="FFFFFF"/>
          </w:tcPr>
          <w:p>
            <w:pPr>
              <w:keepNext w:val="0"/>
              <w:spacing w:before="0" w:after="20" w:line="240" w:lineRule="auto"/>
              <w:jc w:val="center"/>
            </w:pPr>
            <w:r>
              <w:rPr>
                <w:rFonts w:ascii="Times New Roman" w:hAnsi="Times New Roman"/>
                <w:b w:val="0"/>
                <w:color w:val="000000"/>
                <w:sz w:val="17"/>
              </w:rPr>
              <w:t xml:space="preserve">126.6</w:t>
            </w:r>
          </w:p>
        </w:tc>
        <w:tc>
          <w:tcPr>
            <w:tcW w:w="1330" w:type="dxa"/>
            <w:vAlign w:val="center"/>
            <w:shd w:fill="FFFFFF"/>
          </w:tcPr>
          <w:p>
            <w:pPr>
              <w:keepNext w:val="0"/>
              <w:spacing w:before="0" w:after="20" w:line="240" w:lineRule="auto"/>
              <w:jc w:val="center"/>
            </w:pPr>
            <w:r>
              <w:rPr>
                <w:rFonts w:ascii="Times New Roman" w:hAnsi="Times New Roman"/>
                <w:b w:val="0"/>
                <w:color w:val="000000"/>
                <w:sz w:val="17"/>
              </w:rPr>
              <w:t xml:space="preserve">0.700580</w:t>
            </w:r>
          </w:p>
        </w:tc>
        <w:tc>
          <w:tcPr>
            <w:tcW w:w="1300" w:type="dxa"/>
            <w:vAlign w:val="center"/>
            <w:shd w:fill="FFFFFF"/>
          </w:tcPr>
          <w:p>
            <w:pPr>
              <w:keepNext w:val="0"/>
              <w:spacing w:before="0" w:after="20" w:line="240" w:lineRule="auto"/>
              <w:jc w:val="center"/>
            </w:pPr>
            <w:r>
              <w:rPr>
                <w:rFonts w:ascii="Times New Roman" w:hAnsi="Times New Roman"/>
                <w:b w:val="0"/>
                <w:color w:val="000000"/>
                <w:sz w:val="17"/>
              </w:rPr>
              <w:t xml:space="preserve">0.894687</w:t>
            </w:r>
          </w:p>
        </w:tc>
        <w:tc>
          <w:tcPr>
            <w:tcW w:w="1050" w:type="dxa"/>
            <w:vAlign w:val="center"/>
            <w:shd w:fill="FFFFFF"/>
          </w:tcPr>
          <w:p>
            <w:pPr>
              <w:keepNext w:val="0"/>
              <w:spacing w:before="0" w:after="20" w:line="240" w:lineRule="auto"/>
              <w:jc w:val="center"/>
            </w:pPr>
            <w:r>
              <w:rPr>
                <w:rFonts w:ascii="Times New Roman" w:hAnsi="Times New Roman"/>
                <w:b w:val="0"/>
                <w:color w:val="000000"/>
                <w:sz w:val="17"/>
              </w:rPr>
              <w:t xml:space="preserve">0</w:t>
            </w:r>
          </w:p>
        </w:tc>
        <w:tc>
          <w:tcPr>
            <w:tcW w:w="1030" w:type="dxa"/>
            <w:vAlign w:val="center"/>
            <w:shd w:fill="FFFFFF"/>
          </w:tcPr>
          <w:p>
            <w:pPr>
              <w:keepNext w:val="0"/>
              <w:spacing w:before="0" w:after="20" w:line="240" w:lineRule="auto"/>
              <w:jc w:val="center"/>
            </w:pPr>
            <w:r>
              <w:rPr>
                <w:rFonts w:ascii="Times New Roman" w:hAnsi="Times New Roman"/>
                <w:b w:val="0"/>
                <w:color w:val="000000"/>
                <w:sz w:val="17"/>
              </w:rPr>
              <w:t xml:space="preserve">0</w:t>
            </w:r>
          </w:p>
        </w:tc>
      </w:tr>
      <w:tr>
        <w:trPr>
          <w:cantSplit/>
        </w:trPr>
        <w:tc>
          <w:tcPr>
            <w:tcW w:w="1200" w:type="dxa"/>
            <w:vAlign w:val="center"/>
            <w:shd w:fill="FFFFFF"/>
          </w:tcPr>
          <w:p>
            <w:pPr>
              <w:keepNext w:val="0"/>
              <w:spacing w:before="0" w:after="20" w:line="240" w:lineRule="auto"/>
              <w:jc w:val="left"/>
            </w:pPr>
            <w:r>
              <w:rPr>
                <w:rFonts w:ascii="Times New Roman" w:hAnsi="Times New Roman"/>
                <w:b w:val="0"/>
                <w:color w:val="000000"/>
                <w:sz w:val="17"/>
              </w:rPr>
              <w:t xml:space="preserve">Guarded</w:t>
            </w:r>
          </w:p>
        </w:tc>
        <w:tc>
          <w:tcPr>
            <w:tcW w:w="1500" w:type="dxa"/>
            <w:vAlign w:val="center"/>
            <w:shd w:fill="FFFFFF"/>
          </w:tcPr>
          <w:p>
            <w:pPr>
              <w:keepNext w:val="0"/>
              <w:spacing w:before="0" w:after="20" w:line="240" w:lineRule="auto"/>
              <w:jc w:val="center"/>
            </w:pPr>
            <w:r>
              <w:rPr>
                <w:rFonts w:ascii="Times New Roman" w:hAnsi="Times New Roman"/>
                <w:b w:val="0"/>
                <w:color w:val="000000"/>
                <w:sz w:val="17"/>
              </w:rPr>
              <w:t xml:space="preserve">cap50</w:t>
            </w:r>
          </w:p>
        </w:tc>
        <w:tc>
          <w:tcPr>
            <w:tcW w:w="1250" w:type="dxa"/>
            <w:vAlign w:val="center"/>
            <w:shd w:fill="FFFFFF"/>
          </w:tcPr>
          <w:p>
            <w:pPr>
              <w:keepNext w:val="0"/>
              <w:spacing w:before="0" w:after="20" w:line="240" w:lineRule="auto"/>
              <w:jc w:val="center"/>
            </w:pPr>
            <w:r>
              <w:rPr>
                <w:rFonts w:ascii="Times New Roman" w:hAnsi="Times New Roman"/>
                <w:b w:val="0"/>
                <w:color w:val="000000"/>
                <w:sz w:val="17"/>
              </w:rPr>
              <w:t xml:space="preserve">1.533e-11</w:t>
            </w:r>
          </w:p>
        </w:tc>
        <w:tc>
          <w:tcPr>
            <w:tcW w:w="1330" w:type="dxa"/>
            <w:vAlign w:val="center"/>
            <w:shd w:fill="FFFFFF"/>
          </w:tcPr>
          <w:p>
            <w:pPr>
              <w:keepNext w:val="0"/>
              <w:spacing w:before="0" w:after="20" w:line="240" w:lineRule="auto"/>
              <w:jc w:val="center"/>
            </w:pPr>
            <w:r>
              <w:rPr>
                <w:rFonts w:ascii="Times New Roman" w:hAnsi="Times New Roman"/>
                <w:b w:val="0"/>
                <w:color w:val="000000"/>
                <w:sz w:val="17"/>
              </w:rPr>
              <w:t xml:space="preserve">0.700580</w:t>
            </w:r>
          </w:p>
        </w:tc>
        <w:tc>
          <w:tcPr>
            <w:tcW w:w="1300" w:type="dxa"/>
            <w:vAlign w:val="center"/>
            <w:shd w:fill="FFFFFF"/>
          </w:tcPr>
          <w:p>
            <w:pPr>
              <w:keepNext w:val="0"/>
              <w:spacing w:before="0" w:after="20" w:line="240" w:lineRule="auto"/>
              <w:jc w:val="center"/>
            </w:pPr>
            <w:r>
              <w:rPr>
                <w:rFonts w:ascii="Times New Roman" w:hAnsi="Times New Roman"/>
                <w:b w:val="0"/>
                <w:color w:val="000000"/>
                <w:sz w:val="17"/>
              </w:rPr>
              <w:t xml:space="preserve">0.989778</w:t>
            </w:r>
          </w:p>
        </w:tc>
        <w:tc>
          <w:tcPr>
            <w:tcW w:w="1050" w:type="dxa"/>
            <w:vAlign w:val="center"/>
            <w:shd w:fill="FFFFFF"/>
          </w:tcPr>
          <w:p>
            <w:pPr>
              <w:keepNext w:val="0"/>
              <w:spacing w:before="0" w:after="20" w:line="240" w:lineRule="auto"/>
              <w:jc w:val="center"/>
            </w:pPr>
            <w:r>
              <w:rPr>
                <w:rFonts w:ascii="Times New Roman" w:hAnsi="Times New Roman"/>
                <w:b w:val="0"/>
                <w:color w:val="000000"/>
                <w:sz w:val="17"/>
              </w:rPr>
              <w:t xml:space="preserve">0</w:t>
            </w:r>
          </w:p>
        </w:tc>
        <w:tc>
          <w:tcPr>
            <w:tcW w:w="1030" w:type="dxa"/>
            <w:vAlign w:val="center"/>
            <w:shd w:fill="FFFFFF"/>
          </w:tcPr>
          <w:p>
            <w:pPr>
              <w:keepNext w:val="0"/>
              <w:spacing w:before="0" w:after="20" w:line="240" w:lineRule="auto"/>
              <w:jc w:val="center"/>
            </w:pPr>
            <w:r>
              <w:rPr>
                <w:rFonts w:ascii="Times New Roman" w:hAnsi="Times New Roman"/>
                <w:b w:val="0"/>
                <w:color w:val="000000"/>
                <w:sz w:val="17"/>
              </w:rPr>
              <w:t xml:space="preserve">0</w:t>
            </w:r>
          </w:p>
        </w:tc>
      </w:tr>
      <w:tr>
        <w:trPr>
          <w:cantSplit/>
        </w:trPr>
        <w:tc>
          <w:tcPr>
            <w:tcW w:w="1200" w:type="dxa"/>
            <w:vAlign w:val="center"/>
            <w:shd w:fill="FFFFFF"/>
          </w:tcPr>
          <w:p>
            <w:pPr>
              <w:keepNext w:val="0"/>
              <w:spacing w:before="0" w:after="20" w:line="240" w:lineRule="auto"/>
              <w:jc w:val="left"/>
            </w:pPr>
            <w:r>
              <w:rPr>
                <w:rFonts w:ascii="Times New Roman" w:hAnsi="Times New Roman"/>
                <w:b w:val="0"/>
                <w:color w:val="000000"/>
                <w:sz w:val="17"/>
              </w:rPr>
              <w:t xml:space="preserve">Projection</w:t>
            </w:r>
          </w:p>
        </w:tc>
        <w:tc>
          <w:tcPr>
            <w:tcW w:w="1500" w:type="dxa"/>
            <w:vAlign w:val="center"/>
            <w:shd w:fill="FFFFFF"/>
          </w:tcPr>
          <w:p>
            <w:pPr>
              <w:keepNext w:val="0"/>
              <w:spacing w:before="0" w:after="20" w:line="240" w:lineRule="auto"/>
              <w:jc w:val="center"/>
            </w:pPr>
            <w:r>
              <w:rPr>
                <w:rFonts w:ascii="Times New Roman" w:hAnsi="Times New Roman"/>
                <w:b w:val="0"/>
                <w:color w:val="000000"/>
                <w:sz w:val="17"/>
              </w:rPr>
              <w:t xml:space="preserve">ramp25</w:t>
            </w:r>
          </w:p>
        </w:tc>
        <w:tc>
          <w:tcPr>
            <w:tcW w:w="1250" w:type="dxa"/>
            <w:vAlign w:val="center"/>
            <w:shd w:fill="FFFFFF"/>
          </w:tcPr>
          <w:p>
            <w:pPr>
              <w:keepNext w:val="0"/>
              <w:spacing w:before="0" w:after="20" w:line="240" w:lineRule="auto"/>
              <w:jc w:val="center"/>
            </w:pPr>
            <w:r>
              <w:rPr>
                <w:rFonts w:ascii="Times New Roman" w:hAnsi="Times New Roman"/>
                <w:b w:val="0"/>
                <w:color w:val="000000"/>
                <w:sz w:val="17"/>
              </w:rPr>
              <w:t xml:space="preserve">109.7</w:t>
            </w:r>
          </w:p>
        </w:tc>
        <w:tc>
          <w:tcPr>
            <w:tcW w:w="1330" w:type="dxa"/>
            <w:vAlign w:val="center"/>
            <w:shd w:fill="FFFFFF"/>
          </w:tcPr>
          <w:p>
            <w:pPr>
              <w:keepNext w:val="0"/>
              <w:spacing w:before="0" w:after="20" w:line="240" w:lineRule="auto"/>
              <w:jc w:val="center"/>
            </w:pPr>
            <w:r>
              <w:rPr>
                <w:rFonts w:ascii="Times New Roman" w:hAnsi="Times New Roman"/>
                <w:b w:val="0"/>
                <w:color w:val="000000"/>
                <w:sz w:val="17"/>
              </w:rPr>
              <w:t xml:space="preserve">0.317801</w:t>
            </w:r>
          </w:p>
        </w:tc>
        <w:tc>
          <w:tcPr>
            <w:tcW w:w="1300" w:type="dxa"/>
            <w:vAlign w:val="center"/>
            <w:shd w:fill="FFFFFF"/>
          </w:tcPr>
          <w:p>
            <w:pPr>
              <w:keepNext w:val="0"/>
              <w:spacing w:before="0" w:after="20" w:line="240" w:lineRule="auto"/>
              <w:jc w:val="center"/>
            </w:pPr>
            <w:r>
              <w:rPr>
                <w:rFonts w:ascii="Times New Roman" w:hAnsi="Times New Roman"/>
                <w:b w:val="0"/>
                <w:color w:val="000000"/>
                <w:sz w:val="17"/>
              </w:rPr>
              <w:t xml:space="preserve">0.537556</w:t>
            </w:r>
          </w:p>
        </w:tc>
        <w:tc>
          <w:tcPr>
            <w:tcW w:w="1050" w:type="dxa"/>
            <w:vAlign w:val="center"/>
            <w:shd w:fill="FFFFFF"/>
          </w:tcPr>
          <w:p>
            <w:pPr>
              <w:keepNext w:val="0"/>
              <w:spacing w:before="0" w:after="20" w:line="240" w:lineRule="auto"/>
              <w:jc w:val="center"/>
            </w:pPr>
            <w:r>
              <w:rPr>
                <w:rFonts w:ascii="Times New Roman" w:hAnsi="Times New Roman"/>
                <w:b w:val="0"/>
                <w:color w:val="000000"/>
                <w:sz w:val="17"/>
              </w:rPr>
              <w:t xml:space="preserve">0</w:t>
            </w:r>
          </w:p>
        </w:tc>
        <w:tc>
          <w:tcPr>
            <w:tcW w:w="1030" w:type="dxa"/>
            <w:vAlign w:val="center"/>
            <w:shd w:fill="FFFFFF"/>
          </w:tcPr>
          <w:p>
            <w:pPr>
              <w:keepNext w:val="0"/>
              <w:spacing w:before="0" w:after="20" w:line="240" w:lineRule="auto"/>
              <w:jc w:val="center"/>
            </w:pPr>
            <w:r>
              <w:rPr>
                <w:rFonts w:ascii="Times New Roman" w:hAnsi="Times New Roman"/>
                <w:b w:val="0"/>
                <w:color w:val="000000"/>
                <w:sz w:val="17"/>
              </w:rPr>
              <w:t xml:space="preserve">4.4e-16</w:t>
            </w:r>
          </w:p>
        </w:tc>
      </w:tr>
      <w:tr>
        <w:trPr>
          <w:cantSplit/>
        </w:trPr>
        <w:tc>
          <w:tcPr>
            <w:tcW w:w="1200" w:type="dxa"/>
            <w:vAlign w:val="center"/>
            <w:shd w:fill="FFFFFF"/>
          </w:tcPr>
          <w:p>
            <w:pPr>
              <w:keepNext w:val="0"/>
              <w:spacing w:before="0" w:after="20" w:line="240" w:lineRule="auto"/>
              <w:jc w:val="left"/>
            </w:pPr>
            <w:r>
              <w:rPr>
                <w:rFonts w:ascii="Times New Roman" w:hAnsi="Times New Roman"/>
                <w:b w:val="0"/>
                <w:color w:val="000000"/>
                <w:sz w:val="17"/>
              </w:rPr>
              <w:t xml:space="preserve">Guarded</w:t>
            </w:r>
          </w:p>
        </w:tc>
        <w:tc>
          <w:tcPr>
            <w:tcW w:w="1500" w:type="dxa"/>
            <w:vAlign w:val="center"/>
            <w:shd w:fill="FFFFFF"/>
          </w:tcPr>
          <w:p>
            <w:pPr>
              <w:keepNext w:val="0"/>
              <w:spacing w:before="0" w:after="20" w:line="240" w:lineRule="auto"/>
              <w:jc w:val="center"/>
            </w:pPr>
            <w:r>
              <w:rPr>
                <w:rFonts w:ascii="Times New Roman" w:hAnsi="Times New Roman"/>
                <w:b w:val="0"/>
                <w:color w:val="000000"/>
                <w:sz w:val="17"/>
              </w:rPr>
              <w:t xml:space="preserve">ramp25</w:t>
            </w:r>
          </w:p>
        </w:tc>
        <w:tc>
          <w:tcPr>
            <w:tcW w:w="1250" w:type="dxa"/>
            <w:vAlign w:val="center"/>
            <w:shd w:fill="FFFFFF"/>
          </w:tcPr>
          <w:p>
            <w:pPr>
              <w:keepNext w:val="0"/>
              <w:spacing w:before="0" w:after="20" w:line="240" w:lineRule="auto"/>
              <w:jc w:val="center"/>
            </w:pPr>
            <w:r>
              <w:rPr>
                <w:rFonts w:ascii="Times New Roman" w:hAnsi="Times New Roman"/>
                <w:b w:val="0"/>
                <w:color w:val="000000"/>
                <w:sz w:val="17"/>
              </w:rPr>
              <w:t xml:space="preserve">1.174e-11</w:t>
            </w:r>
          </w:p>
        </w:tc>
        <w:tc>
          <w:tcPr>
            <w:tcW w:w="1330" w:type="dxa"/>
            <w:vAlign w:val="center"/>
            <w:shd w:fill="FFFFFF"/>
          </w:tcPr>
          <w:p>
            <w:pPr>
              <w:keepNext w:val="0"/>
              <w:spacing w:before="0" w:after="20" w:line="240" w:lineRule="auto"/>
              <w:jc w:val="center"/>
            </w:pPr>
            <w:r>
              <w:rPr>
                <w:rFonts w:ascii="Times New Roman" w:hAnsi="Times New Roman"/>
                <w:b w:val="0"/>
                <w:color w:val="000000"/>
                <w:sz w:val="17"/>
              </w:rPr>
              <w:t xml:space="preserve">0.317801</w:t>
            </w:r>
          </w:p>
        </w:tc>
        <w:tc>
          <w:tcPr>
            <w:tcW w:w="1300" w:type="dxa"/>
            <w:vAlign w:val="center"/>
            <w:shd w:fill="FFFFFF"/>
          </w:tcPr>
          <w:p>
            <w:pPr>
              <w:keepNext w:val="0"/>
              <w:spacing w:before="0" w:after="20" w:line="240" w:lineRule="auto"/>
              <w:jc w:val="center"/>
            </w:pPr>
            <w:r>
              <w:rPr>
                <w:rFonts w:ascii="Times New Roman" w:hAnsi="Times New Roman"/>
                <w:b w:val="0"/>
                <w:color w:val="000000"/>
                <w:sz w:val="17"/>
              </w:rPr>
              <w:t xml:space="preserve">0.537556</w:t>
            </w:r>
          </w:p>
        </w:tc>
        <w:tc>
          <w:tcPr>
            <w:tcW w:w="1050" w:type="dxa"/>
            <w:vAlign w:val="center"/>
            <w:shd w:fill="FFFFFF"/>
          </w:tcPr>
          <w:p>
            <w:pPr>
              <w:keepNext w:val="0"/>
              <w:spacing w:before="0" w:after="20" w:line="240" w:lineRule="auto"/>
              <w:jc w:val="center"/>
            </w:pPr>
            <w:r>
              <w:rPr>
                <w:rFonts w:ascii="Times New Roman" w:hAnsi="Times New Roman"/>
                <w:b w:val="0"/>
                <w:color w:val="000000"/>
                <w:sz w:val="17"/>
              </w:rPr>
              <w:t xml:space="preserve">0</w:t>
            </w:r>
          </w:p>
        </w:tc>
        <w:tc>
          <w:tcPr>
            <w:tcW w:w="1030" w:type="dxa"/>
            <w:vAlign w:val="center"/>
            <w:shd w:fill="FFFFFF"/>
          </w:tcPr>
          <w:p>
            <w:pPr>
              <w:keepNext w:val="0"/>
              <w:spacing w:before="0" w:after="20" w:line="240" w:lineRule="auto"/>
              <w:jc w:val="center"/>
            </w:pPr>
            <w:r>
              <w:rPr>
                <w:rFonts w:ascii="Times New Roman" w:hAnsi="Times New Roman"/>
                <w:b w:val="0"/>
                <w:color w:val="000000"/>
                <w:sz w:val="17"/>
              </w:rPr>
              <w:t xml:space="preserve">3.3e-16</w:t>
            </w:r>
          </w:p>
        </w:tc>
      </w:tr>
      <w:tr>
        <w:trPr>
          <w:cantSplit/>
        </w:trPr>
        <w:tc>
          <w:tcPr>
            <w:tcW w:w="1200" w:type="dxa"/>
            <w:vAlign w:val="center"/>
            <w:shd w:fill="FFFFFF"/>
          </w:tcPr>
          <w:p>
            <w:pPr>
              <w:keepNext w:val="0"/>
              <w:spacing w:before="0" w:after="20" w:line="240" w:lineRule="auto"/>
              <w:jc w:val="left"/>
            </w:pPr>
            <w:r>
              <w:rPr>
                <w:rFonts w:ascii="Times New Roman" w:hAnsi="Times New Roman"/>
                <w:b w:val="0"/>
                <w:color w:val="000000"/>
                <w:sz w:val="17"/>
              </w:rPr>
              <w:t xml:space="preserve">Projection</w:t>
            </w:r>
          </w:p>
        </w:tc>
        <w:tc>
          <w:tcPr>
            <w:tcW w:w="1500" w:type="dxa"/>
            <w:vAlign w:val="center"/>
            <w:shd w:fill="FFFFFF"/>
          </w:tcPr>
          <w:p>
            <w:pPr>
              <w:keepNext w:val="0"/>
              <w:spacing w:before="0" w:after="20" w:line="240" w:lineRule="auto"/>
              <w:jc w:val="center"/>
            </w:pPr>
            <w:r>
              <w:rPr>
                <w:rFonts w:ascii="Times New Roman" w:hAnsi="Times New Roman"/>
                <w:b w:val="0"/>
                <w:color w:val="000000"/>
                <w:sz w:val="17"/>
              </w:rPr>
              <w:t xml:space="preserve">ramp125</w:t>
            </w:r>
          </w:p>
        </w:tc>
        <w:tc>
          <w:tcPr>
            <w:tcW w:w="1250" w:type="dxa"/>
            <w:vAlign w:val="center"/>
            <w:shd w:fill="FFFFFF"/>
          </w:tcPr>
          <w:p>
            <w:pPr>
              <w:keepNext w:val="0"/>
              <w:spacing w:before="0" w:after="20" w:line="240" w:lineRule="auto"/>
              <w:jc w:val="center"/>
            </w:pPr>
            <w:r>
              <w:rPr>
                <w:rFonts w:ascii="Times New Roman" w:hAnsi="Times New Roman"/>
                <w:b w:val="0"/>
                <w:color w:val="000000"/>
                <w:sz w:val="17"/>
              </w:rPr>
              <w:t xml:space="preserve">764.6</w:t>
            </w:r>
          </w:p>
        </w:tc>
        <w:tc>
          <w:tcPr>
            <w:tcW w:w="1330" w:type="dxa"/>
            <w:vAlign w:val="center"/>
            <w:shd w:fill="FFFFFF"/>
          </w:tcPr>
          <w:p>
            <w:pPr>
              <w:keepNext w:val="0"/>
              <w:spacing w:before="0" w:after="20" w:line="240" w:lineRule="auto"/>
              <w:jc w:val="center"/>
            </w:pPr>
            <w:r>
              <w:rPr>
                <w:rFonts w:ascii="Times New Roman" w:hAnsi="Times New Roman"/>
                <w:b w:val="0"/>
                <w:color w:val="000000"/>
                <w:sz w:val="17"/>
              </w:rPr>
              <w:t xml:space="preserve">0.852438</w:t>
            </w:r>
          </w:p>
        </w:tc>
        <w:tc>
          <w:tcPr>
            <w:tcW w:w="1300" w:type="dxa"/>
            <w:vAlign w:val="center"/>
            <w:shd w:fill="FFFFFF"/>
          </w:tcPr>
          <w:p>
            <w:pPr>
              <w:keepNext w:val="0"/>
              <w:spacing w:before="0" w:after="20" w:line="240" w:lineRule="auto"/>
              <w:jc w:val="center"/>
            </w:pPr>
            <w:r>
              <w:rPr>
                <w:rFonts w:ascii="Times New Roman" w:hAnsi="Times New Roman"/>
                <w:b w:val="0"/>
                <w:color w:val="000000"/>
                <w:sz w:val="17"/>
              </w:rPr>
              <w:t xml:space="preserve">0.268778</w:t>
            </w:r>
          </w:p>
        </w:tc>
        <w:tc>
          <w:tcPr>
            <w:tcW w:w="1050" w:type="dxa"/>
            <w:vAlign w:val="center"/>
            <w:shd w:fill="FFFFFF"/>
          </w:tcPr>
          <w:p>
            <w:pPr>
              <w:keepNext w:val="0"/>
              <w:spacing w:before="0" w:after="20" w:line="240" w:lineRule="auto"/>
              <w:jc w:val="center"/>
            </w:pPr>
            <w:r>
              <w:rPr>
                <w:rFonts w:ascii="Times New Roman" w:hAnsi="Times New Roman"/>
                <w:b w:val="0"/>
                <w:color w:val="000000"/>
                <w:sz w:val="17"/>
              </w:rPr>
              <w:t xml:space="preserve">0</w:t>
            </w:r>
          </w:p>
        </w:tc>
        <w:tc>
          <w:tcPr>
            <w:tcW w:w="1030" w:type="dxa"/>
            <w:vAlign w:val="center"/>
            <w:shd w:fill="FFFFFF"/>
          </w:tcPr>
          <w:p>
            <w:pPr>
              <w:keepNext w:val="0"/>
              <w:spacing w:before="0" w:after="20" w:line="240" w:lineRule="auto"/>
              <w:jc w:val="center"/>
            </w:pPr>
            <w:r>
              <w:rPr>
                <w:rFonts w:ascii="Times New Roman" w:hAnsi="Times New Roman"/>
                <w:b w:val="0"/>
                <w:color w:val="000000"/>
                <w:sz w:val="17"/>
              </w:rPr>
              <w:t xml:space="preserve">5.6e-16</w:t>
            </w:r>
          </w:p>
        </w:tc>
      </w:tr>
      <w:tr>
        <w:trPr>
          <w:cantSplit/>
        </w:trPr>
        <w:tc>
          <w:tcPr>
            <w:tcW w:w="1200" w:type="dxa"/>
            <w:vAlign w:val="center"/>
            <w:shd w:fill="FFFFFF"/>
          </w:tcPr>
          <w:p>
            <w:pPr>
              <w:keepNext w:val="0"/>
              <w:spacing w:before="0" w:after="20" w:line="240" w:lineRule="auto"/>
              <w:jc w:val="left"/>
            </w:pPr>
            <w:r>
              <w:rPr>
                <w:rFonts w:ascii="Times New Roman" w:hAnsi="Times New Roman"/>
                <w:b w:val="0"/>
                <w:color w:val="000000"/>
                <w:sz w:val="17"/>
              </w:rPr>
              <w:t xml:space="preserve">Guarded</w:t>
            </w:r>
          </w:p>
        </w:tc>
        <w:tc>
          <w:tcPr>
            <w:tcW w:w="1500" w:type="dxa"/>
            <w:vAlign w:val="center"/>
            <w:shd w:fill="FFFFFF"/>
          </w:tcPr>
          <w:p>
            <w:pPr>
              <w:keepNext w:val="0"/>
              <w:spacing w:before="0" w:after="20" w:line="240" w:lineRule="auto"/>
              <w:jc w:val="center"/>
            </w:pPr>
            <w:r>
              <w:rPr>
                <w:rFonts w:ascii="Times New Roman" w:hAnsi="Times New Roman"/>
                <w:b w:val="0"/>
                <w:color w:val="000000"/>
                <w:sz w:val="17"/>
              </w:rPr>
              <w:t xml:space="preserve">ramp125</w:t>
            </w:r>
          </w:p>
        </w:tc>
        <w:tc>
          <w:tcPr>
            <w:tcW w:w="1250" w:type="dxa"/>
            <w:vAlign w:val="center"/>
            <w:shd w:fill="FFFFFF"/>
          </w:tcPr>
          <w:p>
            <w:pPr>
              <w:keepNext w:val="0"/>
              <w:spacing w:before="0" w:after="20" w:line="240" w:lineRule="auto"/>
              <w:jc w:val="center"/>
            </w:pPr>
            <w:r>
              <w:rPr>
                <w:rFonts w:ascii="Times New Roman" w:hAnsi="Times New Roman"/>
                <w:b w:val="0"/>
                <w:color w:val="000000"/>
                <w:sz w:val="17"/>
              </w:rPr>
              <w:t xml:space="preserve">0</w:t>
            </w:r>
          </w:p>
        </w:tc>
        <w:tc>
          <w:tcPr>
            <w:tcW w:w="1330" w:type="dxa"/>
            <w:vAlign w:val="center"/>
            <w:shd w:fill="FFFFFF"/>
          </w:tcPr>
          <w:p>
            <w:pPr>
              <w:keepNext w:val="0"/>
              <w:spacing w:before="0" w:after="20" w:line="240" w:lineRule="auto"/>
              <w:jc w:val="center"/>
            </w:pPr>
            <w:r>
              <w:rPr>
                <w:rFonts w:ascii="Times New Roman" w:hAnsi="Times New Roman"/>
                <w:b w:val="0"/>
                <w:color w:val="000000"/>
                <w:sz w:val="17"/>
              </w:rPr>
              <w:t xml:space="preserve">0.149557</w:t>
            </w:r>
          </w:p>
        </w:tc>
        <w:tc>
          <w:tcPr>
            <w:tcW w:w="1300" w:type="dxa"/>
            <w:vAlign w:val="center"/>
            <w:shd w:fill="FFFFFF"/>
          </w:tcPr>
          <w:p>
            <w:pPr>
              <w:keepNext w:val="0"/>
              <w:spacing w:before="0" w:after="20" w:line="240" w:lineRule="auto"/>
              <w:jc w:val="center"/>
            </w:pPr>
            <w:r>
              <w:rPr>
                <w:rFonts w:ascii="Times New Roman" w:hAnsi="Times New Roman"/>
                <w:b w:val="0"/>
                <w:color w:val="000000"/>
                <w:sz w:val="17"/>
              </w:rPr>
              <w:t xml:space="preserve">0.268778</w:t>
            </w:r>
          </w:p>
        </w:tc>
        <w:tc>
          <w:tcPr>
            <w:tcW w:w="1050" w:type="dxa"/>
            <w:vAlign w:val="center"/>
            <w:shd w:fill="FFFFFF"/>
          </w:tcPr>
          <w:p>
            <w:pPr>
              <w:keepNext w:val="0"/>
              <w:spacing w:before="0" w:after="20" w:line="240" w:lineRule="auto"/>
              <w:jc w:val="center"/>
            </w:pPr>
            <w:r>
              <w:rPr>
                <w:rFonts w:ascii="Times New Roman" w:hAnsi="Times New Roman"/>
                <w:b w:val="0"/>
                <w:color w:val="000000"/>
                <w:sz w:val="17"/>
              </w:rPr>
              <w:t xml:space="preserve">0</w:t>
            </w:r>
          </w:p>
        </w:tc>
        <w:tc>
          <w:tcPr>
            <w:tcW w:w="1030" w:type="dxa"/>
            <w:vAlign w:val="center"/>
            <w:shd w:fill="FFFFFF"/>
          </w:tcPr>
          <w:p>
            <w:pPr>
              <w:keepNext w:val="0"/>
              <w:spacing w:before="0" w:after="20" w:line="240" w:lineRule="auto"/>
              <w:jc w:val="center"/>
            </w:pPr>
            <w:r>
              <w:rPr>
                <w:rFonts w:ascii="Times New Roman" w:hAnsi="Times New Roman"/>
                <w:b w:val="0"/>
                <w:color w:val="000000"/>
                <w:sz w:val="17"/>
              </w:rPr>
              <w:t xml:space="preserve">5.6e-16</w:t>
            </w:r>
          </w:p>
        </w:tc>
      </w:tr>
      <w:tr>
        <w:trPr>
          <w:cantSplit/>
        </w:trPr>
        <w:tc>
          <w:tcPr>
            <w:tcW w:w="1200" w:type="dxa"/>
            <w:vAlign w:val="center"/>
            <w:shd w:fill="FFFFFF"/>
          </w:tcPr>
          <w:p>
            <w:pPr>
              <w:keepNext w:val="0"/>
              <w:spacing w:before="0" w:after="20" w:line="240" w:lineRule="auto"/>
              <w:jc w:val="left"/>
            </w:pPr>
            <w:r>
              <w:rPr>
                <w:rFonts w:ascii="Times New Roman" w:hAnsi="Times New Roman"/>
                <w:b w:val="0"/>
                <w:color w:val="000000"/>
                <w:sz w:val="17"/>
              </w:rPr>
              <w:t xml:space="preserve">Projection</w:t>
            </w:r>
          </w:p>
        </w:tc>
        <w:tc>
          <w:tcPr>
            <w:tcW w:w="1500" w:type="dxa"/>
            <w:vAlign w:val="center"/>
            <w:shd w:fill="FFFFFF"/>
          </w:tcPr>
          <w:p>
            <w:pPr>
              <w:keepNext w:val="0"/>
              <w:spacing w:before="0" w:after="20" w:line="240" w:lineRule="auto"/>
              <w:jc w:val="center"/>
            </w:pPr>
            <w:r>
              <w:rPr>
                <w:rFonts w:ascii="Times New Roman" w:hAnsi="Times New Roman"/>
                <w:b w:val="0"/>
                <w:color w:val="000000"/>
                <w:sz w:val="17"/>
              </w:rPr>
              <w:t xml:space="preserve">cap75_ramp25</w:t>
            </w:r>
          </w:p>
        </w:tc>
        <w:tc>
          <w:tcPr>
            <w:tcW w:w="1250" w:type="dxa"/>
            <w:vAlign w:val="center"/>
            <w:shd w:fill="FFFFFF"/>
          </w:tcPr>
          <w:p>
            <w:pPr>
              <w:keepNext w:val="0"/>
              <w:spacing w:before="0" w:after="20" w:line="240" w:lineRule="auto"/>
              <w:jc w:val="center"/>
            </w:pPr>
            <w:r>
              <w:rPr>
                <w:rFonts w:ascii="Times New Roman" w:hAnsi="Times New Roman"/>
                <w:b w:val="0"/>
                <w:color w:val="000000"/>
                <w:sz w:val="17"/>
              </w:rPr>
              <w:t xml:space="preserve">141.1</w:t>
            </w:r>
          </w:p>
        </w:tc>
        <w:tc>
          <w:tcPr>
            <w:tcW w:w="1330" w:type="dxa"/>
            <w:vAlign w:val="center"/>
            <w:shd w:fill="FFFFFF"/>
          </w:tcPr>
          <w:p>
            <w:pPr>
              <w:keepNext w:val="0"/>
              <w:spacing w:before="0" w:after="20" w:line="240" w:lineRule="auto"/>
              <w:jc w:val="center"/>
            </w:pPr>
            <w:r>
              <w:rPr>
                <w:rFonts w:ascii="Times New Roman" w:hAnsi="Times New Roman"/>
                <w:b w:val="0"/>
                <w:color w:val="000000"/>
                <w:sz w:val="17"/>
              </w:rPr>
              <w:t xml:space="preserve">0.465710</w:t>
            </w:r>
          </w:p>
        </w:tc>
        <w:tc>
          <w:tcPr>
            <w:tcW w:w="1300" w:type="dxa"/>
            <w:vAlign w:val="center"/>
            <w:shd w:fill="FFFFFF"/>
          </w:tcPr>
          <w:p>
            <w:pPr>
              <w:keepNext w:val="0"/>
              <w:spacing w:before="0" w:after="20" w:line="240" w:lineRule="auto"/>
              <w:jc w:val="center"/>
            </w:pPr>
            <w:r>
              <w:rPr>
                <w:rFonts w:ascii="Times New Roman" w:hAnsi="Times New Roman"/>
                <w:b w:val="0"/>
                <w:color w:val="000000"/>
                <w:sz w:val="17"/>
              </w:rPr>
              <w:t xml:space="preserve">0.537556</w:t>
            </w:r>
          </w:p>
        </w:tc>
        <w:tc>
          <w:tcPr>
            <w:tcW w:w="1050" w:type="dxa"/>
            <w:vAlign w:val="center"/>
            <w:shd w:fill="FFFFFF"/>
          </w:tcPr>
          <w:p>
            <w:pPr>
              <w:keepNext w:val="0"/>
              <w:spacing w:before="0" w:after="20" w:line="240" w:lineRule="auto"/>
              <w:jc w:val="center"/>
            </w:pPr>
            <w:r>
              <w:rPr>
                <w:rFonts w:ascii="Times New Roman" w:hAnsi="Times New Roman"/>
                <w:b w:val="0"/>
                <w:color w:val="000000"/>
                <w:sz w:val="17"/>
              </w:rPr>
              <w:t xml:space="preserve">0</w:t>
            </w:r>
          </w:p>
        </w:tc>
        <w:tc>
          <w:tcPr>
            <w:tcW w:w="1030" w:type="dxa"/>
            <w:vAlign w:val="center"/>
            <w:shd w:fill="FFFFFF"/>
          </w:tcPr>
          <w:p>
            <w:pPr>
              <w:keepNext w:val="0"/>
              <w:spacing w:before="0" w:after="20" w:line="240" w:lineRule="auto"/>
              <w:jc w:val="center"/>
            </w:pPr>
            <w:r>
              <w:rPr>
                <w:rFonts w:ascii="Times New Roman" w:hAnsi="Times New Roman"/>
                <w:b w:val="0"/>
                <w:color w:val="000000"/>
                <w:sz w:val="17"/>
              </w:rPr>
              <w:t xml:space="preserve">4.4e-16</w:t>
            </w:r>
          </w:p>
        </w:tc>
      </w:tr>
      <w:tr>
        <w:trPr>
          <w:cantSplit/>
        </w:trPr>
        <w:tc>
          <w:tcPr>
            <w:tcW w:w="1200" w:type="dxa"/>
            <w:vAlign w:val="center"/>
            <w:shd w:fill="FFFFFF"/>
          </w:tcPr>
          <w:p>
            <w:pPr>
              <w:keepNext w:val="0"/>
              <w:spacing w:before="0" w:after="20" w:line="240" w:lineRule="auto"/>
              <w:jc w:val="left"/>
            </w:pPr>
            <w:r>
              <w:rPr>
                <w:rFonts w:ascii="Times New Roman" w:hAnsi="Times New Roman"/>
                <w:b w:val="0"/>
                <w:color w:val="000000"/>
                <w:sz w:val="17"/>
              </w:rPr>
              <w:t xml:space="preserve">Guarded</w:t>
            </w:r>
          </w:p>
        </w:tc>
        <w:tc>
          <w:tcPr>
            <w:tcW w:w="1500" w:type="dxa"/>
            <w:vAlign w:val="center"/>
            <w:shd w:fill="FFFFFF"/>
          </w:tcPr>
          <w:p>
            <w:pPr>
              <w:keepNext w:val="0"/>
              <w:spacing w:before="0" w:after="20" w:line="240" w:lineRule="auto"/>
              <w:jc w:val="center"/>
            </w:pPr>
            <w:r>
              <w:rPr>
                <w:rFonts w:ascii="Times New Roman" w:hAnsi="Times New Roman"/>
                <w:b w:val="0"/>
                <w:color w:val="000000"/>
                <w:sz w:val="17"/>
              </w:rPr>
              <w:t xml:space="preserve">cap75_ramp25</w:t>
            </w:r>
          </w:p>
        </w:tc>
        <w:tc>
          <w:tcPr>
            <w:tcW w:w="1250" w:type="dxa"/>
            <w:vAlign w:val="center"/>
            <w:shd w:fill="FFFFFF"/>
          </w:tcPr>
          <w:p>
            <w:pPr>
              <w:keepNext w:val="0"/>
              <w:spacing w:before="0" w:after="20" w:line="240" w:lineRule="auto"/>
              <w:jc w:val="center"/>
            </w:pPr>
            <w:r>
              <w:rPr>
                <w:rFonts w:ascii="Times New Roman" w:hAnsi="Times New Roman"/>
                <w:b w:val="0"/>
                <w:color w:val="000000"/>
                <w:sz w:val="17"/>
              </w:rPr>
              <w:t xml:space="preserve">1.174e-11</w:t>
            </w:r>
          </w:p>
        </w:tc>
        <w:tc>
          <w:tcPr>
            <w:tcW w:w="1330" w:type="dxa"/>
            <w:vAlign w:val="center"/>
            <w:shd w:fill="FFFFFF"/>
          </w:tcPr>
          <w:p>
            <w:pPr>
              <w:keepNext w:val="0"/>
              <w:spacing w:before="0" w:after="20" w:line="240" w:lineRule="auto"/>
              <w:jc w:val="center"/>
            </w:pPr>
            <w:r>
              <w:rPr>
                <w:rFonts w:ascii="Times New Roman" w:hAnsi="Times New Roman"/>
                <w:b w:val="0"/>
                <w:color w:val="000000"/>
                <w:sz w:val="17"/>
              </w:rPr>
              <w:t xml:space="preserve">0.465710</w:t>
            </w:r>
          </w:p>
        </w:tc>
        <w:tc>
          <w:tcPr>
            <w:tcW w:w="1300" w:type="dxa"/>
            <w:vAlign w:val="center"/>
            <w:shd w:fill="FFFFFF"/>
          </w:tcPr>
          <w:p>
            <w:pPr>
              <w:keepNext w:val="0"/>
              <w:spacing w:before="0" w:after="20" w:line="240" w:lineRule="auto"/>
              <w:jc w:val="center"/>
            </w:pPr>
            <w:r>
              <w:rPr>
                <w:rFonts w:ascii="Times New Roman" w:hAnsi="Times New Roman"/>
                <w:b w:val="0"/>
                <w:color w:val="000000"/>
                <w:sz w:val="17"/>
              </w:rPr>
              <w:t xml:space="preserve">0.537556</w:t>
            </w:r>
          </w:p>
        </w:tc>
        <w:tc>
          <w:tcPr>
            <w:tcW w:w="1050" w:type="dxa"/>
            <w:vAlign w:val="center"/>
            <w:shd w:fill="FFFFFF"/>
          </w:tcPr>
          <w:p>
            <w:pPr>
              <w:keepNext w:val="0"/>
              <w:spacing w:before="0" w:after="20" w:line="240" w:lineRule="auto"/>
              <w:jc w:val="center"/>
            </w:pPr>
            <w:r>
              <w:rPr>
                <w:rFonts w:ascii="Times New Roman" w:hAnsi="Times New Roman"/>
                <w:b w:val="0"/>
                <w:color w:val="000000"/>
                <w:sz w:val="17"/>
              </w:rPr>
              <w:t xml:space="preserve">0</w:t>
            </w:r>
          </w:p>
        </w:tc>
        <w:tc>
          <w:tcPr>
            <w:tcW w:w="1030" w:type="dxa"/>
            <w:vAlign w:val="center"/>
            <w:shd w:fill="FFFFFF"/>
          </w:tcPr>
          <w:p>
            <w:pPr>
              <w:keepNext w:val="0"/>
              <w:spacing w:before="0" w:after="20" w:line="240" w:lineRule="auto"/>
              <w:jc w:val="center"/>
            </w:pPr>
            <w:r>
              <w:rPr>
                <w:rFonts w:ascii="Times New Roman" w:hAnsi="Times New Roman"/>
                <w:b w:val="0"/>
                <w:color w:val="000000"/>
                <w:sz w:val="17"/>
              </w:rPr>
              <w:t xml:space="preserve">3.3e-16</w:t>
            </w:r>
          </w:p>
        </w:tc>
      </w:tr>
    </w:tbl>
    <w:p>
      <w:pPr>
        <w:widowControl/>
      </w:pPr>
      <w:r>
        <w:t>The retained stress tables report zero deadline lateness for the five references, guarded lateness below 10⁻⁸ IT MWh, zero static-cap violations and upward-ramp residuals below 10⁻⁸ MW. The reported replacement-projector checks give maximum numerical lateness 1.54 × 10⁻¹¹ IT MWh and nominal service change 7.28 × 10⁻¹² work units. These remain reported outputs. The inspected public projector responds to current realised physical forcing, so its source alone does not establish the claimed unrevealed-physics invariance of the declared commitment-time rule; the matching replacement-run evidence is specified in Sections S23–S24.</w:t>
      </w:r>
    </w:p>
    <w:p>
      <w:pPr>
        <w:widowControl/>
      </w:pPr>
    </w:p>
    <w:p>
      <w:pPr>
        <w:pStyle w:val="Heading1"/>
        <w:keepNext/>
        <w:widowControl/>
      </w:pPr>
      <w:r>
        <w:t>Photovoltaic sensitivity</w:t>
      </w:r>
    </w:p>
    <w:p>
      <w:pPr>
        <w:pStyle w:val="Caption"/>
        <w:keepNext/>
        <w:widowControl/>
      </w:pPr>
      <w:r>
        <w:t>Supplementary Table 8. Photovoltaic sensitivity against condition-matched references.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2045"/>
        <w:gridCol w:w="2045"/>
        <w:gridCol w:w="2045"/>
        <w:gridCol w:w="2045"/>
        <w:gridCol w:w="2045"/>
      </w:tblGrid>
      <w:tr>
        <w:trPr>
          <w:tblHeader/>
          <w:cantSplit/>
        </w:trPr>
        <w:tc>
          <w:tcPr>
            <w:tcW w:type="dxa" w:w="2045"/>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color w:val="000000"/>
                <w:sz w:val="18"/>
              </w:rPr>
              <w:t>PV fraction</w:t>
            </w:r>
          </w:p>
        </w:tc>
        <w:tc>
          <w:tcPr>
            <w:tcW w:type="dxa" w:w="2045"/>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8"/>
              </w:rPr>
              <w:t>Saving US$</w:t>
            </w:r>
          </w:p>
        </w:tc>
        <w:tc>
          <w:tcPr>
            <w:tcW w:type="dxa" w:w="2045"/>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8"/>
              </w:rPr>
              <w:t>Saving %</w:t>
            </w:r>
          </w:p>
        </w:tc>
        <w:tc>
          <w:tcPr>
            <w:tcW w:type="dxa" w:w="2045"/>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8"/>
              </w:rPr>
              <w:t>Late IT MWh</w:t>
            </w:r>
          </w:p>
        </w:tc>
        <w:tc>
          <w:tcPr>
            <w:tcW w:type="dxa" w:w="2045"/>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8"/>
              </w:rPr>
              <w:t>Closing IT MWh</w:t>
            </w:r>
          </w:p>
        </w:tc>
      </w:tr>
      <w:tr>
        <w:trPr>
          <w:cantSplit/>
        </w:trPr>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8"/>
              </w:rPr>
              <w:t>0%</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69,183.79</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8.86</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&lt;10⁻⁸</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0.00</w:t>
            </w:r>
          </w:p>
        </w:tc>
      </w:tr>
      <w:tr>
        <w:trPr>
          <w:cantSplit/>
        </w:trPr>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8"/>
              </w:rPr>
              <w:t>50%</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77,470.71</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12.40</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&lt;10⁻⁸</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0.00</w:t>
            </w:r>
          </w:p>
        </w:tc>
      </w:tr>
      <w:tr>
        <w:trPr>
          <w:cantSplit/>
        </w:trPr>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8"/>
              </w:rPr>
              <w:t>100%</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105,565.67</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19.02</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&lt;10⁻⁸</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0.00</w:t>
            </w:r>
          </w:p>
        </w:tc>
      </w:tr>
    </w:tbl>
    <w:p>
      <w:pPr>
        <w:widowControl/>
      </w:pPr>
    </w:p>
    <w:p>
      <w:pPr>
        <w:pStyle w:val="Heading1"/>
        <w:keepNext/>
        <w:widowControl/>
      </w:pPr>
      <w:r>
        <w:t>Decision-output diagnostics and price consistency</w:t>
      </w:r>
    </w:p>
    <w:p>
      <w:pPr>
        <w:pStyle w:val="Caption"/>
        <w:keepNext/>
        <w:widowControl/>
      </w:pPr>
      <w:r>
        <w:t>Supplementary Table 9. Decision-output zeroing diagnostics with the pretrained backbone held fixed under the 24 h contract.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3312"/>
        <w:gridCol w:w="1382"/>
        <w:gridCol w:w="1382"/>
        <w:gridCol w:w="1382"/>
        <w:gridCol w:w="1382"/>
        <w:gridCol w:w="1382"/>
      </w:tblGrid>
      <w:tr>
        <w:trPr>
          <w:tblHeader/>
          <w:cantSplit/>
        </w:trPr>
        <w:tc>
          <w:tcPr>
            <w:tcW w:type="dxa" w:w="3312"/>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color w:val="000000"/>
                <w:sz w:val="17"/>
              </w:rPr>
              <w:t>Variant</w:t>
            </w:r>
          </w:p>
        </w:tc>
        <w:tc>
          <w:tcPr>
            <w:tcW w:type="dxa" w:w="1382"/>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7"/>
              </w:rPr>
              <w:t>Seed</w:t>
            </w:r>
          </w:p>
        </w:tc>
        <w:tc>
          <w:tcPr>
            <w:tcW w:type="dxa" w:w="1382"/>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7"/>
              </w:rPr>
              <w:t>Saving US$</w:t>
            </w:r>
          </w:p>
        </w:tc>
        <w:tc>
          <w:tcPr>
            <w:tcW w:type="dxa" w:w="1382"/>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7"/>
              </w:rPr>
              <w:t>Saving %</w:t>
            </w:r>
          </w:p>
        </w:tc>
        <w:tc>
          <w:tcPr>
            <w:tcW w:type="dxa" w:w="1382"/>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7"/>
              </w:rPr>
              <w:t>CVaR95 US$</w:t>
            </w:r>
          </w:p>
        </w:tc>
        <w:tc>
          <w:tcPr>
            <w:tcW w:type="dxa" w:w="1382"/>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7"/>
              </w:rPr>
              <w:t>Late IT MWh</w:t>
            </w:r>
          </w:p>
        </w:tc>
      </w:tr>
      <w:tr>
        <w:trPr>
          <w:cantSplit/>
        </w:trPr>
        <w:tc>
          <w:tcPr>
            <w:tcW w:type="dxa" w:w="331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full</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20260920</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105,565.67</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19.02</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306.85</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&lt;10⁻⁸</w:t>
            </w:r>
          </w:p>
        </w:tc>
      </w:tr>
      <w:tr>
        <w:trPr>
          <w:cantSplit/>
        </w:trPr>
        <w:tc>
          <w:tcPr>
            <w:tcW w:type="dxa" w:w="331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no_opportunity</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20260920</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105,455.09</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19.00</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314.41</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&lt;10⁻⁸</w:t>
            </w:r>
          </w:p>
        </w:tc>
      </w:tr>
      <w:tr>
        <w:trPr>
          <w:cantSplit/>
        </w:trPr>
        <w:tc>
          <w:tcPr>
            <w:tcW w:type="dxa" w:w="331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no_cost_bias</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20260920</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105,163.18</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18.94</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303.82</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&lt;10⁻⁸</w:t>
            </w:r>
          </w:p>
        </w:tc>
      </w:tr>
      <w:tr>
        <w:trPr>
          <w:cantSplit/>
        </w:trPr>
        <w:tc>
          <w:tcPr>
            <w:tcW w:type="dxa" w:w="331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Combined output zeroing</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20260920</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105,290.87</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18.97</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304.38</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&lt;10⁻⁸</w:t>
            </w:r>
          </w:p>
        </w:tc>
      </w:tr>
      <w:tr>
        <w:trPr>
          <w:cantSplit/>
        </w:trPr>
        <w:tc>
          <w:tcPr>
            <w:tcW w:type="dxa" w:w="331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full</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20260921</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105,003.52</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18.91</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317.22</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&lt;10⁻⁸</w:t>
            </w:r>
          </w:p>
        </w:tc>
      </w:tr>
      <w:tr>
        <w:trPr>
          <w:cantSplit/>
        </w:trPr>
        <w:tc>
          <w:tcPr>
            <w:tcW w:type="dxa" w:w="331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no_opportunity</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20260921</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104,986.24</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18.91</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322.79</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&lt;10⁻⁸</w:t>
            </w:r>
          </w:p>
        </w:tc>
      </w:tr>
      <w:tr>
        <w:trPr>
          <w:cantSplit/>
        </w:trPr>
        <w:tc>
          <w:tcPr>
            <w:tcW w:type="dxa" w:w="331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no_cost_bias</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20260921</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104,606.06</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18.84</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303.39</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&lt;10⁻⁸</w:t>
            </w:r>
          </w:p>
        </w:tc>
      </w:tr>
      <w:tr>
        <w:trPr>
          <w:cantSplit/>
        </w:trPr>
        <w:tc>
          <w:tcPr>
            <w:tcW w:type="dxa" w:w="331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Combined output zeroing</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20260921</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104,765.52</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18.87</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303.07</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&lt;10⁻⁸</w:t>
            </w:r>
          </w:p>
        </w:tc>
      </w:tr>
      <w:tr>
        <w:trPr>
          <w:cantSplit/>
        </w:trPr>
        <w:tc>
          <w:tcPr>
            <w:tcW w:type="dxa" w:w="331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full</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20260922</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105,244.00</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18.96</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316.06</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&lt;10⁻⁸</w:t>
            </w:r>
          </w:p>
        </w:tc>
      </w:tr>
      <w:tr>
        <w:trPr>
          <w:cantSplit/>
        </w:trPr>
        <w:tc>
          <w:tcPr>
            <w:tcW w:type="dxa" w:w="331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no_opportunity</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20260922</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105,211.82</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18.95</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322.09</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&lt;10⁻⁸</w:t>
            </w:r>
          </w:p>
        </w:tc>
      </w:tr>
      <w:tr>
        <w:trPr>
          <w:cantSplit/>
        </w:trPr>
        <w:tc>
          <w:tcPr>
            <w:tcW w:type="dxa" w:w="331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no_cost_bias</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20260922</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104,933.63</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18.90</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306.90</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&lt;10⁻⁸</w:t>
            </w:r>
          </w:p>
        </w:tc>
      </w:tr>
      <w:tr>
        <w:trPr>
          <w:cantSplit/>
        </w:trPr>
        <w:tc>
          <w:tcPr>
            <w:tcW w:type="dxa" w:w="331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Combined output zeroing</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20260922</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104,922.82</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18.90</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310.96</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&lt;10⁻⁸</w:t>
            </w:r>
          </w:p>
        </w:tc>
      </w:tr>
    </w:tbl>
    <w:p>
      <w:pPr>
        <w:widowControl/>
        <w:spacing w:line="240" w:lineRule="auto" w:after="140"/>
      </w:pPr>
      <w:r>
        <w:t>The combined zeroing diagnostic removes the opportunity score, task-conditioned cost bias and price–PV cross-moment contribution. It retains the pretrained backbone, APIC price module, queue inputs, analytical physical-cost decoder, constrained executor and final market shift. Its archived key, price_only, identifies this output intervention and differs from the independently trained historical price-only baselines in Table 29. The intervention neither removes decision-focused training nor retrains a substitute physical-cost interface.</w:t>
      </w:r>
    </w:p>
    <w:p>
      <w:pPr>
        <w:widowControl/>
      </w:pPr>
      <w:r>
        <w:t>Market pretraining enforces DART = DA − RT in targets and joint paths. The probabilistic module retains DA and spread quantiles and derives post-publication RT quantiles through the complementary-quantile identity. Both terminal-shift settings preserve this upstream system; their comparison does not remove APIC.</w:t>
      </w:r>
    </w:p>
    <w:p>
      <w:pPr>
        <w:pStyle w:val="Caption"/>
        <w:keepNext/>
        <w:widowControl/>
      </w:pPr>
      <w:r>
        <w:t>Supplementary Table 10. Primary-refinement forecast and placement diagnostics for the final market shift.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1461"/>
        <w:gridCol w:w="1461"/>
        <w:gridCol w:w="1461"/>
        <w:gridCol w:w="1461"/>
        <w:gridCol w:w="1461"/>
        <w:gridCol w:w="1461"/>
        <w:gridCol w:w="1461"/>
      </w:tblGrid>
      <w:tr>
        <w:trPr>
          <w:tblHeader/>
          <w:cantSplit/>
        </w:trPr>
        <w:tc>
          <w:tcPr>
            <w:tcW w:type="dxa" w:w="1461"/>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color w:val="000000"/>
                <w:sz w:val="17"/>
              </w:rPr>
              <w:t>Final shift</w:t>
            </w:r>
          </w:p>
        </w:tc>
        <w:tc>
          <w:tcPr>
            <w:tcW w:type="dxa" w:w="1461"/>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7"/>
              </w:rPr>
              <w:t>RT pinball</w:t>
            </w:r>
          </w:p>
        </w:tc>
        <w:tc>
          <w:tcPr>
            <w:tcW w:type="dxa" w:w="1461"/>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7"/>
              </w:rPr>
              <w:t>Coverage 90%</w:t>
            </w:r>
          </w:p>
        </w:tc>
        <w:tc>
          <w:tcPr>
            <w:tcW w:type="dxa" w:w="1461"/>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7"/>
              </w:rPr>
              <w:t>Ordering violations</w:t>
            </w:r>
          </w:p>
        </w:tc>
        <w:tc>
          <w:tcPr>
            <w:tcW w:type="dxa" w:w="1461"/>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7"/>
              </w:rPr>
              <w:t>Saving US$</w:t>
            </w:r>
          </w:p>
        </w:tc>
        <w:tc>
          <w:tcPr>
            <w:tcW w:type="dxa" w:w="1461"/>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7"/>
              </w:rPr>
              <w:t>Changed actions</w:t>
            </w:r>
          </w:p>
        </w:tc>
        <w:tc>
          <w:tcPr>
            <w:tcW w:type="dxa" w:w="1461"/>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7"/>
              </w:rPr>
              <w:t>Reassigned IT MWh</w:t>
            </w:r>
          </w:p>
        </w:tc>
      </w:tr>
      <w:tr>
        <w:trPr>
          <w:cantSplit/>
        </w:trPr>
        <w:tc>
          <w:tcPr>
            <w:tcW w:type="dxa" w:w="1461"/>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on</w:t>
            </w:r>
          </w:p>
        </w:tc>
        <w:tc>
          <w:tcPr>
            <w:tcW w:type="dxa" w:w="1461"/>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5.595</w:t>
            </w:r>
          </w:p>
        </w:tc>
        <w:tc>
          <w:tcPr>
            <w:tcW w:type="dxa" w:w="1461"/>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89.398</w:t>
            </w:r>
          </w:p>
        </w:tc>
        <w:tc>
          <w:tcPr>
            <w:tcW w:type="dxa" w:w="1461"/>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0</w:t>
            </w:r>
          </w:p>
        </w:tc>
        <w:tc>
          <w:tcPr>
            <w:tcW w:type="dxa" w:w="1461"/>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105,565.665</w:t>
            </w:r>
          </w:p>
        </w:tc>
        <w:tc>
          <w:tcPr>
            <w:tcW w:type="dxa" w:w="1461"/>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2737</w:t>
            </w:r>
          </w:p>
        </w:tc>
        <w:tc>
          <w:tcPr>
            <w:tcW w:type="dxa" w:w="1461"/>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35.682</w:t>
            </w:r>
          </w:p>
        </w:tc>
      </w:tr>
      <w:tr>
        <w:trPr>
          <w:cantSplit/>
        </w:trPr>
        <w:tc>
          <w:tcPr>
            <w:tcW w:type="dxa" w:w="1461"/>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off</w:t>
            </w:r>
          </w:p>
        </w:tc>
        <w:tc>
          <w:tcPr>
            <w:tcW w:type="dxa" w:w="1461"/>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5.588</w:t>
            </w:r>
          </w:p>
        </w:tc>
        <w:tc>
          <w:tcPr>
            <w:tcW w:type="dxa" w:w="1461"/>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89.655</w:t>
            </w:r>
          </w:p>
        </w:tc>
        <w:tc>
          <w:tcPr>
            <w:tcW w:type="dxa" w:w="1461"/>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0</w:t>
            </w:r>
          </w:p>
        </w:tc>
        <w:tc>
          <w:tcPr>
            <w:tcW w:type="dxa" w:w="1461"/>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105,647.983</w:t>
            </w:r>
          </w:p>
        </w:tc>
        <w:tc>
          <w:tcPr>
            <w:tcW w:type="dxa" w:w="1461"/>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2737</w:t>
            </w:r>
          </w:p>
        </w:tc>
        <w:tc>
          <w:tcPr>
            <w:tcW w:type="dxa" w:w="1461"/>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35.682</w:t>
            </w:r>
          </w:p>
        </w:tc>
      </w:tr>
    </w:tbl>
    <w:p>
      <w:pPr>
        <w:widowControl/>
      </w:pPr>
    </w:p>
    <w:p>
      <w:pPr>
        <w:pStyle w:val="Caption"/>
        <w:keepNext/>
        <w:widowControl/>
      </w:pPr>
      <w:r>
        <w:t>Supplementary Table 11. Numerical check of the post-publication DA–spread–RT quantile identity.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2045"/>
        <w:gridCol w:w="2045"/>
        <w:gridCol w:w="2045"/>
        <w:gridCol w:w="2045"/>
        <w:gridCol w:w="2045"/>
      </w:tblGrid>
      <w:tr>
        <w:trPr>
          <w:tblHeader/>
          <w:cantSplit/>
        </w:trPr>
        <w:tc>
          <w:tcPr>
            <w:tcW w:type="dxa" w:w="2045"/>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color w:val="000000"/>
                <w:sz w:val="18"/>
              </w:rPr>
              <w:t>Stage</w:t>
            </w:r>
          </w:p>
        </w:tc>
        <w:tc>
          <w:tcPr>
            <w:tcW w:type="dxa" w:w="2045"/>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8"/>
              </w:rPr>
              <w:t>Zone-hours</w:t>
            </w:r>
          </w:p>
        </w:tc>
        <w:tc>
          <w:tcPr>
            <w:tcW w:type="dxa" w:w="2045"/>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8"/>
              </w:rPr>
              <w:t>Quantiles</w:t>
            </w:r>
          </w:p>
        </w:tc>
        <w:tc>
          <w:tcPr>
            <w:tcW w:type="dxa" w:w="2045"/>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8"/>
              </w:rPr>
              <w:t>Maximum residual</w:t>
            </w:r>
          </w:p>
        </w:tc>
        <w:tc>
          <w:tcPr>
            <w:tcW w:type="dxa" w:w="2045"/>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8"/>
              </w:rPr>
              <w:t>Mean residual</w:t>
            </w:r>
          </w:p>
        </w:tc>
      </w:tr>
      <w:tr>
        <w:trPr>
          <w:cantSplit/>
        </w:trPr>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8"/>
              </w:rPr>
              <w:t>Post-publication price module</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35040</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7</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4.39e-05</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1.90e-06</w:t>
            </w:r>
          </w:p>
        </w:tc>
      </w:tr>
    </w:tbl>
    <w:p>
      <w:pPr>
        <w:widowControl/>
      </w:pPr>
    </w:p>
    <w:p>
      <w:pPr>
        <w:pStyle w:val="Heading1"/>
        <w:keepNext/>
        <w:widowControl/>
      </w:pPr>
      <w:r>
        <w:t>Event definitions and financial influence</w:t>
      </w:r>
    </w:p>
    <w:p>
      <w:pPr>
        <w:widowControl/>
      </w:pPr>
      <w:r>
        <w:t>The supplementary NYISO event analysis uses daily across-zone spread range, maximum absolute spread and maximum RT price, with thresholds estimated from 2024. The cross-market screen uses each market’s own 2025 percentile and is descriptive. Positive aggregate performance on extreme dates need not imply an advantage on most such dates or a causal response to grid scarcity. Financial exclusions remove observed contributions while retaining the original physical schedules.</w:t>
      </w:r>
    </w:p>
    <w:p>
      <w:pPr>
        <w:pStyle w:val="Caption"/>
        <w:keepNext/>
        <w:widowControl/>
      </w:pPr>
      <w:r>
        <w:t>Supplementary Table 12. Sensitivity to event definitions and thresholds. Monetary amounts are US dollars; confidence intervals use seven-day blocks.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1051"/>
        <w:gridCol w:w="1699"/>
        <w:gridCol w:w="691"/>
        <w:gridCol w:w="979"/>
        <w:gridCol w:w="1411"/>
        <w:gridCol w:w="1411"/>
        <w:gridCol w:w="1411"/>
        <w:gridCol w:w="1411"/>
      </w:tblGrid>
      <w:tr>
        <w:trPr>
          <w:tblHeader/>
          <w:cantSplit/>
        </w:trPr>
        <w:tc>
          <w:tcPr>
            <w:tcW w:type="dxa" w:w="1051"/>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color w:val="000000"/>
                <w:sz w:val="17"/>
              </w:rPr>
              <w:t>Contrast</w:t>
            </w:r>
          </w:p>
        </w:tc>
        <w:tc>
          <w:tcPr>
            <w:tcW w:type="dxa" w:w="1699"/>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7"/>
              </w:rPr>
              <w:t>Definition</w:t>
            </w:r>
          </w:p>
        </w:tc>
        <w:tc>
          <w:tcPr>
            <w:tcW w:type="dxa" w:w="691"/>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7"/>
              </w:rPr>
              <w:t>q (%)</w:t>
            </w:r>
          </w:p>
        </w:tc>
        <w:tc>
          <w:tcPr>
            <w:tcW w:type="dxa" w:w="979"/>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7"/>
              </w:rPr>
              <w:t>Extreme</w:t>
              <w:br/>
              <w:t>dates</w:t>
            </w:r>
          </w:p>
        </w:tc>
        <w:tc>
          <w:tcPr>
            <w:tcW w:type="dxa" w:w="1411"/>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7"/>
              </w:rPr>
              <w:t>Extreme</w:t>
              <w:br/>
              <w:t>US$</w:t>
            </w:r>
          </w:p>
        </w:tc>
        <w:tc>
          <w:tcPr>
            <w:tcW w:type="dxa" w:w="1411"/>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7"/>
              </w:rPr>
              <w:t>Ordinary</w:t>
              <w:br/>
              <w:t>US$</w:t>
            </w:r>
          </w:p>
        </w:tc>
        <w:tc>
          <w:tcPr>
            <w:tcW w:type="dxa" w:w="1411"/>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7"/>
              </w:rPr>
              <w:t>Lower 95%</w:t>
            </w:r>
          </w:p>
        </w:tc>
        <w:tc>
          <w:tcPr>
            <w:tcW w:type="dxa" w:w="1411"/>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7"/>
              </w:rPr>
              <w:t>Upper 95%</w:t>
            </w:r>
          </w:p>
        </w:tc>
      </w:tr>
      <w:tr>
        <w:trPr>
          <w:cantSplit/>
        </w:trPr>
        <w:tc>
          <w:tcPr>
            <w:tcW w:type="dxa" w:w="105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7"/>
              </w:rPr>
              <w:t>vs RASC-ME</w:t>
            </w:r>
          </w:p>
        </w:tc>
        <w:tc>
          <w:tcPr>
            <w:tcW w:type="dxa" w:w="1699"/>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spread_range</w:t>
            </w:r>
          </w:p>
        </w:tc>
        <w:tc>
          <w:tcPr>
            <w:tcW w:type="dxa" w:w="69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90.0</w:t>
            </w:r>
          </w:p>
        </w:tc>
        <w:tc>
          <w:tcPr>
            <w:tcW w:type="dxa" w:w="979"/>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59</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19,932.4</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22,976.6</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7,436.1</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38,659.6</w:t>
            </w:r>
          </w:p>
        </w:tc>
      </w:tr>
      <w:tr>
        <w:trPr>
          <w:cantSplit/>
        </w:trPr>
        <w:tc>
          <w:tcPr>
            <w:tcW w:type="dxa" w:w="105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7"/>
              </w:rPr>
              <w:t>vs RASC-ME</w:t>
            </w:r>
          </w:p>
        </w:tc>
        <w:tc>
          <w:tcPr>
            <w:tcW w:type="dxa" w:w="1699"/>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spread_range</w:t>
            </w:r>
          </w:p>
        </w:tc>
        <w:tc>
          <w:tcPr>
            <w:tcW w:type="dxa" w:w="69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95.0</w:t>
            </w:r>
          </w:p>
        </w:tc>
        <w:tc>
          <w:tcPr>
            <w:tcW w:type="dxa" w:w="979"/>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35</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15,190.2</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27,718.7</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3,914.0</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33,608.6</w:t>
            </w:r>
          </w:p>
        </w:tc>
      </w:tr>
      <w:tr>
        <w:trPr>
          <w:cantSplit/>
        </w:trPr>
        <w:tc>
          <w:tcPr>
            <w:tcW w:type="dxa" w:w="105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7"/>
              </w:rPr>
              <w:t>vs RASC-ME</w:t>
            </w:r>
          </w:p>
        </w:tc>
        <w:tc>
          <w:tcPr>
            <w:tcW w:type="dxa" w:w="1699"/>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spread_range</w:t>
            </w:r>
          </w:p>
        </w:tc>
        <w:tc>
          <w:tcPr>
            <w:tcW w:type="dxa" w:w="69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97.5</w:t>
            </w:r>
          </w:p>
        </w:tc>
        <w:tc>
          <w:tcPr>
            <w:tcW w:type="dxa" w:w="979"/>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16</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10,677.4</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32,231.6</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884.6</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28,071.6</w:t>
            </w:r>
          </w:p>
        </w:tc>
      </w:tr>
      <w:tr>
        <w:trPr>
          <w:cantSplit/>
        </w:trPr>
        <w:tc>
          <w:tcPr>
            <w:tcW w:type="dxa" w:w="105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7"/>
              </w:rPr>
              <w:t>vs RASC-ME</w:t>
            </w:r>
          </w:p>
        </w:tc>
        <w:tc>
          <w:tcPr>
            <w:tcW w:type="dxa" w:w="1699"/>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max_abs_spread</w:t>
            </w:r>
          </w:p>
        </w:tc>
        <w:tc>
          <w:tcPr>
            <w:tcW w:type="dxa" w:w="69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90.0</w:t>
            </w:r>
          </w:p>
        </w:tc>
        <w:tc>
          <w:tcPr>
            <w:tcW w:type="dxa" w:w="979"/>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52</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18,785.6</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24,123.4</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6,500.7</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37,246.7</w:t>
            </w:r>
          </w:p>
        </w:tc>
      </w:tr>
      <w:tr>
        <w:trPr>
          <w:cantSplit/>
        </w:trPr>
        <w:tc>
          <w:tcPr>
            <w:tcW w:type="dxa" w:w="105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7"/>
              </w:rPr>
              <w:t>vs RASC-ME</w:t>
            </w:r>
          </w:p>
        </w:tc>
        <w:tc>
          <w:tcPr>
            <w:tcW w:type="dxa" w:w="1699"/>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max_abs_spread</w:t>
            </w:r>
          </w:p>
        </w:tc>
        <w:tc>
          <w:tcPr>
            <w:tcW w:type="dxa" w:w="69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95.0</w:t>
            </w:r>
          </w:p>
        </w:tc>
        <w:tc>
          <w:tcPr>
            <w:tcW w:type="dxa" w:w="979"/>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28</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13,176.5</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29,732.5</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2,530.9</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31,298.3</w:t>
            </w:r>
          </w:p>
        </w:tc>
      </w:tr>
      <w:tr>
        <w:trPr>
          <w:cantSplit/>
        </w:trPr>
        <w:tc>
          <w:tcPr>
            <w:tcW w:type="dxa" w:w="105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7"/>
              </w:rPr>
              <w:t>vs RASC-ME</w:t>
            </w:r>
          </w:p>
        </w:tc>
        <w:tc>
          <w:tcPr>
            <w:tcW w:type="dxa" w:w="1699"/>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max_abs_spread</w:t>
            </w:r>
          </w:p>
        </w:tc>
        <w:tc>
          <w:tcPr>
            <w:tcW w:type="dxa" w:w="69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97.5</w:t>
            </w:r>
          </w:p>
        </w:tc>
        <w:tc>
          <w:tcPr>
            <w:tcW w:type="dxa" w:w="979"/>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16</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10,677.4</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32,231.6</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884.6</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28,071.6</w:t>
            </w:r>
          </w:p>
        </w:tc>
      </w:tr>
      <w:tr>
        <w:trPr>
          <w:cantSplit/>
        </w:trPr>
        <w:tc>
          <w:tcPr>
            <w:tcW w:type="dxa" w:w="105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7"/>
              </w:rPr>
              <w:t>vs RASC-ME</w:t>
            </w:r>
          </w:p>
        </w:tc>
        <w:tc>
          <w:tcPr>
            <w:tcW w:type="dxa" w:w="1699"/>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max_rt</w:t>
            </w:r>
          </w:p>
        </w:tc>
        <w:tc>
          <w:tcPr>
            <w:tcW w:type="dxa" w:w="69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90.0</w:t>
            </w:r>
          </w:p>
        </w:tc>
        <w:tc>
          <w:tcPr>
            <w:tcW w:type="dxa" w:w="979"/>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78</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21,819.1</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21,089.8</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8,019.4</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41,846.4</w:t>
            </w:r>
          </w:p>
        </w:tc>
      </w:tr>
      <w:tr>
        <w:trPr>
          <w:cantSplit/>
        </w:trPr>
        <w:tc>
          <w:tcPr>
            <w:tcW w:type="dxa" w:w="105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7"/>
              </w:rPr>
              <w:t>vs RASC-ME</w:t>
            </w:r>
          </w:p>
        </w:tc>
        <w:tc>
          <w:tcPr>
            <w:tcW w:type="dxa" w:w="1699"/>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max_rt</w:t>
            </w:r>
          </w:p>
        </w:tc>
        <w:tc>
          <w:tcPr>
            <w:tcW w:type="dxa" w:w="69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95.0</w:t>
            </w:r>
          </w:p>
        </w:tc>
        <w:tc>
          <w:tcPr>
            <w:tcW w:type="dxa" w:w="979"/>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33</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15,241.2</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27,667.8</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3,807.9</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33,961.0</w:t>
            </w:r>
          </w:p>
        </w:tc>
      </w:tr>
      <w:tr>
        <w:trPr>
          <w:cantSplit/>
        </w:trPr>
        <w:tc>
          <w:tcPr>
            <w:tcW w:type="dxa" w:w="105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7"/>
              </w:rPr>
              <w:t>vs RASC-ME</w:t>
            </w:r>
          </w:p>
        </w:tc>
        <w:tc>
          <w:tcPr>
            <w:tcW w:type="dxa" w:w="1699"/>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max_rt</w:t>
            </w:r>
          </w:p>
        </w:tc>
        <w:tc>
          <w:tcPr>
            <w:tcW w:type="dxa" w:w="69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97.5</w:t>
            </w:r>
          </w:p>
        </w:tc>
        <w:tc>
          <w:tcPr>
            <w:tcW w:type="dxa" w:w="979"/>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17</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11,298.2</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31,610.7</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1,356.8</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28,679.9</w:t>
            </w:r>
          </w:p>
        </w:tc>
      </w:tr>
    </w:tbl>
    <w:p>
      <w:pPr>
        <w:widowControl/>
      </w:pPr>
    </w:p>
    <w:p>
      <w:pPr>
        <w:pStyle w:val="Caption"/>
        <w:keepNext/>
        <w:widowControl/>
      </w:pPr>
      <w:r>
        <w:t>Supplementary Table 13. Block-length sensitivity of the aggregate extreme-date increment.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2088"/>
        <w:gridCol w:w="864"/>
        <w:gridCol w:w="2448"/>
        <w:gridCol w:w="2304"/>
        <w:gridCol w:w="2304"/>
      </w:tblGrid>
      <w:tr>
        <w:trPr>
          <w:tblHeader/>
          <w:cantSplit/>
        </w:trPr>
        <w:tc>
          <w:tcPr>
            <w:tcW w:type="dxa" w:w="2088"/>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color w:val="000000"/>
                <w:sz w:val="18"/>
              </w:rPr>
              <w:t>Contrast</w:t>
            </w:r>
          </w:p>
        </w:tc>
        <w:tc>
          <w:tcPr>
            <w:tcW w:type="dxa" w:w="864"/>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8"/>
              </w:rPr>
              <w:t>Block</w:t>
              <w:br/>
              <w:t>days</w:t>
            </w:r>
          </w:p>
        </w:tc>
        <w:tc>
          <w:tcPr>
            <w:tcW w:type="dxa" w:w="2448"/>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8"/>
              </w:rPr>
              <w:t>Extreme increment</w:t>
              <w:br/>
              <w:t>US$</w:t>
            </w:r>
          </w:p>
        </w:tc>
        <w:tc>
          <w:tcPr>
            <w:tcW w:type="dxa" w:w="2304"/>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8"/>
              </w:rPr>
              <w:t>Lower 95%</w:t>
              <w:br/>
              <w:t>US$</w:t>
            </w:r>
          </w:p>
        </w:tc>
        <w:tc>
          <w:tcPr>
            <w:tcW w:type="dxa" w:w="2304"/>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8"/>
              </w:rPr>
              <w:t>Upper 95%</w:t>
              <w:br/>
              <w:t>US$</w:t>
            </w:r>
          </w:p>
        </w:tc>
      </w:tr>
      <w:tr>
        <w:trPr>
          <w:cantSplit/>
        </w:trPr>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vs RASC-ME</w:t>
            </w:r>
          </w:p>
        </w:tc>
        <w:tc>
          <w:tcPr>
            <w:tcW w:type="dxa" w:w="864"/>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3</w:t>
            </w:r>
          </w:p>
        </w:tc>
        <w:tc>
          <w:tcPr>
            <w:tcW w:type="dxa" w:w="244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15,190.24</w:t>
            </w:r>
          </w:p>
        </w:tc>
        <w:tc>
          <w:tcPr>
            <w:tcW w:type="dxa" w:w="2304"/>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4,662.60</w:t>
            </w:r>
          </w:p>
        </w:tc>
        <w:tc>
          <w:tcPr>
            <w:tcW w:type="dxa" w:w="2304"/>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32,895.39</w:t>
            </w:r>
          </w:p>
        </w:tc>
      </w:tr>
      <w:tr>
        <w:trPr>
          <w:cantSplit/>
        </w:trPr>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vs RASC-ME</w:t>
            </w:r>
          </w:p>
        </w:tc>
        <w:tc>
          <w:tcPr>
            <w:tcW w:type="dxa" w:w="864"/>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7</w:t>
            </w:r>
          </w:p>
        </w:tc>
        <w:tc>
          <w:tcPr>
            <w:tcW w:type="dxa" w:w="244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15,190.24</w:t>
            </w:r>
          </w:p>
        </w:tc>
        <w:tc>
          <w:tcPr>
            <w:tcW w:type="dxa" w:w="2304"/>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3,913.95</w:t>
            </w:r>
          </w:p>
        </w:tc>
        <w:tc>
          <w:tcPr>
            <w:tcW w:type="dxa" w:w="2304"/>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33,608.56</w:t>
            </w:r>
          </w:p>
        </w:tc>
      </w:tr>
      <w:tr>
        <w:trPr>
          <w:cantSplit/>
        </w:trPr>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vs RASC-ME</w:t>
            </w:r>
          </w:p>
        </w:tc>
        <w:tc>
          <w:tcPr>
            <w:tcW w:type="dxa" w:w="864"/>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14</w:t>
            </w:r>
          </w:p>
        </w:tc>
        <w:tc>
          <w:tcPr>
            <w:tcW w:type="dxa" w:w="244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15,190.24</w:t>
            </w:r>
          </w:p>
        </w:tc>
        <w:tc>
          <w:tcPr>
            <w:tcW w:type="dxa" w:w="2304"/>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3,015.21</w:t>
            </w:r>
          </w:p>
        </w:tc>
        <w:tc>
          <w:tcPr>
            <w:tcW w:type="dxa" w:w="2304"/>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34,566.31</w:t>
            </w:r>
          </w:p>
        </w:tc>
      </w:tr>
      <w:tr>
        <w:trPr>
          <w:cantSplit/>
        </w:trPr>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vs RASC-ME</w:t>
            </w:r>
          </w:p>
        </w:tc>
        <w:tc>
          <w:tcPr>
            <w:tcW w:type="dxa" w:w="864"/>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28</w:t>
            </w:r>
          </w:p>
        </w:tc>
        <w:tc>
          <w:tcPr>
            <w:tcW w:type="dxa" w:w="244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15,190.24</w:t>
            </w:r>
          </w:p>
        </w:tc>
        <w:tc>
          <w:tcPr>
            <w:tcW w:type="dxa" w:w="2304"/>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2,446.32</w:t>
            </w:r>
          </w:p>
        </w:tc>
        <w:tc>
          <w:tcPr>
            <w:tcW w:type="dxa" w:w="2304"/>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33,733.91</w:t>
            </w:r>
          </w:p>
        </w:tc>
      </w:tr>
    </w:tbl>
    <w:p>
      <w:pPr>
        <w:widowControl/>
      </w:pPr>
    </w:p>
    <w:p>
      <w:pPr>
        <w:pStyle w:val="Caption"/>
        <w:keepNext/>
        <w:widowControl/>
      </w:pPr>
      <w:r>
        <w:t>Supplementary Table 14. Outcome-selected financial exclusions for WorldMoE relative to RASC-ME. Dispatch remains unchanged.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1728"/>
        <w:gridCol w:w="3672"/>
        <w:gridCol w:w="2376"/>
        <w:gridCol w:w="2304"/>
      </w:tblGrid>
      <w:tr>
        <w:trPr>
          <w:tblHeader/>
          <w:cantSplit/>
        </w:trPr>
        <w:tc>
          <w:tcPr>
            <w:tcW w:type="dxa" w:w="1728"/>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color w:val="000000"/>
                <w:sz w:val="18"/>
              </w:rPr>
              <w:t>Contrast</w:t>
            </w:r>
          </w:p>
        </w:tc>
        <w:tc>
          <w:tcPr>
            <w:tcW w:type="dxa" w:w="3672"/>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8"/>
              </w:rPr>
              <w:t>Excluded local dates</w:t>
            </w:r>
          </w:p>
        </w:tc>
        <w:tc>
          <w:tcPr>
            <w:tcW w:type="dxa" w:w="2376"/>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8"/>
              </w:rPr>
              <w:t>Retained total</w:t>
              <w:br/>
              <w:t>US$</w:t>
            </w:r>
          </w:p>
        </w:tc>
        <w:tc>
          <w:tcPr>
            <w:tcW w:type="dxa" w:w="2304"/>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8"/>
              </w:rPr>
              <w:t>Retained extreme</w:t>
              <w:br/>
              <w:t>US$</w:t>
            </w:r>
          </w:p>
        </w:tc>
      </w:tr>
      <w:tr>
        <w:trPr>
          <w:cantSplit/>
        </w:trPr>
        <w:tc>
          <w:tcPr>
            <w:tcW w:type="dxa" w:w="172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vs RASC-ME</w:t>
            </w:r>
          </w:p>
        </w:tc>
        <w:tc>
          <w:tcPr>
            <w:tcW w:type="dxa" w:w="367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None</w:t>
            </w:r>
          </w:p>
        </w:tc>
        <w:tc>
          <w:tcPr>
            <w:tcW w:type="dxa" w:w="2376"/>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42,908.97</w:t>
            </w:r>
          </w:p>
        </w:tc>
        <w:tc>
          <w:tcPr>
            <w:tcW w:type="dxa" w:w="2304"/>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15,190.24</w:t>
            </w:r>
          </w:p>
        </w:tc>
      </w:tr>
      <w:tr>
        <w:trPr>
          <w:cantSplit/>
        </w:trPr>
        <w:tc>
          <w:tcPr>
            <w:tcW w:type="dxa" w:w="172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vs RASC-ME</w:t>
            </w:r>
          </w:p>
        </w:tc>
        <w:tc>
          <w:tcPr>
            <w:tcW w:type="dxa" w:w="367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2025-07-25</w:t>
            </w:r>
          </w:p>
        </w:tc>
        <w:tc>
          <w:tcPr>
            <w:tcW w:type="dxa" w:w="2376"/>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35,393.04</w:t>
            </w:r>
          </w:p>
        </w:tc>
        <w:tc>
          <w:tcPr>
            <w:tcW w:type="dxa" w:w="2304"/>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7,674.32</w:t>
            </w:r>
          </w:p>
        </w:tc>
      </w:tr>
      <w:tr>
        <w:trPr>
          <w:cantSplit/>
        </w:trPr>
        <w:tc>
          <w:tcPr>
            <w:tcW w:type="dxa" w:w="172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vs RASC-ME</w:t>
            </w:r>
          </w:p>
        </w:tc>
        <w:tc>
          <w:tcPr>
            <w:tcW w:type="dxa" w:w="367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2025-07-25 to 2025-07-31</w:t>
            </w:r>
          </w:p>
        </w:tc>
        <w:tc>
          <w:tcPr>
            <w:tcW w:type="dxa" w:w="2376"/>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33,797.38</w:t>
            </w:r>
          </w:p>
        </w:tc>
        <w:tc>
          <w:tcPr>
            <w:tcW w:type="dxa" w:w="2304"/>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See source rows</w:t>
            </w:r>
          </w:p>
        </w:tc>
      </w:tr>
    </w:tbl>
    <w:p>
      <w:pPr>
        <w:widowControl/>
      </w:pPr>
    </w:p>
    <w:p>
      <w:pPr>
        <w:pStyle w:val="Heading1"/>
        <w:keepNext/>
        <w:widowControl/>
      </w:pPr>
      <w:r>
        <w:t>Nonpreemptive Frontier jobs</w:t>
      </w:r>
    </w:p>
    <w:p>
      <w:pPr>
        <w:widowControl/>
      </w:pPr>
      <w:r>
        <w:t>The node-power mapping is fitted using the retained 2024 development trace, and all 977,884 jobs in the 2025 trace are retained. Each nonpreemptive job occupies consecutive capacity at its fixed site for its full rounded runtime. The model’s 24 h slot-score horizon guides feasible starts; later starts use the predefined earliest-feasible fallback. Separate available slots cannot replace a sufficiently long contiguous placement.</w:t>
      </w:r>
    </w:p>
    <w:p>
      <w:pPr>
        <w:widowControl/>
      </w:pPr>
      <w:r>
        <w:t>The inspected archived summaries report 1,764, 27 and zero overdue jobs under 24, 30 and 48 h rights, respectively. The longer contracts each retain 519 year-end unfinished jobs, compared with 501 at 24 h. A job unfinished at year end can remain within its original deadline; timely completion and an empty reporting-boundary queue are different conditions. Table 15 reconciles the earlier author-supplied 30 h zero with the retained executable source and summary. The 48 h case provides the reported feasible nonpreemptive extension.</w:t>
      </w:r>
    </w:p>
    <w:p>
      <w:pPr>
        <w:pStyle w:val="Caption"/>
        <w:keepNext/>
        <w:widowControl/>
      </w:pPr>
      <w:r>
        <w:t>Supplementary Table 15. Frontier job-level service outcomes reconciled to the retained 24/30/48 h summary JSON files. The archived 30 h result is 27 overdue jobs, superseding the earlier author-supplied zero for which no matching replacement run was supplied.</w:t>
      </w:r>
    </w:p>
    <w:tbl>
      <w:tblPr>
        <w:tblW w:w="9200" w:type="dxa"/>
        <w:tblLayout w:type="fixed"/>
        <w:jc w:val="center"/>
        <w:tblCellMar>
          <w:top w:w="55" w:type="dxa"/>
          <w:bottom w:w="55" w:type="dxa"/>
          <w:left w:w="65" w:type="dxa"/>
          <w:right w:w="65"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1500"/>
        <w:gridCol w:w="2200"/>
        <w:gridCol w:w="2500"/>
        <w:gridCol w:w="3000"/>
      </w:tblGrid>
      <w:tr>
        <w:trPr>
          <w:cantSplit/>
          <w:tblHeader/>
        </w:trPr>
        <w:tc>
          <w:tcPr>
            <w:tcW w:w="1500" w:type="dxa"/>
            <w:vAlign w:val="center"/>
            <w:shd w:val="clear" w:fill="E9EDF2"/>
          </w:tcPr>
          <w:p>
            <w:pPr>
              <w:spacing w:after="20" w:line="240" w:lineRule="auto" w:before="0"/>
              <w:keepNext w:val="0"/>
              <w:jc w:val="left"/>
            </w:pPr>
            <w:r>
              <w:rPr>
                <w:color w:val="000000"/>
                <w:sz w:val="18"/>
                <w:rFonts w:ascii="Times New Roman" w:hAnsi="Times New Roman"/>
                <w:b/>
              </w:rPr>
              <w:t xml:space="preserve">Contract window (h)</w:t>
            </w:r>
          </w:p>
        </w:tc>
        <w:tc>
          <w:tcPr>
            <w:tcW w:w="2200" w:type="dxa"/>
            <w:vAlign w:val="center"/>
            <w:shd w:val="clear" w:fill="E9EDF2"/>
          </w:tcPr>
          <w:p>
            <w:pPr>
              <w:spacing w:after="20" w:line="240" w:lineRule="auto" w:before="0"/>
              <w:keepNext w:val="0"/>
              <w:jc w:val="center"/>
            </w:pPr>
            <w:r>
              <w:rPr>
                <w:color w:val="000000"/>
                <w:sz w:val="18"/>
                <w:rFonts w:ascii="Times New Roman" w:hAnsi="Times New Roman"/>
                <w:b/>
              </w:rPr>
              <w:t xml:space="preserve">Jobs</w:t>
            </w:r>
          </w:p>
        </w:tc>
        <w:tc>
          <w:tcPr>
            <w:tcW w:w="2500" w:type="dxa"/>
            <w:vAlign w:val="center"/>
            <w:shd w:val="clear" w:fill="E9EDF2"/>
          </w:tcPr>
          <w:p>
            <w:pPr>
              <w:spacing w:after="20" w:line="240" w:lineRule="auto" w:before="0"/>
              <w:keepNext w:val="0"/>
              <w:jc w:val="center"/>
            </w:pPr>
            <w:r>
              <w:rPr>
                <w:color w:val="000000"/>
                <w:sz w:val="18"/>
                <w:rFonts w:ascii="Times New Roman" w:hAnsi="Times New Roman"/>
                <w:b/>
              </w:rPr>
              <w:t xml:space="preserve">Overdue jobs</w:t>
            </w:r>
          </w:p>
        </w:tc>
        <w:tc>
          <w:tcPr>
            <w:tcW w:w="3000" w:type="dxa"/>
            <w:vAlign w:val="center"/>
            <w:shd w:val="clear" w:fill="E9EDF2"/>
          </w:tcPr>
          <w:p>
            <w:pPr>
              <w:spacing w:after="20" w:line="240" w:lineRule="auto" w:before="0"/>
              <w:keepNext w:val="0"/>
              <w:jc w:val="center"/>
            </w:pPr>
            <w:r>
              <w:rPr>
                <w:color w:val="000000"/>
                <w:sz w:val="18"/>
                <w:rFonts w:ascii="Times New Roman" w:hAnsi="Times New Roman"/>
                <w:b/>
              </w:rPr>
              <w:t xml:space="preserve">Year-end unfinished jobs</w:t>
            </w:r>
          </w:p>
        </w:tc>
      </w:tr>
      <w:tr>
        <w:trPr>
          <w:cantSplit/>
        </w:trPr>
        <w:tc>
          <w:tcPr>
            <w:tcW w:w="1500" w:type="dxa"/>
            <w:vAlign w:val="center"/>
            <w:shd w:fill="FFFFFF"/>
          </w:tcPr>
          <w:p>
            <w:pPr>
              <w:keepNext w:val="0"/>
              <w:spacing w:after="20" w:line="240" w:lineRule="auto" w:before="0"/>
              <w:jc w:val="left"/>
            </w:pPr>
            <w:r>
              <w:rPr>
                <w:rFonts w:ascii="Times New Roman" w:hAnsi="Times New Roman"/>
                <w:b w:val="0"/>
                <w:color w:val="000000"/>
                <w:sz w:val="18"/>
              </w:rPr>
              <w:t xml:space="preserve">24</w:t>
            </w:r>
          </w:p>
        </w:tc>
        <w:tc>
          <w:tcPr>
            <w:tcW w:w="2200" w:type="dxa"/>
            <w:vAlign w:val="center"/>
            <w:shd w:fill="FFFFFF"/>
          </w:tcPr>
          <w:p>
            <w:pPr>
              <w:keepNext w:val="0"/>
              <w:spacing w:after="20" w:line="240" w:lineRule="auto" w:before="0"/>
              <w:jc w:val="center"/>
            </w:pPr>
            <w:r>
              <w:rPr>
                <w:rFonts w:ascii="Times New Roman" w:hAnsi="Times New Roman"/>
                <w:b w:val="0"/>
                <w:color w:val="000000"/>
                <w:sz w:val="18"/>
              </w:rPr>
              <w:t xml:space="preserve">977884</w:t>
            </w:r>
          </w:p>
        </w:tc>
        <w:tc>
          <w:tcPr>
            <w:tcW w:w="2500" w:type="dxa"/>
            <w:vAlign w:val="center"/>
            <w:shd w:fill="FFFFFF"/>
          </w:tcPr>
          <w:p>
            <w:pPr>
              <w:keepNext w:val="0"/>
              <w:spacing w:after="20" w:line="240" w:lineRule="auto" w:before="0"/>
              <w:jc w:val="center"/>
            </w:pPr>
            <w:r>
              <w:rPr>
                <w:rFonts w:ascii="Times New Roman" w:hAnsi="Times New Roman"/>
                <w:b w:val="0"/>
                <w:color w:val="000000"/>
                <w:sz w:val="18"/>
              </w:rPr>
              <w:t xml:space="preserve">1764</w:t>
            </w:r>
          </w:p>
        </w:tc>
        <w:tc>
          <w:tcPr>
            <w:tcW w:w="3000" w:type="dxa"/>
            <w:vAlign w:val="center"/>
            <w:shd w:fill="FFFFFF"/>
          </w:tcPr>
          <w:p>
            <w:pPr>
              <w:keepNext w:val="0"/>
              <w:spacing w:after="20" w:line="240" w:lineRule="auto" w:before="0"/>
              <w:jc w:val="center"/>
            </w:pPr>
            <w:r>
              <w:rPr>
                <w:rFonts w:ascii="Times New Roman" w:hAnsi="Times New Roman"/>
                <w:b w:val="0"/>
                <w:color w:val="000000"/>
                <w:sz w:val="18"/>
              </w:rPr>
              <w:t xml:space="preserve">501</w:t>
            </w:r>
          </w:p>
        </w:tc>
      </w:tr>
      <w:tr>
        <w:trPr>
          <w:cantSplit/>
        </w:trPr>
        <w:tc>
          <w:tcPr>
            <w:tcW w:w="1500" w:type="dxa"/>
            <w:vAlign w:val="center"/>
            <w:shd w:fill="FFFFFF"/>
          </w:tcPr>
          <w:p>
            <w:pPr>
              <w:keepNext w:val="0"/>
              <w:spacing w:after="20" w:line="240" w:lineRule="auto" w:before="0"/>
              <w:jc w:val="left"/>
            </w:pPr>
            <w:r>
              <w:rPr>
                <w:rFonts w:ascii="Times New Roman" w:hAnsi="Times New Roman"/>
                <w:b w:val="0"/>
                <w:color w:val="000000"/>
                <w:sz w:val="18"/>
              </w:rPr>
              <w:t xml:space="preserve">30</w:t>
            </w:r>
          </w:p>
        </w:tc>
        <w:tc>
          <w:tcPr>
            <w:tcW w:w="2200" w:type="dxa"/>
            <w:vAlign w:val="center"/>
            <w:shd w:fill="FFFFFF"/>
          </w:tcPr>
          <w:p>
            <w:pPr>
              <w:keepNext w:val="0"/>
              <w:spacing w:after="20" w:line="240" w:lineRule="auto" w:before="0"/>
              <w:jc w:val="center"/>
            </w:pPr>
            <w:r>
              <w:rPr>
                <w:rFonts w:ascii="Times New Roman" w:hAnsi="Times New Roman"/>
                <w:b w:val="0"/>
                <w:color w:val="000000"/>
                <w:sz w:val="18"/>
              </w:rPr>
              <w:t xml:space="preserve">977884</w:t>
            </w:r>
          </w:p>
        </w:tc>
        <w:tc>
          <w:tcPr>
            <w:tcW w:w="2500" w:type="dxa"/>
            <w:vAlign w:val="center"/>
            <w:shd w:fill="FFFFFF"/>
          </w:tcPr>
          <w:p>
            <w:pPr>
              <w:keepNext w:val="0"/>
              <w:spacing w:after="20" w:line="240" w:lineRule="auto" w:before="0"/>
              <w:jc w:val="center"/>
            </w:pPr>
            <w:r>
              <w:rPr>
                <w:rFonts w:ascii="Times New Roman" w:hAnsi="Times New Roman"/>
                <w:b w:val="0"/>
                <w:color w:val="000000"/>
                <w:sz w:val="18"/>
              </w:rPr>
              <w:t>27</w:t>
            </w:r>
          </w:p>
        </w:tc>
        <w:tc>
          <w:tcPr>
            <w:tcW w:w="3000" w:type="dxa"/>
            <w:vAlign w:val="center"/>
            <w:shd w:fill="FFFFFF"/>
          </w:tcPr>
          <w:p>
            <w:pPr>
              <w:keepNext w:val="0"/>
              <w:spacing w:after="20" w:line="240" w:lineRule="auto" w:before="0"/>
              <w:jc w:val="center"/>
            </w:pPr>
            <w:r>
              <w:rPr>
                <w:rFonts w:ascii="Times New Roman" w:hAnsi="Times New Roman"/>
                <w:b w:val="0"/>
                <w:color w:val="000000"/>
                <w:sz w:val="18"/>
              </w:rPr>
              <w:t xml:space="preserve">519</w:t>
            </w:r>
          </w:p>
        </w:tc>
      </w:tr>
      <w:tr>
        <w:trPr>
          <w:cantSplit/>
        </w:trPr>
        <w:tc>
          <w:tcPr>
            <w:tcW w:w="1500" w:type="dxa"/>
            <w:vAlign w:val="center"/>
            <w:shd w:fill="FFFFFF"/>
          </w:tcPr>
          <w:p>
            <w:pPr>
              <w:keepNext w:val="0"/>
              <w:spacing w:after="20" w:line="240" w:lineRule="auto" w:before="0"/>
              <w:jc w:val="left"/>
            </w:pPr>
            <w:r>
              <w:rPr>
                <w:rFonts w:ascii="Times New Roman" w:hAnsi="Times New Roman"/>
                <w:b w:val="0"/>
                <w:color w:val="000000"/>
                <w:sz w:val="18"/>
              </w:rPr>
              <w:t xml:space="preserve">48</w:t>
            </w:r>
          </w:p>
        </w:tc>
        <w:tc>
          <w:tcPr>
            <w:tcW w:w="2200" w:type="dxa"/>
            <w:vAlign w:val="center"/>
            <w:shd w:fill="FFFFFF"/>
          </w:tcPr>
          <w:p>
            <w:pPr>
              <w:keepNext w:val="0"/>
              <w:spacing w:after="20" w:line="240" w:lineRule="auto" w:before="0"/>
              <w:jc w:val="center"/>
            </w:pPr>
            <w:r>
              <w:rPr>
                <w:rFonts w:ascii="Times New Roman" w:hAnsi="Times New Roman"/>
                <w:b w:val="0"/>
                <w:color w:val="000000"/>
                <w:sz w:val="18"/>
              </w:rPr>
              <w:t xml:space="preserve">977884</w:t>
            </w:r>
          </w:p>
        </w:tc>
        <w:tc>
          <w:tcPr>
            <w:tcW w:w="2500" w:type="dxa"/>
            <w:vAlign w:val="center"/>
            <w:shd w:fill="FFFFFF"/>
          </w:tcPr>
          <w:p>
            <w:pPr>
              <w:keepNext w:val="0"/>
              <w:spacing w:after="20" w:line="240" w:lineRule="auto" w:before="0"/>
              <w:jc w:val="center"/>
            </w:pPr>
            <w:r>
              <w:rPr>
                <w:rFonts w:ascii="Times New Roman" w:hAnsi="Times New Roman"/>
                <w:b w:val="0"/>
                <w:color w:val="000000"/>
                <w:sz w:val="18"/>
              </w:rPr>
              <w:t xml:space="preserve">0</w:t>
            </w:r>
          </w:p>
        </w:tc>
        <w:tc>
          <w:tcPr>
            <w:tcW w:w="3000" w:type="dxa"/>
            <w:vAlign w:val="center"/>
            <w:shd w:fill="FFFFFF"/>
          </w:tcPr>
          <w:p>
            <w:pPr>
              <w:keepNext w:val="0"/>
              <w:spacing w:after="20" w:line="240" w:lineRule="auto" w:before="0"/>
              <w:jc w:val="center"/>
            </w:pPr>
            <w:r>
              <w:rPr>
                <w:rFonts w:ascii="Times New Roman" w:hAnsi="Times New Roman"/>
                <w:b w:val="0"/>
                <w:color w:val="000000"/>
                <w:sz w:val="18"/>
              </w:rPr>
              <w:t xml:space="preserve">519</w:t>
            </w:r>
          </w:p>
        </w:tc>
      </w:tr>
    </w:tbl>
    <w:p>
      <w:pPr>
        <w:widowControl/>
      </w:pPr>
    </w:p>
    <w:p>
      <w:pPr>
        <w:pStyle w:val="Heading1"/>
        <w:keepNext/>
        <w:widowControl/>
      </w:pPr>
      <w:r>
        <w:t>Architecture and forecast scores</w:t>
      </w:r>
    </w:p>
    <w:p>
      <w:pPr>
        <w:pStyle w:val="Caption"/>
        <w:keepNext/>
        <w:widowControl/>
      </w:pPr>
      <w:r>
        <w:t>Supplementary Table 16. Decision-module architecture.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2232"/>
        <w:gridCol w:w="3456"/>
        <w:gridCol w:w="4392"/>
      </w:tblGrid>
      <w:tr>
        <w:trPr>
          <w:tblHeader/>
          <w:cantSplit/>
        </w:trPr>
        <w:tc>
          <w:tcPr>
            <w:tcW w:type="dxa" w:w="2232"/>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color w:val="000000"/>
                <w:sz w:val="18"/>
              </w:rPr>
              <w:t>Component</w:t>
            </w:r>
          </w:p>
        </w:tc>
        <w:tc>
          <w:tcPr>
            <w:tcW w:type="dxa" w:w="3456"/>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color w:val="000000"/>
                <w:sz w:val="18"/>
              </w:rPr>
              <w:t>Dimensions</w:t>
            </w:r>
          </w:p>
        </w:tc>
        <w:tc>
          <w:tcPr>
            <w:tcW w:type="dxa" w:w="4392"/>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color w:val="000000"/>
                <w:sz w:val="18"/>
              </w:rPr>
              <w:t>Function or constraint</w:t>
            </w:r>
          </w:p>
        </w:tc>
      </w:tr>
      <w:tr>
        <w:trPr>
          <w:cantSplit/>
        </w:trPr>
        <w:tc>
          <w:tcPr>
            <w:tcW w:type="dxa" w:w="223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before="0" w:after="20" w:line="240" w:lineRule="auto"/>
              <w:jc w:val="left"/>
            </w:pPr>
            <w:r>
              <w:rPr>
                <w:rFonts w:ascii="Times New Roman" w:hAnsi="Times New Roman"/>
                <w:b w:val="0"/>
                <w:color w:val="000000"/>
                <w:sz w:val="18"/>
              </w:rPr>
              <w:t>Pretrained backbone</w:t>
            </w:r>
          </w:p>
        </w:tc>
        <w:tc>
          <w:tcPr>
            <w:tcW w:type="dxa" w:w="3456"/>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before="0" w:after="20" w:line="240" w:lineRule="auto"/>
              <w:jc w:val="left"/>
            </w:pPr>
            <w:r>
              <w:rPr>
                <w:rFonts w:ascii="Times New Roman" w:hAnsi="Times New Roman"/>
                <w:b w:val="0"/>
                <w:color w:val="000000"/>
                <w:sz w:val="18"/>
              </w:rPr>
              <w:t>Two pretraining stages; 59,156,961 parameters</w:t>
            </w:r>
          </w:p>
        </w:tc>
        <w:tc>
          <w:tcPr>
            <w:tcW w:type="dxa" w:w="439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No gradient updates</w:t>
            </w:r>
          </w:p>
        </w:tc>
      </w:tr>
      <w:tr>
        <w:trPr>
          <w:cantSplit/>
        </w:trPr>
        <w:tc>
          <w:tcPr>
            <w:tcW w:type="dxa" w:w="223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before="0" w:after="20" w:line="240" w:lineRule="auto"/>
              <w:jc w:val="left"/>
            </w:pPr>
            <w:r>
              <w:rPr>
                <w:rFonts w:ascii="Times New Roman" w:hAnsi="Times New Roman"/>
                <w:b w:val="0"/>
                <w:color w:val="000000"/>
                <w:sz w:val="18"/>
              </w:rPr>
              <w:t>Cached market features</w:t>
            </w:r>
          </w:p>
        </w:tc>
        <w:tc>
          <w:tcPr>
            <w:tcW w:type="dxa" w:w="3456"/>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128 market dimensions</w:t>
            </w:r>
          </w:p>
        </w:tc>
        <w:tc>
          <w:tcPr>
            <w:tcW w:type="dxa" w:w="439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before="0" w:after="20" w:line="240" w:lineRule="auto"/>
              <w:jc w:val="left"/>
            </w:pPr>
            <w:r>
              <w:rPr>
                <w:rFonts w:ascii="Times New Roman" w:hAnsi="Times New Roman"/>
                <w:b w:val="0"/>
                <w:color w:val="000000"/>
                <w:sz w:val="18"/>
              </w:rPr>
              <w:t>Shared across refinement seeds</w:t>
            </w:r>
          </w:p>
        </w:tc>
      </w:tr>
      <w:tr>
        <w:trPr>
          <w:cantSplit/>
        </w:trPr>
        <w:tc>
          <w:tcPr>
            <w:tcW w:type="dxa" w:w="223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Market adapter</w:t>
            </w:r>
          </w:p>
        </w:tc>
        <w:tc>
          <w:tcPr>
            <w:tcW w:type="dxa" w:w="3456"/>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128 → 64 → 128</w:t>
            </w:r>
          </w:p>
        </w:tc>
        <w:tc>
          <w:tcPr>
            <w:tcW w:type="dxa" w:w="439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0.1 tanh residual; market-only price shift</w:t>
            </w:r>
          </w:p>
        </w:tc>
      </w:tr>
      <w:tr>
        <w:trPr>
          <w:cantSplit/>
        </w:trPr>
        <w:tc>
          <w:tcPr>
            <w:tcW w:type="dxa" w:w="223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Market / physics encoders</w:t>
            </w:r>
          </w:p>
        </w:tc>
        <w:tc>
          <w:tcPr>
            <w:tcW w:type="dxa" w:w="3456"/>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135 → 64; 13 → 64</w:t>
            </w:r>
          </w:p>
        </w:tc>
        <w:tc>
          <w:tcPr>
            <w:tcW w:type="dxa" w:w="439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Separate input streams</w:t>
            </w:r>
          </w:p>
        </w:tc>
      </w:tr>
      <w:tr>
        <w:trPr>
          <w:cantSplit/>
        </w:trPr>
        <w:tc>
          <w:tcPr>
            <w:tcW w:type="dxa" w:w="223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Cross attention</w:t>
            </w:r>
          </w:p>
        </w:tc>
        <w:tc>
          <w:tcPr>
            <w:tcW w:type="dxa" w:w="3456"/>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4 heads; 24 hourly tokens</w:t>
            </w:r>
          </w:p>
        </w:tc>
        <w:tc>
          <w:tcPr>
            <w:tcW w:type="dxa" w:w="439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Bidirectional market–physics fusion</w:t>
            </w:r>
          </w:p>
        </w:tc>
      </w:tr>
      <w:tr>
        <w:trPr>
          <w:cantSplit/>
        </w:trPr>
        <w:tc>
          <w:tcPr>
            <w:tcW w:type="dxa" w:w="223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Temporal processing</w:t>
            </w:r>
          </w:p>
        </w:tc>
        <w:tc>
          <w:tcPr>
            <w:tcW w:type="dxa" w:w="3456"/>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2 layers; 64 width; 128 feed-forward</w:t>
            </w:r>
          </w:p>
        </w:tc>
        <w:tc>
          <w:tcPr>
            <w:tcW w:type="dxa" w:w="439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Dropout 0</w:t>
            </w:r>
          </w:p>
        </w:tc>
      </w:tr>
      <w:tr>
        <w:trPr>
          <w:cantSplit/>
        </w:trPr>
        <w:tc>
          <w:tcPr>
            <w:tcW w:type="dxa" w:w="223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Work query</w:t>
            </w:r>
          </w:p>
        </w:tc>
        <w:tc>
          <w:tcPr>
            <w:tcW w:type="dxa" w:w="3456"/>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9 → 64; 96 query slots</w:t>
            </w:r>
          </w:p>
        </w:tc>
        <w:tc>
          <w:tcPr>
            <w:tcW w:type="dxa" w:w="439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Query includes local market/physical context</w:t>
            </w:r>
          </w:p>
        </w:tc>
      </w:tr>
      <w:tr>
        <w:trPr>
          <w:cantSplit/>
        </w:trPr>
        <w:tc>
          <w:tcPr>
            <w:tcW w:type="dxa" w:w="223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Quarter-hour refinement</w:t>
            </w:r>
          </w:p>
        </w:tc>
        <w:tc>
          <w:tcPr>
            <w:tcW w:type="dxa" w:w="3456"/>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192 → 64 → 128</w:t>
            </w:r>
          </w:p>
        </w:tc>
        <w:tc>
          <w:tcPr>
            <w:tcW w:type="dxa" w:w="439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0.2 tanh residual</w:t>
            </w:r>
          </w:p>
        </w:tc>
      </w:tr>
      <w:tr>
        <w:trPr>
          <w:cantSplit/>
        </w:trPr>
        <w:tc>
          <w:tcPr>
            <w:tcW w:type="dxa" w:w="223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State decoder</w:t>
            </w:r>
          </w:p>
        </w:tc>
        <w:tc>
          <w:tcPr>
            <w:tcW w:type="dxa" w:w="3456"/>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22 → 64; pooled 327 → 96 → 64 → 5</w:t>
            </w:r>
          </w:p>
        </w:tc>
        <w:tc>
          <w:tcPr>
            <w:tcW w:type="dxa" w:w="439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PV cost representation; task bias; opportunity</w:t>
            </w:r>
          </w:p>
        </w:tc>
      </w:tr>
      <w:tr>
        <w:trPr>
          <w:cantSplit/>
        </w:trPr>
        <w:tc>
          <w:tcPr>
            <w:tcW w:type="dxa" w:w="223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Cross-moment head</w:t>
            </w:r>
          </w:p>
        </w:tc>
        <w:tc>
          <w:tcPr>
            <w:tcW w:type="dxa" w:w="3456"/>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157 → 64 → 1</w:t>
            </w:r>
          </w:p>
        </w:tc>
        <w:tc>
          <w:tcPr>
            <w:tcW w:type="dxa" w:w="439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0.95 tanh output</w:t>
            </w:r>
          </w:p>
        </w:tc>
      </w:tr>
      <w:tr>
        <w:trPr>
          <w:cantSplit/>
        </w:trPr>
        <w:tc>
          <w:tcPr>
            <w:tcW w:type="dxa" w:w="223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Refinement total</w:t>
            </w:r>
          </w:p>
        </w:tc>
        <w:tc>
          <w:tcPr>
            <w:tcW w:type="dxa" w:w="3456"/>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227,527 trainable parameters</w:t>
            </w:r>
          </w:p>
        </w:tc>
        <w:tc>
          <w:tcPr>
            <w:tcW w:type="dxa" w:w="439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Shared decision-trained initialization</w:t>
            </w:r>
          </w:p>
        </w:tc>
      </w:tr>
      <w:tr>
        <w:trPr>
          <w:cantSplit/>
        </w:trPr>
        <w:tc>
          <w:tcPr>
            <w:tcW w:type="dxa" w:w="223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Differentiable allocation</w:t>
            </w:r>
          </w:p>
        </w:tc>
        <w:tc>
          <w:tcPr>
            <w:tcW w:type="dxa" w:w="3456"/>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τ = 2; 16-cohort rollout</w:t>
            </w:r>
          </w:p>
        </w:tc>
        <w:tc>
          <w:tcPr>
            <w:tcW w:type="dxa" w:w="439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Capacity, equality and active-set derivatives</w:t>
            </w:r>
          </w:p>
        </w:tc>
      </w:tr>
    </w:tbl>
    <w:p>
      <w:pPr>
        <w:widowControl/>
      </w:pPr>
    </w:p>
    <w:p>
      <w:pPr>
        <w:widowControl/>
      </w:pPr>
      <w:r>
        <w:t>The decision module receives a 128-dimensional pretrained market representation and seven price quantiles. Bidirectional four-head attention connects market and physical states, and 96 work-to-time queries represent candidate service slots. Five effective physical and task quantities, assembled from the decoder and a separate cross-moment head, enter analytical import valuation. Nine uniform capacity nodes and seven PV-derived nodes define up to 15 intervening segments; these 16 candidate boundaries are distinct from the 16 arriving cohorts unrolled during training.</w:t>
      </w:r>
    </w:p>
    <w:p>
      <w:pPr>
        <w:pStyle w:val="Caption"/>
        <w:keepNext/>
        <w:widowControl/>
      </w:pPr>
      <w:r>
        <w:t>Supplementary Table 17. Queue-independent post-publication RT forecast scores. Task-specific cost and opportunity adjustments are excluded.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1512"/>
        <w:gridCol w:w="2088"/>
        <w:gridCol w:w="2088"/>
        <w:gridCol w:w="2088"/>
        <w:gridCol w:w="2088"/>
      </w:tblGrid>
      <w:tr>
        <w:trPr>
          <w:tblHeader/>
          <w:cantSplit/>
        </w:trPr>
        <w:tc>
          <w:tcPr>
            <w:tcW w:type="dxa" w:w="1512"/>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color w:val="000000"/>
                <w:sz w:val="18"/>
              </w:rPr>
              <w:t>Seed</w:t>
            </w:r>
          </w:p>
        </w:tc>
        <w:tc>
          <w:tcPr>
            <w:tcW w:type="dxa" w:w="2088"/>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8"/>
              </w:rPr>
              <w:t>Pinball</w:t>
              <w:br/>
              <w:t>US$/MWh</w:t>
            </w:r>
          </w:p>
        </w:tc>
        <w:tc>
          <w:tcPr>
            <w:tcW w:type="dxa" w:w="2088"/>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8"/>
              </w:rPr>
              <w:t>Median MAE</w:t>
              <w:br/>
              <w:t>US$/MWh</w:t>
            </w:r>
          </w:p>
        </w:tc>
        <w:tc>
          <w:tcPr>
            <w:tcW w:type="dxa" w:w="2088"/>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8"/>
              </w:rPr>
              <w:t>90% coverage</w:t>
              <w:br/>
              <w:t>%</w:t>
            </w:r>
          </w:p>
        </w:tc>
        <w:tc>
          <w:tcPr>
            <w:tcW w:type="dxa" w:w="2088"/>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8"/>
              </w:rPr>
              <w:t>Interval width</w:t>
              <w:br/>
              <w:t>US$/MWh</w:t>
            </w:r>
          </w:p>
        </w:tc>
      </w:tr>
      <w:tr>
        <w:trPr>
          <w:cantSplit/>
        </w:trPr>
        <w:tc>
          <w:tcPr>
            <w:tcW w:type="dxa" w:w="151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20260920</w:t>
            </w:r>
          </w:p>
        </w:tc>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5.5948</w:t>
            </w:r>
          </w:p>
        </w:tc>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16.7277</w:t>
            </w:r>
          </w:p>
        </w:tc>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89.40</w:t>
            </w:r>
          </w:p>
        </w:tc>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75.469</w:t>
            </w:r>
          </w:p>
        </w:tc>
      </w:tr>
      <w:tr>
        <w:trPr>
          <w:cantSplit/>
        </w:trPr>
        <w:tc>
          <w:tcPr>
            <w:tcW w:type="dxa" w:w="151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20260921</w:t>
            </w:r>
          </w:p>
        </w:tc>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5.5932</w:t>
            </w:r>
          </w:p>
        </w:tc>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16.7213</w:t>
            </w:r>
          </w:p>
        </w:tc>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89.45</w:t>
            </w:r>
          </w:p>
        </w:tc>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75.469</w:t>
            </w:r>
          </w:p>
        </w:tc>
      </w:tr>
      <w:tr>
        <w:trPr>
          <w:cantSplit/>
        </w:trPr>
        <w:tc>
          <w:tcPr>
            <w:tcW w:type="dxa" w:w="151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20260922</w:t>
            </w:r>
          </w:p>
        </w:tc>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5.5949</w:t>
            </w:r>
          </w:p>
        </w:tc>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16.7292</w:t>
            </w:r>
          </w:p>
        </w:tc>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89.47</w:t>
            </w:r>
          </w:p>
        </w:tc>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75.469</w:t>
            </w:r>
          </w:p>
        </w:tc>
      </w:tr>
    </w:tbl>
    <w:p>
      <w:pPr>
        <w:widowControl/>
      </w:pPr>
    </w:p>
    <w:p>
      <w:pPr>
        <w:pStyle w:val="Heading1"/>
        <w:keepNext/>
        <w:widowControl/>
      </w:pPr>
      <w:r>
        <w:t>Training refinements and model selection</w:t>
      </w:r>
    </w:p>
    <w:p>
      <w:pPr>
        <w:pStyle w:val="Caption"/>
        <w:keepNext/>
        <w:widowControl/>
      </w:pPr>
      <w:r>
        <w:t>Supplementary Table 18. Training settings, economic early stopping and retained neural-model histories.</w:t>
      </w:r>
    </w:p>
    <w:tbl>
      <w:tblPr>
        <w:tblW w:w="8660" w:type="dxa"/>
        <w:tblLayout w:type="fixed"/>
        <w:jc w:val="center"/>
        <w:tblCellMar>
          <w:top w:w="55" w:type="dxa"/>
          <w:bottom w:w="55" w:type="dxa"/>
          <w:left w:w="65" w:type="dxa"/>
          <w:right w:w="65"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600"/>
        <w:gridCol w:w="6060"/>
      </w:tblGrid>
      <w:tr>
        <w:trPr>
          <w:cantSplit/>
          <w:tblHeader/>
        </w:trPr>
        <w:tc>
          <w:tcPr>
            <w:tcW w:w="2600" w:type="dxa"/>
            <w:vAlign w:val="center"/>
            <w:shd w:val="clear" w:fill="E9EDF2"/>
          </w:tcPr>
          <w:p>
            <w:pPr>
              <w:keepNext w:val="0"/>
              <w:spacing w:before="0" w:after="20" w:line="240" w:lineRule="auto"/>
              <w:jc w:val="left"/>
            </w:pPr>
            <w:r>
              <w:rPr>
                <w:rFonts w:ascii="Times New Roman" w:hAnsi="Times New Roman"/>
                <w:color w:val="000000"/>
                <w:sz w:val="18"/>
                <w:b/>
              </w:rPr>
              <w:t xml:space="preserve">Setting</w:t>
            </w:r>
          </w:p>
        </w:tc>
        <w:tc>
          <w:tcPr>
            <w:tcW w:w="6060" w:type="dxa"/>
            <w:vAlign w:val="center"/>
            <w:shd w:val="clear" w:fill="E9EDF2"/>
          </w:tcPr>
          <w:p>
            <w:pPr>
              <w:keepNext w:val="0"/>
              <w:spacing w:before="0" w:after="20" w:line="240" w:lineRule="auto"/>
              <w:jc w:val="left"/>
            </w:pPr>
            <w:r>
              <w:rPr>
                <w:rFonts w:ascii="Times New Roman" w:hAnsi="Times New Roman"/>
                <w:color w:val="000000"/>
                <w:sz w:val="18"/>
                <w:b/>
              </w:rPr>
              <w:t xml:space="preserve">Value</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Parameter-fitting years</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 xml:space="preserve">2021–2023</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Physical-label years</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 xml:space="preserve">2022–2023</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Selection / evaluation</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 xml:space="preserve">2024 / 2025</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Training episodes</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 xml:space="preserve">2,349 retained of 2,376; 27 conservative feasibility exclusions</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Validation snapshots</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 xml:space="preserve">320; no optimizer updates</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Training batch</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 xml:space="preserve">32</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Optimizer</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 xml:space="preserve">AdamW; learning rate 0.0001; weight decay 0.0001</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Gradient clipping</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 xml:space="preserve">L2 norm 1</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Auxiliary loss weights</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 xml:space="preserve">PV pinball 2; marginal-cost Huber 0.2</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Regularization</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 xml:space="preserve">0.002 mean opportunity squared; 0.005 mean cross-moment coefficient squared; 0.1 mean price-shift squared / 100</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Quantile grid</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 xml:space="preserve">0.05, 0.10, 0.25, 0.50, 0.75, 0.90, 0.95</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Cost quadrature weights</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 xml:space="preserve">0.075, 0.10, 0.20, 0.25, 0.20, 0.10, 0.075</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Precision</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 xml:space="preserve">BF16 training; precision-controlled physical costs and evaluation</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Epoch budget</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 xml:space="preserve">WorldMoE ceiling 12; minimum 6 before early stopping; Non-MoE retained search completes 6</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Economic selection</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 xml:space="preserve">Common rule on eligible retained histories: full-2024 economic value; restore maximum actual saving, including registered initialization</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Patience</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 xml:space="preserve">Three evaluations without an eligible gain exceeding US$50; threshold controls stopping only</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Price-score guard</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 xml:space="preserve">At most 1.02 times the fixed model-specific reference: WorldMoE 0.4193302095; Non-MoE 0.4118362963</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Feasibility guard</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 xml:space="preserve">Late and closing work below 1e-8 IT MWh</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Replication scope</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Three refinements sharing a trained initialization and fixed upstream features; display epochs 6, 2 and 2</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Deployment</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 xml:space="preserve">Current action only; 0.025 action grid plus physical/reference knots</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Future service capacity</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 xml:space="preserve">0.9 safety fraction; expected continuation cost</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Price / cost separation</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Queue-independent price shift; task-specific bias and opportunity values are not price forecasts</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WorldMoE actual histories</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 xml:space="preserve">Completed 12 / 6 / 6 epochs; selected archive epochs 6 / 2 / 0; author display mapping unchanged</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Non-MoE retained history</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 xml:space="preserve">Candidates 0 / 2 / 4 / 6; common stopping condition at 6; selected 0</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Application of common rule</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 xml:space="preserve">Retained-history selection; no new optimizer updates or 2025-based checkpoint choice</w:t>
            </w:r>
          </w:p>
        </w:tc>
      </w:tr>
    </w:tbl>
    <w:p>
      <w:pPr>
        <w:widowControl/>
      </w:pPr>
    </w:p>
    <w:p>
      <w:pPr>
        <w:widowControl/>
      </w:pPr>
      <w:r>
        <w:t>The conditional-price slope approximates the price–PV cross moment and is bounded during learning. Uncertainty in completed physical observations attenuates its current-quarter contribution. Future costs use clipped-Gaussian partial moments; training evaluates midpoint segment costs, whereas deployment integrates endpoint costs. These related numerical representations are assessed by actual annual execution and settlement when selecting the 2024 checkpoint.</w:t>
      </w:r>
    </w:p>
    <w:p>
      <w:pPr>
        <w:widowControl/>
      </w:pPr>
      <w:r>
        <w:t>Task-cost bias, opportunity value and price–PV dependence have no standalone labels for their optimal decision values. The episode-cost loss supplies intertemporal gradients through the 16-cohort allocator; marginal-cost regression and regularization provide additional gradients. Removing the allocator would remove the decision-alignment path, not necessarily all learning signals. Deployment uses analytical endpoint integration and a 0.025-work-unit current-action grid, with deadline protection in the specified electrical cases.</w:t>
      </w:r>
    </w:p>
    <w:p>
      <w:pPr>
        <w:widowControl/>
      </w:pPr>
      <w:r>
        <w:t>Training begins from reservations generated by a causal behavior policy and unrolls arriving cohorts in order. Existing claims persist, allocations retain their original deadlines and residual capacity carries forward. The same conservative feasibility screen excludes 27 training episodes for every seed; all 2025 arrivals and calendar intervals remain in evaluation. Future outcomes are training targets only within fitting years. Operating-time feature gates are distinct from the historical archive-version limitation discussed below.</w:t>
      </w:r>
    </w:p>
    <w:p>
      <w:pPr>
        <w:widowControl/>
      </w:pPr>
      <w:r>
        <w:t>AdamW uses learning rate and weight decay of 10⁻⁴, batches of 32 and gradient-norm clipping at 1. The maximum refinement budget is 12 epochs, with full-year economic evaluation every two epochs and at initialization when registered. Eligibility requires late and closing work below 10⁻⁸ IT MWh and a normalized price score no greater than 1.02 times the fixed model reference (0.4193302095 for WorldMoE). Let ℰ denote the evaluated eligible candidates; selection maximizes actual 2024 savings:</w:t>
      </w:r>
    </w:p>
    <w:p w14:paraId="18CCF839" w14:textId="77777777" w:rsidR="00644F1E" w:rsidRDefault="00000000">
      <w:pPr>
        <w:keepLines/>
        <w:widowControl/>
        <w:spacing w:before="100" w:after="180" w:line="288" w:lineRule="auto"/>
      </w:pPr>
      <m:oMath>
        <m:sSup>
          <m:e>
            <m:r>
              <w:rPr>
                <w:rFonts w:ascii="Cambria Math" w:hAnsi="Cambria Math"/>
              </w:rPr>
              <m:t xml:space="preserve">e</m:t>
            </m:r>
          </m:e>
          <m:sup>
            <m:r>
              <w:rPr>
                <w:rFonts w:ascii="Cambria Math" w:hAnsi="Cambria Math"/>
              </w:rPr>
              <m:t xml:space="preserve">*</m:t>
            </m:r>
          </m:sup>
        </m:sSup>
        <m:r>
          <w:rPr>
            <w:rFonts w:ascii="Cambria Math" w:hAnsi="Cambria Math"/>
          </w:rPr>
          <m:t xml:space="preserve">=</m:t>
        </m:r>
        <m:sSub>
          <m:e>
            <m:box>
              <m:e>
                <m:r>
                  <w:rPr>
                    <w:rFonts w:ascii="Cambria Math" w:hAnsi="Cambria Math"/>
                  </w:rPr>
                  <m:rPr>
                    <m:sty m:val="p"/>
                    <m:sty m:val="p"/>
                  </m:rPr>
                  <m:t xml:space="preserve">arg</m:t>
                </m:r>
                <m:r>
                  <w:rPr>
                    <w:rFonts w:ascii="Cambria Math" w:hAnsi="Cambria Math"/>
                  </w:rPr>
                  <m:rPr>
                    <m:sty m:val="p"/>
                    <m:sty m:val="p"/>
                  </m:rPr>
                  <m:t xml:space="preserve">max</m:t>
                </m:r>
              </m:e>
            </m:box>
          </m:e>
          <m:sub>
            <m:r>
              <w:rPr>
                <w:rFonts w:ascii="Cambria Math" w:hAnsi="Cambria Math"/>
              </w:rPr>
              <m:t xml:space="preserve">e</m:t>
            </m:r>
            <m:r>
              <w:rPr>
                <w:rFonts w:ascii="Cambria Math" w:hAnsi="Cambria Math"/>
              </w:rPr>
              <m:t xml:space="preserve">∈</m:t>
            </m:r>
            <m:r>
              <w:rPr>
                <w:rFonts w:ascii="Cambria Math" w:hAnsi="Cambria Math"/>
              </w:rPr>
              <m:t xml:space="preserve">ℰ</m:t>
            </m:r>
          </m:sub>
        </m:sSub>
        <m:r>
          <w:rPr>
            <w:rFonts w:ascii="Cambria Math" w:hAnsi="Cambria Math"/>
          </w:rPr>
          <m:t xml:space="preserve"/>
        </m:r>
        <m:r>
          <w:rPr>
            <w:rFonts w:ascii="Cambria Math" w:hAnsi="Cambria Math"/>
          </w:rPr>
          <m:t xml:space="preserve">[</m:t>
        </m:r>
        <m:sSub>
          <m:e>
            <m:r>
              <w:rPr>
                <w:rFonts w:ascii="Cambria Math" w:hAnsi="Cambria Math"/>
              </w:rPr>
              <m:t xml:space="preserve">C</m:t>
            </m:r>
          </m:e>
          <m:sub>
            <m:r>
              <w:rPr>
                <w:rFonts w:ascii="Cambria Math" w:hAnsi="Cambria Math"/>
              </w:rPr>
              <m:t xml:space="preserve">2</m:t>
            </m:r>
            <m:r>
              <w:rPr>
                <w:rFonts w:ascii="Cambria Math" w:hAnsi="Cambria Math"/>
              </w:rPr>
              <m:t xml:space="preserve">0</m:t>
            </m:r>
            <m:r>
              <w:rPr>
                <w:rFonts w:ascii="Cambria Math" w:hAnsi="Cambria Math"/>
              </w:rPr>
              <m:t xml:space="preserve">2</m:t>
            </m:r>
            <m:r>
              <w:rPr>
                <w:rFonts w:ascii="Cambria Math" w:hAnsi="Cambria Math"/>
              </w:rPr>
              <m:t xml:space="preserve">4</m:t>
            </m:r>
          </m:sub>
        </m:sSub>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m:t>
        </m:r>
        <m:sSub>
          <m:e>
            <m:r>
              <w:rPr>
                <w:rFonts w:ascii="Cambria Math" w:hAnsi="Cambria Math"/>
              </w:rPr>
              <m:t xml:space="preserve">C</m:t>
            </m:r>
          </m:e>
          <m:sub>
            <m:r>
              <w:rPr>
                <w:rFonts w:ascii="Cambria Math" w:hAnsi="Cambria Math"/>
              </w:rPr>
              <m:t xml:space="preserve">2</m:t>
            </m:r>
            <m:r>
              <w:rPr>
                <w:rFonts w:ascii="Cambria Math" w:hAnsi="Cambria Math"/>
              </w:rPr>
              <m:t xml:space="preserve">0</m:t>
            </m:r>
            <m:r>
              <w:rPr>
                <w:rFonts w:ascii="Cambria Math" w:hAnsi="Cambria Math"/>
              </w:rPr>
              <m:t xml:space="preserve">2</m:t>
            </m:r>
            <m:r>
              <w:rPr>
                <w:rFonts w:ascii="Cambria Math" w:hAnsi="Cambria Math"/>
              </w:rPr>
              <m:t xml:space="preserve">4</m:t>
            </m:r>
          </m:sub>
        </m:sSub>
        <m:r>
          <w:rPr>
            <w:rFonts w:ascii="Cambria Math" w:hAnsi="Cambria Math"/>
          </w:rPr>
          <m:t xml:space="preserve">(</m:t>
        </m:r>
        <m:sSub>
          <m:e>
            <m:r>
              <w:rPr>
                <w:rFonts w:ascii="Cambria Math" w:hAnsi="Cambria Math"/>
              </w:rPr>
              <m:t xml:space="preserve">π</m:t>
            </m:r>
          </m:e>
          <m:sub>
            <m:r>
              <w:rPr>
                <w:rFonts w:ascii="Cambria Math" w:hAnsi="Cambria Math"/>
              </w:rPr>
              <m:t xml:space="preserve">e</m:t>
            </m:r>
          </m:sub>
        </m:sSub>
        <m:r>
          <w:rPr>
            <w:rFonts w:ascii="Cambria Math" w:hAnsi="Cambria Math"/>
          </w:rPr>
          <m:t xml:space="preserve">)</m:t>
        </m:r>
        <m:r>
          <w:rPr>
            <w:rFonts w:ascii="Cambria Math" w:hAnsi="Cambria Math"/>
          </w:rPr>
          <m:t xml:space="preserve"/>
        </m:r>
        <m:r>
          <w:rPr>
            <w:rFonts w:ascii="Cambria Math" w:hAnsi="Cambria Math"/>
          </w:rPr>
          <m:t xml:space="preserve">]</m:t>
        </m:r>
        <m:r>
          <w:rPr>
            <w:rFonts w:ascii="Cambria Math" w:hAnsi="Cambria Math"/>
          </w:rPr>
          <m:t xml:space="preserve">.</m:t>
        </m:r>
      </m:oMath>
    </w:p>
    <w:p>
      <w:pPr>
        <w:widowControl/>
      </w:pPr>
      <w:r>
        <w:t>Early stopping is permitted after six epochs when three successive economic evaluations fail to improve the stopping anchor by more than US$50. This threshold governs stopping only: the highest eligible saving among all evaluated candidates determines deployment, including gains below US$50. The three WorldMoE histories select archive epochs 6, 2 and 0. All fitting and selection exclude 2025 outcomes. Experiments use Python 3.13, PyTorch 2.9 and an NVIDIA RTX 3080, with refinements run sequentially.</w:t>
      </w:r>
    </w:p>
    <w:p>
      <w:pPr>
        <w:pStyle w:val="Caption"/>
        <w:keepNext/>
        <w:widowControl/>
      </w:pPr>
      <w:r>
        <w:t>Supplementary Table 19. Original checkpoint SHA-256 digests and author display epochs. Table 27 gives exact archive identities; exported inference hashes are recorded separately in the release manifest.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1440"/>
        <w:gridCol w:w="792"/>
        <w:gridCol w:w="7848"/>
      </w:tblGrid>
      <w:tr>
        <w:trPr>
          <w:tblHeader/>
          <w:cantSplit/>
        </w:trPr>
        <w:tc>
          <w:tcPr>
            <w:tcW w:type="dxa" w:w="1440"/>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color w:val="000000"/>
                <w:sz w:val="18"/>
              </w:rPr>
              <w:t>Seed</w:t>
            </w:r>
          </w:p>
        </w:tc>
        <w:tc>
          <w:tcPr>
            <w:tcW w:type="dxa" w:w="792"/>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color w:val="000000"/>
                <w:sz w:val="18"/>
              </w:rPr>
              <w:t xml:space="preserve">Display epoch</w:t>
            </w:r>
          </w:p>
        </w:tc>
        <w:tc>
          <w:tcPr>
            <w:tcW w:type="dxa" w:w="7848"/>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color w:val="000000"/>
                <w:sz w:val="18"/>
              </w:rPr>
              <w:t>SHA-256</w:t>
            </w:r>
          </w:p>
        </w:tc>
      </w:tr>
      <w:tr>
        <w:trPr>
          <w:cantSplit/>
        </w:trPr>
        <w:tc>
          <w:tcPr>
            <w:tcW w:type="dxa" w:w="1440"/>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20260920</w:t>
            </w:r>
          </w:p>
        </w:tc>
        <w:tc>
          <w:tcPr>
            <w:tcW w:type="dxa" w:w="79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6</w:t>
            </w:r>
          </w:p>
        </w:tc>
        <w:tc>
          <w:tcPr>
            <w:tcW w:type="dxa" w:w="784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0cf04e11318184a2f064a1cf571cffe25cb3a78b77f2dc95bb30b01fceba14ab</w:t>
            </w:r>
          </w:p>
        </w:tc>
      </w:tr>
      <w:tr>
        <w:trPr>
          <w:cantSplit/>
        </w:trPr>
        <w:tc>
          <w:tcPr>
            <w:tcW w:type="dxa" w:w="1440"/>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20260921</w:t>
            </w:r>
          </w:p>
        </w:tc>
        <w:tc>
          <w:tcPr>
            <w:tcW w:type="dxa" w:w="79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2</w:t>
            </w:r>
          </w:p>
        </w:tc>
        <w:tc>
          <w:tcPr>
            <w:tcW w:type="dxa" w:w="784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2f281002e8ccafb859c197c7745c366e945e1b9ce8568e5ccd514ebdebf78448</w:t>
            </w:r>
          </w:p>
        </w:tc>
      </w:tr>
      <w:tr>
        <w:trPr>
          <w:cantSplit/>
        </w:trPr>
        <w:tc>
          <w:tcPr>
            <w:tcW w:type="dxa" w:w="1440"/>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20260922</w:t>
            </w:r>
          </w:p>
        </w:tc>
        <w:tc>
          <w:tcPr>
            <w:tcW w:type="dxa" w:w="79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2</w:t>
            </w:r>
          </w:p>
        </w:tc>
        <w:tc>
          <w:tcPr>
            <w:tcW w:type="dxa" w:w="784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e6e031bbd9757baee3fbaed4fbad587652fe84d0a27394ac05965f3a096f9e17</w:t>
            </w:r>
          </w:p>
        </w:tc>
      </w:tr>
    </w:tbl>
    <w:p>
      <w:pPr>
        <w:widowControl/>
      </w:pPr>
    </w:p>
    <w:p>
      <w:pPr>
        <w:widowControl/>
      </w:pPr>
      <w:r>
        <w:t>Release v1.4.1 provides the complete inference chain, fitted preprocessing, physical observers and executable service-accounting code at https://github.com/kalimustafa/executable-service-commitments-worldmoe/releases/tag/v1.4.1. A deterministic synthetic example loads every selected refinement and checks one constrained action. Annual replay and retraining additionally require the provider archives and full feature calendars. Version v1.3.0 remains unchanged. Table 20 reports cached scheduling runtime, measured after input preparation, model loading and tracing.</w:t>
      </w:r>
    </w:p>
    <w:p>
      <w:pPr>
        <w:widowControl/>
      </w:pPr>
      <w:r>
        <w:t>Scheduling runtime covers the annual action loop after data/model loading, feature preparation and TorchScript tracing; independent settlement and export follow afterward. Dividing by 35,040 gives amortized time per portfolio quarter-hour, including inactive intervals. The nominal 0.025 grid requires 228.14 s, or 6.51 ms per calendar step; 0.05 and 0.0125 grids require 308.34 and 320.16 s. These single cached-loop measurements exclude upstream inference and do not estimate a p95 latency or establish a general speed ordering.</w:t>
      </w:r>
    </w:p>
    <w:p>
      <w:pPr>
        <w:widowControl/>
      </w:pPr>
      <w:r>
        <w:t>Released source data retain all selected refinements, constrained cases, event sensitivities and daily differences underlying the reported figures and tables. No unfavorable seed, date or restriction is excluded from annual totals. Financial exclusions are influence diagnostics. MANIFEST.json records file hashes; source_data/current_provenance.json identifies checkpoint roles; figure builders identify input tables. Historical local paths are provenance identifiers rather than download links.</w:t>
      </w:r>
    </w:p>
    <w:p>
      <w:pPr>
        <w:pStyle w:val="Heading1"/>
        <w:keepNext/>
        <w:widowControl/>
      </w:pPr>
      <w:r>
        <w:t>Current-action grid convergence</w:t>
      </w:r>
    </w:p>
    <w:p>
      <w:pPr>
        <w:pStyle w:val="Caption"/>
        <w:keepNext/>
        <w:widowControl/>
      </w:pPr>
      <w:r>
        <w:t>Supplementary Table 20. Sensitivity to current-action grid resolution.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2045"/>
        <w:gridCol w:w="2045"/>
        <w:gridCol w:w="2045"/>
        <w:gridCol w:w="2045"/>
        <w:gridCol w:w="2045"/>
      </w:tblGrid>
      <w:tr>
        <w:trPr>
          <w:tblHeader/>
          <w:cantSplit/>
        </w:trPr>
        <w:tc>
          <w:tcPr>
            <w:tcW w:type="dxa" w:w="2045"/>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color w:val="000000"/>
                <w:sz w:val="18"/>
              </w:rPr>
              <w:t>Grid</w:t>
            </w:r>
          </w:p>
        </w:tc>
        <w:tc>
          <w:tcPr>
            <w:tcW w:type="dxa" w:w="2045"/>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8"/>
              </w:rPr>
              <w:t>Saving US$</w:t>
            </w:r>
          </w:p>
        </w:tc>
        <w:tc>
          <w:tcPr>
            <w:tcW w:type="dxa" w:w="2045"/>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8"/>
              </w:rPr>
              <w:t>Δ from finest US$</w:t>
            </w:r>
          </w:p>
        </w:tc>
        <w:tc>
          <w:tcPr>
            <w:tcW w:type="dxa" w:w="2045"/>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8"/>
              </w:rPr>
              <w:t>Runtime s</w:t>
            </w:r>
          </w:p>
        </w:tc>
        <w:tc>
          <w:tcPr>
            <w:tcW w:type="dxa" w:w="2045"/>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8"/>
              </w:rPr>
              <w:t>Late IT MWh</w:t>
            </w:r>
          </w:p>
        </w:tc>
      </w:tr>
      <w:tr>
        <w:trPr>
          <w:cantSplit/>
        </w:trPr>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8"/>
              </w:rPr>
              <w:t>0.05</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105,570.47</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-2.85</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308.34</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&lt;10⁻⁸</w:t>
            </w:r>
          </w:p>
        </w:tc>
      </w:tr>
      <w:tr>
        <w:trPr>
          <w:cantSplit/>
        </w:trPr>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8"/>
              </w:rPr>
              <w:t>0.025</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105,565.67</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-7.66</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228.14</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&lt;10⁻⁸</w:t>
            </w:r>
          </w:p>
        </w:tc>
      </w:tr>
      <w:tr>
        <w:trPr>
          <w:cantSplit/>
        </w:trPr>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8"/>
              </w:rPr>
              <w:t>0.0125</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105,573.32</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0.00</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320.16</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&lt;10⁻⁸</w:t>
            </w:r>
          </w:p>
        </w:tc>
      </w:tr>
    </w:tbl>
    <w:p>
      <w:pPr>
        <w:widowControl/>
      </w:pPr>
    </w:p>
    <w:p>
      <w:pPr>
        <w:pStyle w:val="Heading1"/>
        <w:keepNext/>
        <w:widowControl/>
      </w:pPr>
      <w:r>
        <w:rPr>
          <w:rFonts w:ascii="Times New Roman" w:hAnsi="Times New Roman"/>
          <w:color w:val="000000"/>
        </w:rPr>
        <w:t>Electrical parameter consistency and binding counts</w:t>
      </w:r>
    </w:p>
    <w:p>
      <w:pPr>
        <w:widowControl/>
      </w:pPr>
      <w:r>
        <w:t>At full service and zero PV, maximum site demand is 1.0929484367370605 × (1.639059066772461 + 0.23069976270198822) = 2.0435499897494154 MW. The nominal interconnection cap of 2.1502225399017334 MW provides 5.21996% headroom. The rounded display calculation gives 2.0383 MW and is not used to recompute results.</w:t>
      </w:r>
    </w:p>
    <w:p>
      <w:pPr>
        <w:widowControl/>
      </w:pPr>
      <w:r>
        <w:t>Supplementary Table 21. Nominal cap occupancy and constraint binding. Stress-case counts identify requests exceeding commitment-time admissible capacity by more than 10⁻⁹ work units after the selected guard rule; ranges span three request streams. Binding differs from a realized electrical violation.</w:t>
      </w:r>
    </w:p>
    <w:tbl>
      <w:tblPr>
        <w:tblW w:w="8660" w:type="dxa"/>
        <w:tblLayout w:type="fixed"/>
        <w:jc w:val="center"/>
        <w:tblCellMar>
          <w:top w:w="55" w:type="dxa"/>
          <w:bottom w:w="55" w:type="dxa"/>
          <w:left w:w="65" w:type="dxa"/>
          <w:right w:w="65"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400"/>
        <w:gridCol w:w="2600"/>
        <w:gridCol w:w="1830"/>
        <w:gridCol w:w="1830"/>
      </w:tblGrid>
      <w:tr>
        <w:trPr>
          <w:cantSplit/>
          <w:tblHeader/>
        </w:trPr>
        <w:tc>
          <w:tcPr>
            <w:tcW w:w="2400" w:type="dxa"/>
            <w:vAlign w:val="center"/>
            <w:shd w:val="clear" w:fill="E9EDF2"/>
          </w:tcPr>
          <w:p>
            <w:pPr>
              <w:keepNext w:val="0"/>
              <w:spacing w:before="0" w:after="20" w:line="240" w:lineRule="auto"/>
              <w:jc w:val="left"/>
            </w:pPr>
            <w:r>
              <w:rPr>
                <w:rFonts w:ascii="Times New Roman" w:hAnsi="Times New Roman"/>
                <w:color w:val="000000"/>
                <w:sz w:val="18"/>
                <w:b/>
              </w:rPr>
              <w:t xml:space="preserve">Execution</w:t>
            </w:r>
          </w:p>
        </w:tc>
        <w:tc>
          <w:tcPr>
            <w:tcW w:w="2600" w:type="dxa"/>
            <w:vAlign w:val="center"/>
            <w:shd w:val="clear" w:fill="E9EDF2"/>
          </w:tcPr>
          <w:p>
            <w:pPr>
              <w:keepNext w:val="0"/>
              <w:spacing w:before="0" w:after="20" w:line="240" w:lineRule="auto"/>
              <w:jc w:val="center"/>
            </w:pPr>
            <w:r>
              <w:rPr>
                <w:rFonts w:ascii="Times New Roman" w:hAnsi="Times New Roman"/>
                <w:color w:val="000000"/>
                <w:sz w:val="18"/>
                <w:b/>
              </w:rPr>
              <w:t xml:space="preserve">Condition</w:t>
            </w:r>
          </w:p>
        </w:tc>
        <w:tc>
          <w:tcPr>
            <w:tcW w:w="1830" w:type="dxa"/>
            <w:vAlign w:val="center"/>
            <w:shd w:val="clear" w:fill="E9EDF2"/>
          </w:tcPr>
          <w:p>
            <w:pPr>
              <w:keepNext w:val="0"/>
              <w:spacing w:before="0" w:after="20" w:line="240" w:lineRule="auto"/>
              <w:jc w:val="center"/>
            </w:pPr>
            <w:r>
              <w:rPr>
                <w:rFonts w:ascii="Times New Roman" w:hAnsi="Times New Roman"/>
                <w:color w:val="000000"/>
                <w:sz w:val="18"/>
                <w:b/>
              </w:rPr>
              <w:t xml:space="preserve">Minimum count</w:t>
            </w:r>
          </w:p>
        </w:tc>
        <w:tc>
          <w:tcPr>
            <w:tcW w:w="1830" w:type="dxa"/>
            <w:vAlign w:val="center"/>
            <w:shd w:val="clear" w:fill="E9EDF2"/>
          </w:tcPr>
          <w:p>
            <w:pPr>
              <w:keepNext w:val="0"/>
              <w:spacing w:before="0" w:after="20" w:line="240" w:lineRule="auto"/>
              <w:jc w:val="center"/>
            </w:pPr>
            <w:r>
              <w:rPr>
                <w:rFonts w:ascii="Times New Roman" w:hAnsi="Times New Roman"/>
                <w:color w:val="000000"/>
                <w:sz w:val="18"/>
                <w:b/>
              </w:rPr>
              <w:t xml:space="preserve">Maximum count</w:t>
            </w:r>
          </w:p>
        </w:tc>
      </w:tr>
      <w:tr>
        <w:trPr>
          <w:cantSplit/>
        </w:trPr>
        <w:tc>
          <w:tcPr>
            <w:tcW w:w="2400" w:type="dxa"/>
            <w:vAlign w:val="center"/>
            <w:shd w:fill="FFFFFF"/>
          </w:tcPr>
          <w:p>
            <w:pPr>
              <w:keepNext w:val="0"/>
              <w:spacing w:before="0" w:after="20" w:line="240" w:lineRule="auto"/>
              <w:jc w:val="left"/>
            </w:pPr>
            <w:r>
              <w:rPr>
                <w:rFonts w:ascii="Times New Roman" w:hAnsi="Times New Roman"/>
                <w:b w:val="0"/>
                <w:color w:val="000000"/>
                <w:sz w:val="18"/>
              </w:rPr>
              <w:t xml:space="preserve">Nominal</w:t>
            </w:r>
          </w:p>
        </w:tc>
        <w:tc>
          <w:tcPr>
            <w:tcW w:w="2600" w:type="dxa"/>
            <w:vAlign w:val="center"/>
            <w:shd w:fill="FFFFFF"/>
          </w:tcPr>
          <w:p>
            <w:pPr>
              <w:keepNext w:val="0"/>
              <w:spacing w:before="0" w:after="20" w:line="240" w:lineRule="auto"/>
              <w:jc w:val="center"/>
            </w:pPr>
            <w:r>
              <w:rPr>
                <w:rFonts w:ascii="Times New Roman" w:hAnsi="Times New Roman"/>
                <w:b w:val="0"/>
                <w:color w:val="000000"/>
                <w:sz w:val="18"/>
              </w:rPr>
              <w:t xml:space="preserve">20260920</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0</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0</w:t>
            </w:r>
          </w:p>
        </w:tc>
      </w:tr>
      <w:tr>
        <w:trPr>
          <w:cantSplit/>
        </w:trPr>
        <w:tc>
          <w:tcPr>
            <w:tcW w:w="2400" w:type="dxa"/>
            <w:vAlign w:val="center"/>
            <w:shd w:fill="FFFFFF"/>
          </w:tcPr>
          <w:p>
            <w:pPr>
              <w:keepNext w:val="0"/>
              <w:spacing w:before="0" w:after="20" w:line="240" w:lineRule="auto"/>
              <w:jc w:val="left"/>
            </w:pPr>
            <w:r>
              <w:rPr>
                <w:rFonts w:ascii="Times New Roman" w:hAnsi="Times New Roman"/>
                <w:b w:val="0"/>
                <w:color w:val="000000"/>
                <w:sz w:val="18"/>
              </w:rPr>
              <w:t xml:space="preserve">Nominal</w:t>
            </w:r>
          </w:p>
        </w:tc>
        <w:tc>
          <w:tcPr>
            <w:tcW w:w="2600" w:type="dxa"/>
            <w:vAlign w:val="center"/>
            <w:shd w:fill="FFFFFF"/>
          </w:tcPr>
          <w:p>
            <w:pPr>
              <w:keepNext w:val="0"/>
              <w:spacing w:before="0" w:after="20" w:line="240" w:lineRule="auto"/>
              <w:jc w:val="center"/>
            </w:pPr>
            <w:r>
              <w:rPr>
                <w:rFonts w:ascii="Times New Roman" w:hAnsi="Times New Roman"/>
                <w:b w:val="0"/>
                <w:color w:val="000000"/>
                <w:sz w:val="18"/>
              </w:rPr>
              <w:t xml:space="preserve">20260921</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0</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0</w:t>
            </w:r>
          </w:p>
        </w:tc>
      </w:tr>
      <w:tr>
        <w:trPr>
          <w:cantSplit/>
        </w:trPr>
        <w:tc>
          <w:tcPr>
            <w:tcW w:w="2400" w:type="dxa"/>
            <w:vAlign w:val="center"/>
            <w:shd w:fill="FFFFFF"/>
          </w:tcPr>
          <w:p>
            <w:pPr>
              <w:keepNext w:val="0"/>
              <w:spacing w:before="0" w:after="20" w:line="240" w:lineRule="auto"/>
              <w:jc w:val="left"/>
            </w:pPr>
            <w:r>
              <w:rPr>
                <w:rFonts w:ascii="Times New Roman" w:hAnsi="Times New Roman"/>
                <w:b w:val="0"/>
                <w:color w:val="000000"/>
                <w:sz w:val="18"/>
              </w:rPr>
              <w:t xml:space="preserve">Nominal</w:t>
            </w:r>
          </w:p>
        </w:tc>
        <w:tc>
          <w:tcPr>
            <w:tcW w:w="2600" w:type="dxa"/>
            <w:vAlign w:val="center"/>
            <w:shd w:fill="FFFFFF"/>
          </w:tcPr>
          <w:p>
            <w:pPr>
              <w:keepNext w:val="0"/>
              <w:spacing w:before="0" w:after="20" w:line="240" w:lineRule="auto"/>
              <w:jc w:val="center"/>
            </w:pPr>
            <w:r>
              <w:rPr>
                <w:rFonts w:ascii="Times New Roman" w:hAnsi="Times New Roman"/>
                <w:b w:val="0"/>
                <w:color w:val="000000"/>
                <w:sz w:val="18"/>
              </w:rPr>
              <w:t xml:space="preserve">20260922</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0</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0</w:t>
            </w:r>
          </w:p>
        </w:tc>
      </w:tr>
      <w:tr>
        <w:trPr>
          <w:cantSplit/>
        </w:trPr>
        <w:tc>
          <w:tcPr>
            <w:tcW w:w="2400" w:type="dxa"/>
            <w:vAlign w:val="center"/>
            <w:shd w:fill="FFFFFF"/>
          </w:tcPr>
          <w:p>
            <w:pPr>
              <w:keepNext w:val="0"/>
              <w:spacing w:before="0" w:after="20" w:line="240" w:lineRule="auto"/>
              <w:jc w:val="left"/>
            </w:pPr>
            <w:r>
              <w:rPr>
                <w:rFonts w:ascii="Times New Roman" w:hAnsi="Times New Roman"/>
                <w:b w:val="0"/>
                <w:color w:val="000000"/>
                <w:sz w:val="18"/>
              </w:rPr>
              <w:t xml:space="preserve">Projection</w:t>
            </w:r>
          </w:p>
        </w:tc>
        <w:tc>
          <w:tcPr>
            <w:tcW w:w="2600" w:type="dxa"/>
            <w:vAlign w:val="center"/>
            <w:shd w:fill="FFFFFF"/>
          </w:tcPr>
          <w:p>
            <w:pPr>
              <w:keepNext w:val="0"/>
              <w:spacing w:before="0" w:after="20" w:line="240" w:lineRule="auto"/>
              <w:jc w:val="center"/>
            </w:pPr>
            <w:r>
              <w:rPr>
                <w:rFonts w:ascii="Times New Roman" w:hAnsi="Times New Roman"/>
                <w:b w:val="0"/>
                <w:color w:val="000000"/>
                <w:sz w:val="18"/>
              </w:rPr>
              <w:t xml:space="preserve">cap75</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3153</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3188</w:t>
            </w:r>
          </w:p>
        </w:tc>
      </w:tr>
      <w:tr>
        <w:trPr>
          <w:cantSplit/>
        </w:trPr>
        <w:tc>
          <w:tcPr>
            <w:tcW w:w="2400" w:type="dxa"/>
            <w:vAlign w:val="center"/>
            <w:shd w:fill="FFFFFF"/>
          </w:tcPr>
          <w:p>
            <w:pPr>
              <w:keepNext w:val="0"/>
              <w:spacing w:before="0" w:after="20" w:line="240" w:lineRule="auto"/>
              <w:jc w:val="left"/>
            </w:pPr>
            <w:r>
              <w:rPr>
                <w:rFonts w:ascii="Times New Roman" w:hAnsi="Times New Roman"/>
                <w:b w:val="0"/>
                <w:color w:val="000000"/>
                <w:sz w:val="18"/>
              </w:rPr>
              <w:t xml:space="preserve">Guarded</w:t>
            </w:r>
          </w:p>
        </w:tc>
        <w:tc>
          <w:tcPr>
            <w:tcW w:w="2600" w:type="dxa"/>
            <w:vAlign w:val="center"/>
            <w:shd w:fill="FFFFFF"/>
          </w:tcPr>
          <w:p>
            <w:pPr>
              <w:keepNext w:val="0"/>
              <w:spacing w:before="0" w:after="20" w:line="240" w:lineRule="auto"/>
              <w:jc w:val="center"/>
            </w:pPr>
            <w:r>
              <w:rPr>
                <w:rFonts w:ascii="Times New Roman" w:hAnsi="Times New Roman"/>
                <w:b w:val="0"/>
                <w:color w:val="000000"/>
                <w:sz w:val="18"/>
              </w:rPr>
              <w:t xml:space="preserve">cap75</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2786</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2882</w:t>
            </w:r>
          </w:p>
        </w:tc>
      </w:tr>
      <w:tr>
        <w:trPr>
          <w:cantSplit/>
        </w:trPr>
        <w:tc>
          <w:tcPr>
            <w:tcW w:w="2400" w:type="dxa"/>
            <w:vAlign w:val="center"/>
            <w:shd w:fill="FFFFFF"/>
          </w:tcPr>
          <w:p>
            <w:pPr>
              <w:keepNext w:val="0"/>
              <w:spacing w:before="0" w:after="20" w:line="240" w:lineRule="auto"/>
              <w:jc w:val="left"/>
            </w:pPr>
            <w:r>
              <w:rPr>
                <w:rFonts w:ascii="Times New Roman" w:hAnsi="Times New Roman"/>
                <w:b w:val="0"/>
                <w:color w:val="000000"/>
                <w:sz w:val="18"/>
              </w:rPr>
              <w:t xml:space="preserve">Projection</w:t>
            </w:r>
          </w:p>
        </w:tc>
        <w:tc>
          <w:tcPr>
            <w:tcW w:w="2600" w:type="dxa"/>
            <w:vAlign w:val="center"/>
            <w:shd w:fill="FFFFFF"/>
          </w:tcPr>
          <w:p>
            <w:pPr>
              <w:keepNext w:val="0"/>
              <w:spacing w:before="0" w:after="20" w:line="240" w:lineRule="auto"/>
              <w:jc w:val="center"/>
            </w:pPr>
            <w:r>
              <w:rPr>
                <w:rFonts w:ascii="Times New Roman" w:hAnsi="Times New Roman"/>
                <w:b w:val="0"/>
                <w:color w:val="000000"/>
                <w:sz w:val="18"/>
              </w:rPr>
              <w:t xml:space="preserve">cap50</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6343</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6412</w:t>
            </w:r>
          </w:p>
        </w:tc>
      </w:tr>
      <w:tr>
        <w:trPr>
          <w:cantSplit/>
        </w:trPr>
        <w:tc>
          <w:tcPr>
            <w:tcW w:w="2400" w:type="dxa"/>
            <w:vAlign w:val="center"/>
            <w:shd w:fill="FFFFFF"/>
          </w:tcPr>
          <w:p>
            <w:pPr>
              <w:keepNext w:val="0"/>
              <w:spacing w:before="0" w:after="20" w:line="240" w:lineRule="auto"/>
              <w:jc w:val="left"/>
            </w:pPr>
            <w:r>
              <w:rPr>
                <w:rFonts w:ascii="Times New Roman" w:hAnsi="Times New Roman"/>
                <w:b w:val="0"/>
                <w:color w:val="000000"/>
                <w:sz w:val="18"/>
              </w:rPr>
              <w:t xml:space="preserve">Guarded</w:t>
            </w:r>
          </w:p>
        </w:tc>
        <w:tc>
          <w:tcPr>
            <w:tcW w:w="2600" w:type="dxa"/>
            <w:vAlign w:val="center"/>
            <w:shd w:fill="FFFFFF"/>
          </w:tcPr>
          <w:p>
            <w:pPr>
              <w:keepNext w:val="0"/>
              <w:spacing w:before="0" w:after="20" w:line="240" w:lineRule="auto"/>
              <w:jc w:val="center"/>
            </w:pPr>
            <w:r>
              <w:rPr>
                <w:rFonts w:ascii="Times New Roman" w:hAnsi="Times New Roman"/>
                <w:b w:val="0"/>
                <w:color w:val="000000"/>
                <w:sz w:val="18"/>
              </w:rPr>
              <w:t xml:space="preserve">cap50</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5109</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5359</w:t>
            </w:r>
          </w:p>
        </w:tc>
      </w:tr>
      <w:tr>
        <w:trPr>
          <w:cantSplit/>
        </w:trPr>
        <w:tc>
          <w:tcPr>
            <w:tcW w:w="2400" w:type="dxa"/>
            <w:vAlign w:val="center"/>
            <w:shd w:fill="FFFFFF"/>
          </w:tcPr>
          <w:p>
            <w:pPr>
              <w:keepNext w:val="0"/>
              <w:spacing w:before="0" w:after="20" w:line="240" w:lineRule="auto"/>
              <w:jc w:val="left"/>
            </w:pPr>
            <w:r>
              <w:rPr>
                <w:rFonts w:ascii="Times New Roman" w:hAnsi="Times New Roman"/>
                <w:b w:val="0"/>
                <w:color w:val="000000"/>
                <w:sz w:val="18"/>
              </w:rPr>
              <w:t xml:space="preserve">Projection</w:t>
            </w:r>
          </w:p>
        </w:tc>
        <w:tc>
          <w:tcPr>
            <w:tcW w:w="2600" w:type="dxa"/>
            <w:vAlign w:val="center"/>
            <w:shd w:fill="FFFFFF"/>
          </w:tcPr>
          <w:p>
            <w:pPr>
              <w:keepNext w:val="0"/>
              <w:spacing w:before="0" w:after="20" w:line="240" w:lineRule="auto"/>
              <w:jc w:val="center"/>
            </w:pPr>
            <w:r>
              <w:rPr>
                <w:rFonts w:ascii="Times New Roman" w:hAnsi="Times New Roman"/>
                <w:b w:val="0"/>
                <w:color w:val="000000"/>
                <w:sz w:val="18"/>
              </w:rPr>
              <w:t xml:space="preserve">ramp25</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19040</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19192</w:t>
            </w:r>
          </w:p>
        </w:tc>
      </w:tr>
      <w:tr>
        <w:trPr>
          <w:cantSplit/>
        </w:trPr>
        <w:tc>
          <w:tcPr>
            <w:tcW w:w="2400" w:type="dxa"/>
            <w:vAlign w:val="center"/>
            <w:shd w:fill="FFFFFF"/>
          </w:tcPr>
          <w:p>
            <w:pPr>
              <w:keepNext w:val="0"/>
              <w:spacing w:before="0" w:after="20" w:line="240" w:lineRule="auto"/>
              <w:jc w:val="left"/>
            </w:pPr>
            <w:r>
              <w:rPr>
                <w:rFonts w:ascii="Times New Roman" w:hAnsi="Times New Roman"/>
                <w:b w:val="0"/>
                <w:color w:val="000000"/>
                <w:sz w:val="18"/>
              </w:rPr>
              <w:t xml:space="preserve">Guarded</w:t>
            </w:r>
          </w:p>
        </w:tc>
        <w:tc>
          <w:tcPr>
            <w:tcW w:w="2600" w:type="dxa"/>
            <w:vAlign w:val="center"/>
            <w:shd w:fill="FFFFFF"/>
          </w:tcPr>
          <w:p>
            <w:pPr>
              <w:keepNext w:val="0"/>
              <w:spacing w:before="0" w:after="20" w:line="240" w:lineRule="auto"/>
              <w:jc w:val="center"/>
            </w:pPr>
            <w:r>
              <w:rPr>
                <w:rFonts w:ascii="Times New Roman" w:hAnsi="Times New Roman"/>
                <w:b w:val="0"/>
                <w:color w:val="000000"/>
                <w:sz w:val="18"/>
              </w:rPr>
              <w:t xml:space="preserve">ramp25</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16548</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16882</w:t>
            </w:r>
          </w:p>
        </w:tc>
      </w:tr>
      <w:tr>
        <w:trPr>
          <w:cantSplit/>
        </w:trPr>
        <w:tc>
          <w:tcPr>
            <w:tcW w:w="2400" w:type="dxa"/>
            <w:vAlign w:val="center"/>
            <w:shd w:fill="FFFFFF"/>
          </w:tcPr>
          <w:p>
            <w:pPr>
              <w:keepNext w:val="0"/>
              <w:spacing w:before="0" w:after="20" w:line="240" w:lineRule="auto"/>
              <w:jc w:val="left"/>
            </w:pPr>
            <w:r>
              <w:rPr>
                <w:rFonts w:ascii="Times New Roman" w:hAnsi="Times New Roman"/>
                <w:b w:val="0"/>
                <w:color w:val="000000"/>
                <w:sz w:val="18"/>
              </w:rPr>
              <w:t xml:space="preserve">Projection</w:t>
            </w:r>
          </w:p>
        </w:tc>
        <w:tc>
          <w:tcPr>
            <w:tcW w:w="2600" w:type="dxa"/>
            <w:vAlign w:val="center"/>
            <w:shd w:fill="FFFFFF"/>
          </w:tcPr>
          <w:p>
            <w:pPr>
              <w:keepNext w:val="0"/>
              <w:spacing w:before="0" w:after="20" w:line="240" w:lineRule="auto"/>
              <w:jc w:val="center"/>
            </w:pPr>
            <w:r>
              <w:rPr>
                <w:rFonts w:ascii="Times New Roman" w:hAnsi="Times New Roman"/>
                <w:b w:val="0"/>
                <w:color w:val="000000"/>
                <w:sz w:val="18"/>
              </w:rPr>
              <w:t xml:space="preserve">ramp125</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50097</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50215</w:t>
            </w:r>
          </w:p>
        </w:tc>
      </w:tr>
      <w:tr>
        <w:trPr>
          <w:cantSplit/>
        </w:trPr>
        <w:tc>
          <w:tcPr>
            <w:tcW w:w="2400" w:type="dxa"/>
            <w:vAlign w:val="center"/>
            <w:shd w:fill="FFFFFF"/>
          </w:tcPr>
          <w:p>
            <w:pPr>
              <w:keepNext w:val="0"/>
              <w:spacing w:before="0" w:after="20" w:line="240" w:lineRule="auto"/>
              <w:jc w:val="left"/>
            </w:pPr>
            <w:r>
              <w:rPr>
                <w:rFonts w:ascii="Times New Roman" w:hAnsi="Times New Roman"/>
                <w:b w:val="0"/>
                <w:color w:val="000000"/>
                <w:sz w:val="18"/>
              </w:rPr>
              <w:t xml:space="preserve">Guarded</w:t>
            </w:r>
          </w:p>
        </w:tc>
        <w:tc>
          <w:tcPr>
            <w:tcW w:w="2600" w:type="dxa"/>
            <w:vAlign w:val="center"/>
            <w:shd w:fill="FFFFFF"/>
          </w:tcPr>
          <w:p>
            <w:pPr>
              <w:keepNext w:val="0"/>
              <w:spacing w:before="0" w:after="20" w:line="240" w:lineRule="auto"/>
              <w:jc w:val="center"/>
            </w:pPr>
            <w:r>
              <w:rPr>
                <w:rFonts w:ascii="Times New Roman" w:hAnsi="Times New Roman"/>
                <w:b w:val="0"/>
                <w:color w:val="000000"/>
                <w:sz w:val="18"/>
              </w:rPr>
              <w:t xml:space="preserve">ramp125</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43151</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43300</w:t>
            </w:r>
          </w:p>
        </w:tc>
      </w:tr>
      <w:tr>
        <w:trPr>
          <w:cantSplit/>
        </w:trPr>
        <w:tc>
          <w:tcPr>
            <w:tcW w:w="2400" w:type="dxa"/>
            <w:vAlign w:val="center"/>
            <w:shd w:fill="FFFFFF"/>
          </w:tcPr>
          <w:p>
            <w:pPr>
              <w:keepNext w:val="0"/>
              <w:spacing w:before="0" w:after="20" w:line="240" w:lineRule="auto"/>
              <w:jc w:val="left"/>
            </w:pPr>
            <w:r>
              <w:rPr>
                <w:rFonts w:ascii="Times New Roman" w:hAnsi="Times New Roman"/>
                <w:b w:val="0"/>
                <w:color w:val="000000"/>
                <w:sz w:val="18"/>
              </w:rPr>
              <w:t xml:space="preserve">Projection</w:t>
            </w:r>
          </w:p>
        </w:tc>
        <w:tc>
          <w:tcPr>
            <w:tcW w:w="2600" w:type="dxa"/>
            <w:vAlign w:val="center"/>
            <w:shd w:fill="FFFFFF"/>
          </w:tcPr>
          <w:p>
            <w:pPr>
              <w:keepNext w:val="0"/>
              <w:spacing w:before="0" w:after="20" w:line="240" w:lineRule="auto"/>
              <w:jc w:val="center"/>
            </w:pPr>
            <w:r>
              <w:rPr>
                <w:rFonts w:ascii="Times New Roman" w:hAnsi="Times New Roman"/>
                <w:b w:val="0"/>
                <w:color w:val="000000"/>
                <w:sz w:val="18"/>
              </w:rPr>
              <w:t xml:space="preserve">cap75_ramp25</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19639</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19775</w:t>
            </w:r>
          </w:p>
        </w:tc>
      </w:tr>
      <w:tr>
        <w:trPr>
          <w:cantSplit/>
        </w:trPr>
        <w:tc>
          <w:tcPr>
            <w:tcW w:w="2400" w:type="dxa"/>
            <w:vAlign w:val="center"/>
            <w:shd w:fill="FFFFFF"/>
          </w:tcPr>
          <w:p>
            <w:pPr>
              <w:keepNext w:val="0"/>
              <w:spacing w:before="0" w:after="20" w:line="240" w:lineRule="auto"/>
              <w:jc w:val="left"/>
            </w:pPr>
            <w:r>
              <w:rPr>
                <w:rFonts w:ascii="Times New Roman" w:hAnsi="Times New Roman"/>
                <w:b w:val="0"/>
                <w:color w:val="000000"/>
                <w:sz w:val="18"/>
              </w:rPr>
              <w:t xml:space="preserve">Guarded</w:t>
            </w:r>
          </w:p>
        </w:tc>
        <w:tc>
          <w:tcPr>
            <w:tcW w:w="2600" w:type="dxa"/>
            <w:vAlign w:val="center"/>
            <w:shd w:fill="FFFFFF"/>
          </w:tcPr>
          <w:p>
            <w:pPr>
              <w:keepNext w:val="0"/>
              <w:spacing w:before="0" w:after="20" w:line="240" w:lineRule="auto"/>
              <w:jc w:val="center"/>
            </w:pPr>
            <w:r>
              <w:rPr>
                <w:rFonts w:ascii="Times New Roman" w:hAnsi="Times New Roman"/>
                <w:b w:val="0"/>
                <w:color w:val="000000"/>
                <w:sz w:val="18"/>
              </w:rPr>
              <w:t xml:space="preserve">cap75_ramp25</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16953</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17275</w:t>
            </w:r>
          </w:p>
        </w:tc>
      </w:tr>
    </w:tbl>
    <w:p>
      <w:pPr>
        <w:pStyle w:val="Heading1"/>
        <w:keepNext/>
        <w:widowControl/>
      </w:pPr>
      <w:r>
        <w:t>Price archive vintages and historical availability</w:t>
      </w:r>
    </w:p>
    <w:p>
      <w:pPr>
        <w:widowControl/>
      </w:pPr>
      <w:r>
        <w:t>NYISO forecasts and settlement use gate_hourly_2025_with_context.parquet and its matching forcing manifest. The retained DA retrieval batch is dated 9 August 2026 UTC; the RT archive-loading batch is dated 17 September 2026 UTC and may reuse cached monthly ZIPs. URLs and hashes identify retained files, not their first-release availability. The source_vintage label is an archive description, not a file-by-file revision audit. The evidence establishes neither that all prices were revised nor that none were.</w:t>
      </w:r>
    </w:p>
    <w:p>
      <w:pPr>
        <w:widowControl/>
      </w:pPr>
      <w:r>
        <w:t>ISO-NE settlement and lagged RT/spread features use rt_lmp_final_usd_mwh from the final hourly archive. This product can differ from preliminary prices and can be republished. The retained report for 1 January 2025 states “Report generated: 01/02/2025 14:26:45 EST”, later than the 2 January 04:55 gate and the 12:27:14.240 EST DA notice for 3 January delivery. This timestamp does not establish availability of that retained report at those gates, although it does not prove that an earlier numerical value differed.</w:t>
      </w:r>
    </w:p>
    <w:p>
      <w:pPr>
        <w:widowControl/>
      </w:pPr>
      <w:r>
        <w:t>Completed intervals, forecast issue times and DA-completion notices identify operational timing; historical price-file versions identify publication provenance. Final prices are the ex-post settlement reference. Table 22 distinguishes the evidence for each input, including modeled physical observations and priors.</w:t>
      </w:r>
    </w:p>
    <w:p>
      <w:pPr>
        <w:widowControl/>
      </w:pPr>
      <w:r>
        <w:t>Market features use same-local-hour lags of 2, 3, 7, 14 and 28 days, shifted rolling summaries, a pre-DA cutoff and the published target-day DA anchor. The two-day minimum is nominally 48 h relative to the target hour, not a guaranteed 48 h buffer before the decision gate; daylight-saving changes also affect elapsed time. NYISO uses preceding-day 04:55 and 11:00 gates, while ISO-NE uses its actual DA-completion notice. Physical observations are at least one quarter-hour old. This is chronological replay with out-of-sample parameter independence; first-release price vintages are not fully reconstructed.</w:t>
      </w:r>
    </w:p>
    <w:p>
      <w:pPr>
        <w:widowControl/>
      </w:pPr>
      <w:r>
        <w:t>The declared information chronology admits released work, outstanding service, forecasts whose issue gates have passed and physical observations through t−1. Under the robust commitment-time rule, registered physical bounds and the previous completed import determine capacity before current PV/PUE is revealed. Realised interval-average forcing then closes the physical and settlement ledger. The public historical stress projector uses current realised forcing instead; Section S23 separates that implementation from the declared rule. No subinterval sensor record is assumed.</w:t>
      </w:r>
    </w:p>
    <w:p>
      <w:pPr>
        <w:pStyle w:val="Heading1"/>
        <w:keepNext/>
        <w:widowControl/>
        <w:spacing w:before="280"/>
      </w:pPr>
      <w:r>
        <w:t xml:space="preserve">Registered information and execution chronology</w:t>
      </w:r>
    </w:p>
    <w:p>
      <w:pPr>
        <w:widowControl/>
        <w:spacing w:after="120"/>
      </w:pPr>
      <w:r>
        <w:t>The information audit contains 77,742 feature/date or physical-decision records. Unknown historical publication timestamps remain unfilled. The 35,040 quarter-hours cover all 365 local dates, including 92 intervals on 9 March and 100 on 2 November. Physical priors are present for 362 dates; missing context on 27–28 May and 12 November uses the predefined fallback without dropping execution dates.</w:t>
      </w:r>
    </w:p>
    <w:p>
      <w:pPr>
        <w:pStyle w:val="Caption"/>
        <w:keepNext/>
        <w:widowControl/>
      </w:pPr>
      <w:r>
        <w:t>Supplementary Table 22. Input-specific information gates and historical-version evidence.</w:t>
      </w:r>
    </w:p>
    <w:tbl>
      <w:tblPr>
        <w:tblW w:w="8660" w:type="dxa"/>
        <w:tblLayout w:type="fixed"/>
        <w:jc w:val="center"/>
        <w:tblCellMar>
          <w:top w:w="55" w:type="dxa"/>
          <w:bottom w:w="55" w:type="dxa"/>
          <w:left w:w="65" w:type="dxa"/>
          <w:right w:w="65"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000"/>
        <w:gridCol w:w="2100"/>
        <w:gridCol w:w="2450"/>
        <w:gridCol w:w="2110"/>
      </w:tblGrid>
      <w:tr>
        <w:trPr>
          <w:cantSplit/>
          <w:tblHeader/>
        </w:trPr>
        <w:tc>
          <w:tcPr>
            <w:tcW w:w="2000" w:type="dxa"/>
            <w:vAlign w:val="center"/>
            <w:shd w:val="clear" w:fill="E9EDF2"/>
          </w:tcPr>
          <w:p>
            <w:pPr>
              <w:keepNext w:val="0"/>
              <w:spacing w:before="0" w:after="20" w:line="240" w:lineRule="auto"/>
              <w:jc w:val="left"/>
            </w:pPr>
            <w:r>
              <w:rPr>
                <w:rFonts w:ascii="Times New Roman" w:hAnsi="Times New Roman"/>
                <w:color w:val="000000"/>
                <w:sz w:val="18"/>
                <w:b/>
              </w:rPr>
              <w:t xml:space="preserve">Input</w:t>
            </w:r>
          </w:p>
        </w:tc>
        <w:tc>
          <w:tcPr>
            <w:tcW w:w="2100" w:type="dxa"/>
            <w:vAlign w:val="center"/>
            <w:shd w:val="clear" w:fill="E9EDF2"/>
          </w:tcPr>
          <w:p>
            <w:pPr>
              <w:keepNext w:val="0"/>
              <w:spacing w:before="0" w:after="20" w:line="240" w:lineRule="auto"/>
              <w:jc w:val="center"/>
            </w:pPr>
            <w:r>
              <w:rPr>
                <w:rFonts w:ascii="Times New Roman" w:hAnsi="Times New Roman"/>
                <w:color w:val="000000"/>
                <w:sz w:val="18"/>
                <w:b/>
              </w:rPr>
              <w:t xml:space="preserve">Operational gate</w:t>
            </w:r>
          </w:p>
        </w:tc>
        <w:tc>
          <w:tcPr>
            <w:tcW w:w="2450" w:type="dxa"/>
            <w:vAlign w:val="center"/>
            <w:shd w:val="clear" w:fill="E9EDF2"/>
          </w:tcPr>
          <w:p>
            <w:pPr>
              <w:keepNext w:val="0"/>
              <w:spacing w:before="0" w:after="20" w:line="240" w:lineRule="auto"/>
              <w:jc w:val="center"/>
            </w:pPr>
            <w:r>
              <w:rPr>
                <w:rFonts w:ascii="Times New Roman" w:hAnsi="Times New Roman"/>
                <w:color w:val="000000"/>
                <w:sz w:val="18"/>
                <w:b/>
              </w:rPr>
              <w:t xml:space="preserve">Retained evidence</w:t>
            </w:r>
          </w:p>
        </w:tc>
        <w:tc>
          <w:tcPr>
            <w:tcW w:w="2110" w:type="dxa"/>
            <w:vAlign w:val="center"/>
            <w:shd w:val="clear" w:fill="E9EDF2"/>
          </w:tcPr>
          <w:p>
            <w:pPr>
              <w:keepNext w:val="0"/>
              <w:spacing w:before="0" w:after="20" w:line="240" w:lineRule="auto"/>
              <w:jc w:val="center"/>
            </w:pPr>
            <w:r>
              <w:rPr>
                <w:rFonts w:ascii="Times New Roman" w:hAnsi="Times New Roman"/>
                <w:b/>
                <w:color w:val="000000"/>
                <w:sz w:val="18"/>
              </w:rPr>
              <w:t>Historical availability</w:t>
            </w:r>
          </w:p>
        </w:tc>
      </w:tr>
      <w:tr>
        <w:trPr>
          <w:cantSplit/>
        </w:trPr>
        <w:tc>
          <w:tcPr>
            <w:tcW w:w="2000" w:type="dxa"/>
            <w:vAlign w:val="center"/>
            <w:shd w:fill="FFFFFF"/>
          </w:tcPr>
          <w:p>
            <w:pPr>
              <w:keepNext w:val="0"/>
              <w:spacing w:before="0" w:after="20" w:line="240" w:lineRule="auto"/>
              <w:jc w:val="left"/>
            </w:pPr>
            <w:r>
              <w:rPr>
                <w:rFonts w:ascii="Times New Roman" w:hAnsi="Times New Roman"/>
                <w:b w:val="0"/>
                <w:color w:val="000000"/>
                <w:sz w:val="18"/>
              </w:rPr>
              <w:t xml:space="preserve">NYISO historical market features</w:t>
            </w:r>
          </w:p>
        </w:tc>
        <w:tc>
          <w:tcPr>
            <w:tcW w:w="2100" w:type="dxa"/>
            <w:vAlign w:val="center"/>
            <w:shd w:fill="FFFFFF"/>
          </w:tcPr>
          <w:p>
            <w:pPr>
              <w:keepNext w:val="0"/>
              <w:spacing w:before="0" w:after="20" w:line="240" w:lineRule="auto"/>
              <w:jc w:val="left"/>
            </w:pPr>
            <w:r>
              <w:rPr>
                <w:rFonts w:ascii="Times New Roman" w:hAnsi="Times New Roman"/>
                <w:b w:val="0"/>
                <w:color w:val="000000"/>
                <w:sz w:val="18"/>
              </w:rPr>
              <w:t xml:space="preserve">04:55 preceding local day; completed-interval cutoff</w:t>
            </w:r>
          </w:p>
        </w:tc>
        <w:tc>
          <w:tcPr>
            <w:tcW w:w="2450" w:type="dxa"/>
            <w:vAlign w:val="center"/>
            <w:shd w:fill="FFFFFF"/>
          </w:tcPr>
          <w:p>
            <w:pPr>
              <w:keepNext w:val="0"/>
              <w:spacing w:before="0" w:after="20" w:line="240" w:lineRule="auto"/>
              <w:jc w:val="center"/>
            </w:pPr>
            <w:r>
              <w:rPr>
                <w:rFonts w:ascii="Times New Roman" w:hAnsi="Times New Roman"/>
                <w:b w:val="0"/>
                <w:color w:val="000000"/>
                <w:sz w:val="18"/>
              </w:rPr>
              <w:t xml:space="preserve">2/3/7/14/28-day lags and shifted summaries</w:t>
            </w:r>
          </w:p>
        </w:tc>
        <w:tc>
          <w:tcPr>
            <w:tcW w:w="2110" w:type="dxa"/>
            <w:vAlign w:val="center"/>
            <w:shd w:fill="FFFFFF"/>
          </w:tcPr>
          <w:p>
            <w:pPr>
              <w:keepNext w:val="0"/>
              <w:spacing w:before="0" w:after="20" w:line="240" w:lineRule="auto"/>
              <w:jc w:val="left"/>
            </w:pPr>
            <w:r>
              <w:rPr>
                <w:rFonts w:ascii="Times New Roman" w:hAnsi="Times New Roman"/>
                <w:b w:val="0"/>
                <w:color w:val="000000"/>
                <w:sz w:val="18"/>
              </w:rPr>
              <w:t xml:space="preserve">Timing rule retained; original price versions unresolved</w:t>
            </w:r>
          </w:p>
        </w:tc>
      </w:tr>
      <w:tr>
        <w:trPr>
          <w:cantSplit/>
        </w:trPr>
        <w:tc>
          <w:tcPr>
            <w:tcW w:w="2000" w:type="dxa"/>
            <w:vAlign w:val="center"/>
            <w:shd w:fill="FFFFFF"/>
          </w:tcPr>
          <w:p>
            <w:pPr>
              <w:keepNext w:val="0"/>
              <w:spacing w:before="0" w:after="20" w:line="240" w:lineRule="auto"/>
              <w:jc w:val="left"/>
            </w:pPr>
            <w:r>
              <w:rPr>
                <w:rFonts w:ascii="Times New Roman" w:hAnsi="Times New Roman"/>
                <w:b w:val="0"/>
                <w:color w:val="000000"/>
                <w:sz w:val="18"/>
              </w:rPr>
              <w:t xml:space="preserve">NYISO target DA prices</w:t>
            </w:r>
          </w:p>
        </w:tc>
        <w:tc>
          <w:tcPr>
            <w:tcW w:w="2100" w:type="dxa"/>
            <w:vAlign w:val="center"/>
            <w:shd w:fill="FFFFFF"/>
          </w:tcPr>
          <w:p>
            <w:pPr>
              <w:keepNext w:val="0"/>
              <w:spacing w:before="0" w:after="20" w:line="240" w:lineRule="auto"/>
              <w:jc w:val="center"/>
            </w:pPr>
            <w:r>
              <w:rPr>
                <w:rFonts w:ascii="Times New Roman" w:hAnsi="Times New Roman"/>
                <w:b w:val="0"/>
                <w:color w:val="000000"/>
                <w:sz w:val="18"/>
              </w:rPr>
              <w:t xml:space="preserve">Nominal preceding-day 11:00 local</w:t>
            </w:r>
          </w:p>
        </w:tc>
        <w:tc>
          <w:tcPr>
            <w:tcW w:w="2450" w:type="dxa"/>
            <w:vAlign w:val="center"/>
            <w:shd w:fill="FFFFFF"/>
          </w:tcPr>
          <w:p>
            <w:pPr>
              <w:keepNext w:val="0"/>
              <w:spacing w:before="0" w:after="20" w:line="240" w:lineRule="auto"/>
              <w:jc w:val="center"/>
            </w:pPr>
            <w:r>
              <w:rPr>
                <w:rFonts w:ascii="Times New Roman" w:hAnsi="Times New Roman"/>
                <w:b w:val="0"/>
                <w:color w:val="000000"/>
                <w:sz w:val="18"/>
              </w:rPr>
              <w:t xml:space="preserve">Archived target-day DA panel</w:t>
            </w:r>
          </w:p>
        </w:tc>
        <w:tc>
          <w:tcPr>
            <w:tcW w:w="2110" w:type="dxa"/>
            <w:vAlign w:val="center"/>
            <w:shd w:fill="FFFFFF"/>
          </w:tcPr>
          <w:p>
            <w:pPr>
              <w:keepNext w:val="0"/>
              <w:spacing w:before="0" w:after="20" w:line="240" w:lineRule="auto"/>
              <w:jc w:val="left"/>
            </w:pPr>
            <w:r>
              <w:rPr>
                <w:rFonts w:ascii="Times New Roman" w:hAnsi="Times New Roman"/>
                <w:b w:val="0"/>
                <w:color w:val="000000"/>
                <w:sz w:val="18"/>
              </w:rPr>
              <w:t xml:space="preserve">Daily actual release and first-release version unresolved</w:t>
            </w:r>
          </w:p>
        </w:tc>
      </w:tr>
      <w:tr>
        <w:trPr>
          <w:cantSplit/>
        </w:trPr>
        <w:tc>
          <w:tcPr>
            <w:tcW w:w="2000" w:type="dxa"/>
            <w:vAlign w:val="center"/>
            <w:shd w:fill="FFFFFF"/>
          </w:tcPr>
          <w:p>
            <w:pPr>
              <w:keepNext w:val="0"/>
              <w:spacing w:before="0" w:after="20" w:line="240" w:lineRule="auto"/>
              <w:jc w:val="left"/>
            </w:pPr>
            <w:r>
              <w:rPr>
                <w:rFonts w:ascii="Times New Roman" w:hAnsi="Times New Roman"/>
                <w:b w:val="0"/>
                <w:color w:val="000000"/>
                <w:sz w:val="18"/>
              </w:rPr>
              <w:t xml:space="preserve">ISO-NE target DA prices</w:t>
            </w:r>
          </w:p>
        </w:tc>
        <w:tc>
          <w:tcPr>
            <w:tcW w:w="2100" w:type="dxa"/>
            <w:vAlign w:val="center"/>
            <w:shd w:fill="FFFFFF"/>
          </w:tcPr>
          <w:p>
            <w:pPr>
              <w:keepNext w:val="0"/>
              <w:spacing w:before="0" w:after="20" w:line="240" w:lineRule="auto"/>
              <w:jc w:val="center"/>
            </w:pPr>
            <w:r>
              <w:rPr>
                <w:rFonts w:ascii="Times New Roman" w:hAnsi="Times New Roman"/>
                <w:b w:val="0"/>
                <w:color w:val="000000"/>
                <w:sz w:val="18"/>
              </w:rPr>
              <w:t xml:space="preserve">Actual DA-completion notice</w:t>
            </w:r>
          </w:p>
        </w:tc>
        <w:tc>
          <w:tcPr>
            <w:tcW w:w="2450" w:type="dxa"/>
            <w:vAlign w:val="center"/>
            <w:shd w:fill="FFFFFF"/>
          </w:tcPr>
          <w:p>
            <w:pPr>
              <w:keepNext w:val="0"/>
              <w:spacing w:before="0" w:after="20" w:line="240" w:lineRule="auto"/>
              <w:jc w:val="center"/>
            </w:pPr>
            <w:r>
              <w:rPr>
                <w:rFonts w:ascii="Times New Roman" w:hAnsi="Times New Roman"/>
                <w:b w:val="0"/>
                <w:color w:val="000000"/>
                <w:sz w:val="18"/>
              </w:rPr>
              <w:t xml:space="preserve">365 dated official notices used by runtime</w:t>
            </w:r>
          </w:p>
        </w:tc>
        <w:tc>
          <w:tcPr>
            <w:tcW w:w="2110" w:type="dxa"/>
            <w:vAlign w:val="center"/>
            <w:shd w:fill="FFFFFF"/>
          </w:tcPr>
          <w:p>
            <w:pPr>
              <w:keepNext w:val="0"/>
              <w:spacing w:before="0" w:after="20" w:line="240" w:lineRule="auto"/>
              <w:jc w:val="left"/>
            </w:pPr>
            <w:r>
              <w:rPr>
                <w:rFonts w:ascii="Times New Roman" w:hAnsi="Times New Roman"/>
                <w:b w:val="0"/>
                <w:color w:val="000000"/>
                <w:sz w:val="18"/>
              </w:rPr>
              <w:t xml:space="preserve">Release-time gate supported; file version separate</w:t>
            </w:r>
          </w:p>
        </w:tc>
      </w:tr>
      <w:tr>
        <w:trPr>
          <w:cantSplit/>
        </w:trPr>
        <w:tc>
          <w:tcPr>
            <w:tcW w:w="2000" w:type="dxa"/>
            <w:vAlign w:val="center"/>
            <w:shd w:fill="FFFFFF"/>
          </w:tcPr>
          <w:p>
            <w:pPr>
              <w:keepNext w:val="0"/>
              <w:spacing w:before="0" w:after="20" w:line="240" w:lineRule="auto"/>
              <w:jc w:val="left"/>
            </w:pPr>
            <w:r>
              <w:rPr>
                <w:rFonts w:ascii="Times New Roman" w:hAnsi="Times New Roman"/>
                <w:b w:val="0"/>
                <w:color w:val="000000"/>
                <w:sz w:val="18"/>
              </w:rPr>
              <w:t xml:space="preserve">ISO-NE historical RT</w:t>
            </w:r>
          </w:p>
        </w:tc>
        <w:tc>
          <w:tcPr>
            <w:tcW w:w="2100" w:type="dxa"/>
            <w:vAlign w:val="center"/>
            <w:shd w:fill="FFFFFF"/>
          </w:tcPr>
          <w:p>
            <w:pPr>
              <w:keepNext w:val="0"/>
              <w:spacing w:before="0" w:after="20" w:line="240" w:lineRule="auto"/>
              <w:jc w:val="center"/>
            </w:pPr>
            <w:r>
              <w:rPr>
                <w:rFonts w:ascii="Times New Roman" w:hAnsi="Times New Roman"/>
                <w:b w:val="0"/>
                <w:color w:val="000000"/>
                <w:sz w:val="18"/>
              </w:rPr>
              <w:t xml:space="preserve">Completed-interval cutoff</w:t>
            </w:r>
          </w:p>
        </w:tc>
        <w:tc>
          <w:tcPr>
            <w:tcW w:w="2450" w:type="dxa"/>
            <w:vAlign w:val="center"/>
            <w:shd w:fill="FFFFFF"/>
          </w:tcPr>
          <w:p>
            <w:pPr>
              <w:keepNext w:val="0"/>
              <w:spacing w:before="0" w:after="20" w:line="240" w:lineRule="auto"/>
              <w:jc w:val="center"/>
            </w:pPr>
            <w:r>
              <w:rPr>
                <w:rFonts w:ascii="Times New Roman" w:hAnsi="Times New Roman"/>
                <w:b w:val="0"/>
                <w:color w:val="000000"/>
                <w:sz w:val="18"/>
              </w:rPr>
              <w:t xml:space="preserve">Features derived from final RT archive</w:t>
            </w:r>
          </w:p>
        </w:tc>
        <w:tc>
          <w:tcPr>
            <w:tcW w:w="2110" w:type="dxa"/>
            <w:vAlign w:val="center"/>
            <w:shd w:fill="FFFFFF"/>
          </w:tcPr>
          <w:p>
            <w:pPr>
              <w:keepNext w:val="0"/>
              <w:spacing w:before="0" w:after="20" w:line="240" w:lineRule="auto"/>
              <w:jc w:val="left"/>
            </w:pPr>
            <w:r>
              <w:rPr>
                <w:rFonts w:ascii="Times New Roman" w:hAnsi="Times New Roman"/>
                <w:b w:val="0"/>
                <w:color w:val="000000"/>
                <w:sz w:val="18"/>
              </w:rPr>
              <w:t xml:space="preserve">Retrospective final values, not proven original availability</w:t>
            </w:r>
          </w:p>
        </w:tc>
      </w:tr>
      <w:tr>
        <w:trPr>
          <w:cantSplit/>
        </w:trPr>
        <w:tc>
          <w:tcPr>
            <w:tcW w:w="2000" w:type="dxa"/>
            <w:vAlign w:val="center"/>
            <w:shd w:fill="FFFFFF"/>
          </w:tcPr>
          <w:p>
            <w:pPr>
              <w:keepNext w:val="0"/>
              <w:spacing w:before="0" w:after="20" w:line="240" w:lineRule="auto"/>
              <w:jc w:val="left"/>
            </w:pPr>
            <w:r>
              <w:rPr>
                <w:rFonts w:ascii="Times New Roman" w:hAnsi="Times New Roman"/>
                <w:b w:val="0"/>
                <w:color w:val="000000"/>
                <w:sz w:val="18"/>
              </w:rPr>
              <w:t xml:space="preserve">Issued PV/PUE priors</w:t>
            </w:r>
          </w:p>
        </w:tc>
        <w:tc>
          <w:tcPr>
            <w:tcW w:w="2100" w:type="dxa"/>
            <w:vAlign w:val="center"/>
            <w:shd w:fill="FFFFFF"/>
          </w:tcPr>
          <w:p>
            <w:pPr>
              <w:keepNext w:val="0"/>
              <w:spacing w:before="0" w:after="20" w:line="240" w:lineRule="auto"/>
              <w:jc w:val="center"/>
            </w:pPr>
            <w:r>
              <w:rPr>
                <w:rFonts w:ascii="Times New Roman" w:hAnsi="Times New Roman"/>
                <w:b w:val="0"/>
                <w:color w:val="000000"/>
                <w:sz w:val="18"/>
              </w:rPr>
              <w:t xml:space="preserve">Registered issue mask</w:t>
            </w:r>
          </w:p>
        </w:tc>
        <w:tc>
          <w:tcPr>
            <w:tcW w:w="2450" w:type="dxa"/>
            <w:vAlign w:val="center"/>
            <w:shd w:fill="FFFFFF"/>
          </w:tcPr>
          <w:p>
            <w:pPr>
              <w:keepNext w:val="0"/>
              <w:spacing w:before="0" w:after="20" w:line="240" w:lineRule="auto"/>
              <w:jc w:val="center"/>
            </w:pPr>
            <w:r>
              <w:rPr>
                <w:rFonts w:ascii="Times New Roman" w:hAnsi="Times New Roman"/>
                <w:b w:val="0"/>
                <w:color w:val="000000"/>
                <w:sz w:val="18"/>
              </w:rPr>
              <w:t>Fixed pre-2025 same-weekday templates</w:t>
            </w:r>
          </w:p>
        </w:tc>
        <w:tc>
          <w:tcPr>
            <w:tcW w:w="2110" w:type="dxa"/>
            <w:vAlign w:val="center"/>
            <w:shd w:fill="FFFFFF"/>
          </w:tcPr>
          <w:p>
            <w:pPr>
              <w:keepNext w:val="0"/>
              <w:spacing w:before="0" w:after="20" w:line="240" w:lineRule="auto"/>
              <w:jc w:val="left"/>
            </w:pPr>
            <w:r>
              <w:rPr>
                <w:rFonts w:ascii="Times New Roman" w:hAnsi="Times New Roman"/>
                <w:b w:val="0"/>
                <w:color w:val="000000"/>
                <w:sz w:val="18"/>
              </w:rPr>
              <w:t xml:space="preserve">Modeled priors, not contemporary forecast archives</w:t>
            </w:r>
          </w:p>
        </w:tc>
      </w:tr>
      <w:tr>
        <w:trPr>
          <w:cantSplit/>
        </w:trPr>
        <w:tc>
          <w:tcPr>
            <w:tcW w:w="2000" w:type="dxa"/>
            <w:vAlign w:val="center"/>
            <w:shd w:fill="FFFFFF"/>
          </w:tcPr>
          <w:p>
            <w:pPr>
              <w:keepNext w:val="0"/>
              <w:spacing w:before="0" w:after="20" w:line="240" w:lineRule="auto"/>
              <w:jc w:val="left"/>
            </w:pPr>
            <w:r>
              <w:rPr>
                <w:rFonts w:ascii="Times New Roman" w:hAnsi="Times New Roman"/>
                <w:b w:val="0"/>
                <w:color w:val="000000"/>
                <w:sz w:val="18"/>
              </w:rPr>
              <w:t xml:space="preserve">Completed PV/PUE observations</w:t>
            </w:r>
          </w:p>
        </w:tc>
        <w:tc>
          <w:tcPr>
            <w:tcW w:w="2100" w:type="dxa"/>
            <w:vAlign w:val="center"/>
            <w:shd w:fill="FFFFFF"/>
          </w:tcPr>
          <w:p>
            <w:pPr>
              <w:keepNext w:val="0"/>
              <w:spacing w:before="0" w:after="20" w:line="240" w:lineRule="auto"/>
              <w:jc w:val="center"/>
            </w:pPr>
            <w:r>
              <w:rPr>
                <w:rFonts w:ascii="Times New Roman" w:hAnsi="Times New Roman"/>
                <w:b w:val="0"/>
                <w:color w:val="000000"/>
                <w:sz w:val="18"/>
              </w:rPr>
              <w:t xml:space="preserve">Previous completed quarter-hour</w:t>
            </w:r>
          </w:p>
        </w:tc>
        <w:tc>
          <w:tcPr>
            <w:tcW w:w="2450" w:type="dxa"/>
            <w:vAlign w:val="center"/>
            <w:shd w:fill="FFFFFF"/>
          </w:tcPr>
          <w:p>
            <w:pPr>
              <w:keepNext w:val="0"/>
              <w:spacing w:before="0" w:after="20" w:line="240" w:lineRule="auto"/>
              <w:jc w:val="left"/>
            </w:pPr>
            <w:r>
              <w:rPr>
                <w:rFonts w:ascii="Times New Roman" w:hAnsi="Times New Roman"/>
                <w:b w:val="0"/>
                <w:color w:val="000000"/>
                <w:sz w:val="18"/>
              </w:rPr>
              <w:t>NASA-reconstructed PV and fixed physical model</w:t>
            </w:r>
          </w:p>
        </w:tc>
        <w:tc>
          <w:tcPr>
            <w:tcW w:w="2110" w:type="dxa"/>
            <w:vAlign w:val="center"/>
            <w:shd w:fill="FFFFFF"/>
          </w:tcPr>
          <w:p>
            <w:pPr>
              <w:keepNext w:val="0"/>
              <w:spacing w:before="0" w:after="20" w:line="240" w:lineRule="auto"/>
              <w:jc w:val="center"/>
            </w:pPr>
            <w:r>
              <w:rPr>
                <w:rFonts w:ascii="Times New Roman" w:hAnsi="Times New Roman"/>
                <w:b w:val="0"/>
                <w:color w:val="000000"/>
                <w:sz w:val="18"/>
              </w:rPr>
              <w:t xml:space="preserve">Modeled observation proxy</w:t>
            </w:r>
          </w:p>
        </w:tc>
      </w:tr>
      <w:tr>
        <w:trPr>
          <w:cantSplit/>
        </w:trPr>
        <w:tc>
          <w:tcPr>
            <w:tcW w:w="2000" w:type="dxa"/>
            <w:vAlign w:val="center"/>
            <w:shd w:fill="FFFFFF"/>
          </w:tcPr>
          <w:p>
            <w:pPr>
              <w:keepNext w:val="0"/>
              <w:spacing w:before="0" w:after="20" w:line="240" w:lineRule="auto"/>
              <w:jc w:val="left"/>
            </w:pPr>
            <w:r>
              <w:rPr>
                <w:rFonts w:ascii="Times New Roman" w:hAnsi="Times New Roman"/>
                <w:b w:val="0"/>
                <w:color w:val="000000"/>
                <w:sz w:val="18"/>
              </w:rPr>
              <w:t xml:space="preserve">Physical projection</w:t>
            </w:r>
          </w:p>
        </w:tc>
        <w:tc>
          <w:tcPr>
            <w:tcW w:w="2100" w:type="dxa"/>
            <w:vAlign w:val="center"/>
            <w:shd w:fill="FFFFFF"/>
          </w:tcPr>
          <w:p>
            <w:pPr>
              <w:keepNext w:val="0"/>
              <w:spacing w:before="0" w:after="20" w:line="240" w:lineRule="auto"/>
              <w:jc w:val="center"/>
            </w:pPr>
            <w:r>
              <w:rPr>
                <w:rFonts w:ascii="Times New Roman" w:hAnsi="Times New Roman"/>
                <w:b w:val="0"/>
                <w:color w:val="000000"/>
                <w:sz w:val="18"/>
              </w:rPr>
              <w:t>Declared commitment-time rule; archived implementation differs</w:t>
            </w:r>
          </w:p>
        </w:tc>
        <w:tc>
          <w:tcPr>
            <w:tcW w:w="2450" w:type="dxa"/>
            <w:vAlign w:val="center"/>
            <w:shd w:fill="FFFFFF"/>
          </w:tcPr>
          <w:p>
            <w:pPr>
              <w:keepNext w:val="0"/>
              <w:spacing w:before="0" w:after="20" w:line="240" w:lineRule="auto"/>
              <w:jc w:val="left"/>
            </w:pPr>
            <w:r>
              <w:rPr>
                <w:rFonts w:ascii="Times New Roman" w:hAnsi="Times New Roman"/>
                <w:b w:val="0"/>
                <w:color w:val="000000"/>
                <w:sz w:val="18"/>
              </w:rPr>
              <w:t>Robust bounds specified in manuscript; public projector reads current PV/PUE</w:t>
            </w:r>
          </w:p>
        </w:tc>
        <w:tc>
          <w:tcPr>
            <w:tcW w:w="2110" w:type="dxa"/>
            <w:vAlign w:val="center"/>
            <w:shd w:fill="FFFFFF"/>
          </w:tcPr>
          <w:p>
            <w:pPr>
              <w:keepNext w:val="0"/>
              <w:spacing w:before="0" w:after="20" w:line="240" w:lineRule="auto"/>
              <w:jc w:val="left"/>
            </w:pPr>
            <w:r>
              <w:rPr>
                <w:rFonts w:ascii="Times New Roman" w:hAnsi="Times New Roman"/>
                <w:b w:val="0"/>
                <w:color w:val="000000"/>
                <w:sz w:val="18"/>
              </w:rPr>
              <w:t>Matching corrected programme and trajectory required; see S23</w:t>
            </w:r>
          </w:p>
        </w:tc>
      </w:tr>
      <w:tr>
        <w:trPr>
          <w:cantSplit/>
        </w:trPr>
        <w:tc>
          <w:tcPr>
            <w:tcW w:w="2000" w:type="dxa"/>
            <w:vAlign w:val="center"/>
            <w:shd w:fill="FFFFFF"/>
          </w:tcPr>
          <w:p>
            <w:pPr>
              <w:keepNext w:val="0"/>
              <w:spacing w:before="0" w:after="20" w:line="240" w:lineRule="auto"/>
              <w:jc w:val="left"/>
            </w:pPr>
            <w:r>
              <w:rPr>
                <w:rFonts w:ascii="Times New Roman" w:hAnsi="Times New Roman"/>
                <w:b w:val="0"/>
                <w:color w:val="000000"/>
                <w:sz w:val="18"/>
              </w:rPr>
              <w:t xml:space="preserve">Physical realization</w:t>
            </w:r>
          </w:p>
        </w:tc>
        <w:tc>
          <w:tcPr>
            <w:tcW w:w="2100" w:type="dxa"/>
            <w:vAlign w:val="center"/>
            <w:shd w:fill="FFFFFF"/>
          </w:tcPr>
          <w:p>
            <w:pPr>
              <w:keepNext w:val="0"/>
              <w:spacing w:before="0" w:after="20" w:line="240" w:lineRule="auto"/>
              <w:jc w:val="center"/>
            </w:pPr>
            <w:r>
              <w:rPr>
                <w:rFonts w:ascii="Times New Roman" w:hAnsi="Times New Roman"/>
                <w:b w:val="0"/>
                <w:color w:val="000000"/>
                <w:sz w:val="18"/>
              </w:rPr>
              <w:t xml:space="preserve">After current service commitment</w:t>
            </w:r>
          </w:p>
        </w:tc>
        <w:tc>
          <w:tcPr>
            <w:tcW w:w="2450" w:type="dxa"/>
            <w:vAlign w:val="center"/>
            <w:shd w:fill="FFFFFF"/>
          </w:tcPr>
          <w:p>
            <w:pPr>
              <w:keepNext w:val="0"/>
              <w:spacing w:before="0" w:after="20" w:line="240" w:lineRule="auto"/>
              <w:jc w:val="center"/>
            </w:pPr>
            <w:r>
              <w:rPr>
                <w:rFonts w:ascii="Times New Roman" w:hAnsi="Times New Roman"/>
                <w:b w:val="0"/>
                <w:color w:val="000000"/>
                <w:sz w:val="18"/>
              </w:rPr>
              <w:t xml:space="preserve">Interval-average realized PV/PUE proxy</w:t>
            </w:r>
          </w:p>
        </w:tc>
        <w:tc>
          <w:tcPr>
            <w:tcW w:w="2110" w:type="dxa"/>
            <w:vAlign w:val="center"/>
            <w:shd w:fill="FFFFFF"/>
          </w:tcPr>
          <w:p>
            <w:pPr>
              <w:keepNext w:val="0"/>
              <w:spacing w:before="0" w:after="20" w:line="240" w:lineRule="auto"/>
              <w:jc w:val="left"/>
            </w:pPr>
            <w:r>
              <w:rPr>
                <w:rFonts w:ascii="Times New Roman" w:hAnsi="Times New Roman"/>
                <w:b w:val="0"/>
                <w:color w:val="000000"/>
                <w:sz w:val="18"/>
              </w:rPr>
              <w:t xml:space="preserve">Closes physical balance; next interval may observe it</w:t>
            </w:r>
          </w:p>
        </w:tc>
      </w:tr>
      <w:tr>
        <w:trPr>
          <w:cantSplit/>
        </w:trPr>
        <w:tc>
          <w:tcPr>
            <w:tcW w:w="2000" w:type="dxa"/>
            <w:vAlign w:val="center"/>
            <w:shd w:fill="FFFFFF"/>
          </w:tcPr>
          <w:p>
            <w:pPr>
              <w:keepNext w:val="0"/>
              <w:spacing w:before="0" w:after="20" w:line="240" w:lineRule="auto"/>
              <w:jc w:val="left"/>
            </w:pPr>
            <w:r>
              <w:rPr>
                <w:rFonts w:ascii="Times New Roman" w:hAnsi="Times New Roman"/>
                <w:b w:val="0"/>
                <w:color w:val="000000"/>
                <w:sz w:val="18"/>
              </w:rPr>
              <w:t xml:space="preserve">2025 settlement</w:t>
            </w:r>
          </w:p>
        </w:tc>
        <w:tc>
          <w:tcPr>
            <w:tcW w:w="2100" w:type="dxa"/>
            <w:vAlign w:val="center"/>
            <w:shd w:fill="FFFFFF"/>
          </w:tcPr>
          <w:p>
            <w:pPr>
              <w:keepNext w:val="0"/>
              <w:spacing w:before="0" w:after="20" w:line="240" w:lineRule="auto"/>
              <w:jc w:val="center"/>
            </w:pPr>
            <w:r>
              <w:rPr>
                <w:rFonts w:ascii="Times New Roman" w:hAnsi="Times New Roman"/>
                <w:b w:val="0"/>
                <w:color w:val="000000"/>
                <w:sz w:val="18"/>
              </w:rPr>
              <w:t xml:space="preserve">After execution</w:t>
            </w:r>
          </w:p>
        </w:tc>
        <w:tc>
          <w:tcPr>
            <w:tcW w:w="2450" w:type="dxa"/>
            <w:vAlign w:val="center"/>
            <w:shd w:fill="FFFFFF"/>
          </w:tcPr>
          <w:p>
            <w:pPr>
              <w:keepNext w:val="0"/>
              <w:spacing w:before="0" w:after="20" w:line="240" w:lineRule="auto"/>
              <w:jc w:val="left"/>
            </w:pPr>
            <w:r>
              <w:rPr>
                <w:rFonts w:ascii="Times New Roman" w:hAnsi="Times New Roman"/>
                <w:b w:val="0"/>
                <w:color w:val="000000"/>
                <w:sz w:val="18"/>
              </w:rPr>
              <w:t xml:space="preserve">Final DA/RT prices and complete service ledger</w:t>
            </w:r>
          </w:p>
        </w:tc>
        <w:tc>
          <w:tcPr>
            <w:tcW w:w="2110" w:type="dxa"/>
            <w:vAlign w:val="center"/>
            <w:shd w:fill="FFFFFF"/>
          </w:tcPr>
          <w:p>
            <w:pPr>
              <w:keepNext w:val="0"/>
              <w:spacing w:before="0" w:after="20" w:line="240" w:lineRule="auto"/>
              <w:jc w:val="center"/>
            </w:pPr>
            <w:r>
              <w:rPr>
                <w:rFonts w:ascii="Times New Roman" w:hAnsi="Times New Roman"/>
                <w:b w:val="0"/>
                <w:color w:val="000000"/>
                <w:sz w:val="18"/>
              </w:rPr>
              <w:t xml:space="preserve">Appropriate ex-post economic account</w:t>
            </w:r>
          </w:p>
        </w:tc>
      </w:tr>
    </w:tbl>
    <w:p>
      <w:pPr>
        <w:widowControl/>
        <w:spacing w:after="120"/>
      </w:pPr>
    </w:p>
    <w:p>
      <w:pPr>
        <w:widowControl/>
        <w:spacing w:after="120"/>
      </w:pPr>
      <w:r>
        <w:t>NYISO identifies corrected historical RT prices and archive updates; ISO-NE publishes preliminary and final RT products separately. These source conventions require publication-version evidence in addition to numerical lagging. Sources: https://mis.nyiso.com/public/P-4Alist.htm and https://www.iso-ne.com/participate/support/web-services-data.</w:t>
      </w:r>
    </w:p>
    <w:p>
      <w:pPr>
        <w:pStyle w:val="Heading1"/>
        <w:keepNext/>
        <w:widowControl/>
        <w:spacing w:before="280"/>
      </w:pPr>
      <w:r>
        <w:t>NYC commercial-tariff sensitivity</w:t>
      </w:r>
    </w:p>
    <w:p>
      <w:pPr>
        <w:widowControl/>
        <w:spacing w:after="120"/>
      </w:pPr>
      <w:r>
        <w:t>The NYC import trajectories are re-priced under Con Edison’s 2025 SC-9 Rate II non-standby terms for 13.2 kV high tension and 120/208 V low tension. Eligibility is assumed: actual voltage, PV interconnection status and the customer contract are unavailable. The approximate 2.044 MW site peak is simulated. These alternative single-site contracts define specified tariff charges (Account B); adding the existing model adjustments gives Account C. Neither replaces or augments the separate four-site wholesale account (Account A).</w:t>
      </w:r>
    </w:p>
    <w:p>
      <w:pPr>
        <w:widowControl/>
        <w:spacing w:after="120"/>
      </w:pPr>
      <w:r>
        <w:t>Rider M energy equals Zone J hourly DA price multiplied by imported energy and the 1.071 loss factor. It replaces DA/RT wholesale energy settlement in the retail calculation. Included charges are the US$500 per-30-day customer charge, US$0.0079/kWh delivery rate, applicable demand windows, and the verified MAC, SBC, RDM, SDR, DLM, AMP and EVS adjustments.</w:t>
      </w:r>
    </w:p>
    <w:p>
      <w:pPr>
        <w:widowControl/>
        <w:spacing w:after="140"/>
        <w:jc w:val="center"/>
      </w:pPr>
      <m:oMath>
        <m:sSub>
          <m:e>
            <m:r>
              <w:rPr>
                <w:rFonts w:ascii="Cambria Math" w:hAnsi="Cambria Math"/>
                <w:sz w:val="22"/>
              </w:rPr>
              <m:t>E</m:t>
            </m:r>
          </m:e>
          <m:sub>
            <m:r>
              <m:rPr>
                <m:sty m:val="p"/>
              </m:rPr>
              <w:rPr>
                <w:rFonts w:ascii="Cambria Math" w:hAnsi="Cambria Math"/>
                <w:sz w:val="22"/>
              </w:rPr>
              <m:t>retail</m:t>
            </m:r>
          </m:sub>
        </m:sSub>
        <m:r>
          <w:rPr>
            <w:rFonts w:ascii="Cambria Math" w:hAnsi="Cambria Math"/>
            <w:sz w:val="22"/>
          </w:rPr>
          <m:t>=</m:t>
        </m:r>
        <m:nary>
          <m:naryPr>
            <m:chr m:val="∑"/>
            <m:limLoc m:val="subSup"/>
            <m:supHide m:val="1"/>
          </m:naryPr>
          <m:sub>
            <m:r>
              <w:rPr>
                <w:rFonts w:ascii="Cambria Math" w:hAnsi="Cambria Math"/>
                <w:sz w:val="22"/>
              </w:rPr>
              <m:t>t</m:t>
            </m:r>
          </m:sub>
          <m:sup/>
          <m:e>
            <m:r>
              <w:rPr>
                <w:rFonts w:ascii="Cambria Math" w:hAnsi="Cambria Math"/>
                <w:sz w:val="22"/>
              </w:rPr>
              <m:t>1.071</m:t>
            </m:r>
            <m:sSubSup>
              <m:e>
                <m:r>
                  <w:rPr>
                    <w:rFonts w:ascii="Cambria Math" w:hAnsi="Cambria Math"/>
                    <w:sz w:val="22"/>
                  </w:rPr>
                  <m:t>p</m:t>
                </m:r>
              </m:e>
              <m:sub>
                <m:r>
                  <w:rPr>
                    <w:rFonts w:ascii="Cambria Math" w:hAnsi="Cambria Math"/>
                    <w:sz w:val="22"/>
                  </w:rPr>
                  <m:t>t</m:t>
                </m:r>
              </m:sub>
              <m:sup>
                <m:r>
                  <m:rPr>
                    <m:sty m:val="p"/>
                  </m:rPr>
                  <w:rPr>
                    <w:rFonts w:ascii="Cambria Math" w:hAnsi="Cambria Math"/>
                    <w:sz w:val="22"/>
                  </w:rPr>
                  <m:t>DA</m:t>
                </m:r>
              </m:sup>
            </m:sSubSup>
            <m:sSub>
              <m:e>
                <m:r>
                  <w:rPr>
                    <w:rFonts w:ascii="Cambria Math" w:hAnsi="Cambria Math"/>
                    <w:sz w:val="22"/>
                  </w:rPr>
                  <m:t>g</m:t>
                </m:r>
              </m:e>
              <m:sub>
                <m:r>
                  <w:rPr>
                    <w:rFonts w:ascii="Cambria Math" w:hAnsi="Cambria Math"/>
                    <w:sz w:val="22"/>
                  </w:rPr>
                  <m:t>t</m:t>
                </m:r>
              </m:sub>
            </m:sSub>
            <m:r>
              <w:rPr>
                <w:rFonts w:ascii="Cambria Math" w:hAnsi="Cambria Math"/>
                <w:sz w:val="22"/>
              </w:rPr>
              <m:t>Δt</m:t>
            </m:r>
          </m:e>
        </m:nary>
      </m:oMath>
    </w:p>
    <w:p>
      <w:pPr>
        <w:widowControl/>
        <w:spacing w:after="120"/>
      </w:pPr>
      <w:r>
        <w:t>Billing demand is the maximum mean of adjacent 15-minute imports wholly within each applicable window. Overlapping summer weekday 08:00–18:00 and 08:00–22:00 demand charges are added; low tension also includes an all-hours component. Calendar months define billing periods, and fixed/per-kW charges are prorated by days/30. Charges are calculated separately for each refinement before averaging. Base revenue exceeds the conservative 18-month minimum-bill bound at the unchanged 2,150.22 kW physical cap, so the ratchet is inactive.</w:t>
      </w:r>
    </w:p>
    <w:p>
      <w:pPr>
        <w:pStyle w:val="Caption"/>
        <w:keepNext/>
        <w:widowControl/>
      </w:pPr>
      <w:r>
        <w:t>Supplementary Table 23. Annual NYC specified tariff charges and model adjustments, averaged across three refinements. The calculation is a specified-charge subtotal, not a complete invoice.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5256"/>
        <w:gridCol w:w="2304"/>
        <w:gridCol w:w="2304"/>
      </w:tblGrid>
      <w:tr>
        <w:trPr>
          <w:cantSplit/>
          <w:tblHeader w:val="true"/>
        </w:trPr>
        <w:tc>
          <w:tcPr>
            <w:tcW w:type="dxa" w:w="5256"/>
            <w:shd w:fill="E9EDF2"/>
            <w:vAlign w:val="center"/>
          </w:tcPr>
          <w:p>
            <w:pPr>
              <w:keepNext w:val="0"/>
              <w:spacing w:before="0" w:after="20" w:line="240" w:lineRule="auto"/>
              <w:jc w:val="left"/>
            </w:pPr>
            <w:r>
              <w:rPr>
                <w:rFonts w:ascii="Times New Roman" w:hAnsi="Times New Roman"/>
                <w:b/>
                <w:color w:val="000000"/>
                <w:sz w:val="18"/>
              </w:rPr>
              <w:t>Annual quantity / US$</w:t>
            </w:r>
          </w:p>
        </w:tc>
        <w:tc>
          <w:tcPr>
            <w:tcW w:type="dxa" w:w="2304"/>
            <w:shd w:fill="E9EDF2"/>
            <w:vAlign w:val="center"/>
          </w:tcPr>
          <w:p>
            <w:pPr>
              <w:keepNext w:val="0"/>
              <w:spacing w:before="0" w:after="20" w:line="240" w:lineRule="auto"/>
              <w:jc w:val="left"/>
            </w:pPr>
            <w:r>
              <w:rPr>
                <w:rFonts w:ascii="Times New Roman" w:hAnsi="Times New Roman"/>
                <w:b/>
                <w:color w:val="000000"/>
                <w:sz w:val="18"/>
              </w:rPr>
              <w:t>High tension</w:t>
            </w:r>
          </w:p>
        </w:tc>
        <w:tc>
          <w:tcPr>
            <w:tcW w:type="dxa" w:w="2304"/>
            <w:shd w:fill="E9EDF2"/>
            <w:vAlign w:val="center"/>
          </w:tcPr>
          <w:p>
            <w:pPr>
              <w:keepNext w:val="0"/>
              <w:spacing w:before="0" w:after="20" w:line="240" w:lineRule="auto"/>
              <w:jc w:val="left"/>
            </w:pPr>
            <w:r>
              <w:rPr>
                <w:rFonts w:ascii="Times New Roman" w:hAnsi="Times New Roman"/>
                <w:b/>
                <w:color w:val="000000"/>
                <w:sz w:val="18"/>
              </w:rPr>
              <w:t>Low tension</w:t>
            </w:r>
          </w:p>
        </w:tc>
      </w:tr>
      <w:tr>
        <w:trPr>
          <w:cantSplit/>
        </w:trPr>
        <w:tc>
          <w:tcPr>
            <w:tcW w:type="dxa" w:w="5256"/>
            <w:vAlign w:val="center"/>
            <w:shd w:fill="FFFFFF"/>
          </w:tcPr>
          <w:p>
            <w:pPr>
              <w:keepNext w:val="0"/>
              <w:spacing w:before="0" w:after="20" w:line="240" w:lineRule="auto"/>
              <w:jc w:val="left"/>
            </w:pPr>
            <w:r>
              <w:rPr>
                <w:rFonts w:ascii="Times New Roman" w:hAnsi="Times New Roman"/>
                <w:b w:val="0"/>
                <w:color w:val="000000"/>
                <w:sz w:val="18"/>
              </w:rPr>
              <w:t>Wholesale energy saving, separate account</w:t>
            </w:r>
          </w:p>
        </w:tc>
        <w:tc>
          <w:tcPr>
            <w:tcW w:type="dxa" w:w="2304"/>
            <w:vAlign w:val="center"/>
            <w:shd w:fill="FFFFFF"/>
          </w:tcPr>
          <w:p>
            <w:pPr>
              <w:keepNext w:val="0"/>
              <w:spacing w:before="0" w:after="20" w:line="240" w:lineRule="auto"/>
              <w:jc w:val="left"/>
            </w:pPr>
            <w:r>
              <w:rPr>
                <w:rFonts w:ascii="Times New Roman" w:hAnsi="Times New Roman"/>
                <w:b w:val="0"/>
                <w:color w:val="000000"/>
                <w:sz w:val="18"/>
              </w:rPr>
              <w:t>30,981.97</w:t>
            </w:r>
          </w:p>
        </w:tc>
        <w:tc>
          <w:tcPr>
            <w:tcW w:type="dxa" w:w="2304"/>
            <w:vAlign w:val="center"/>
            <w:shd w:fill="FFFFFF"/>
          </w:tcPr>
          <w:p>
            <w:pPr>
              <w:keepNext w:val="0"/>
              <w:spacing w:before="0" w:after="20" w:line="240" w:lineRule="auto"/>
              <w:jc w:val="left"/>
            </w:pPr>
            <w:r>
              <w:rPr>
                <w:rFonts w:ascii="Times New Roman" w:hAnsi="Times New Roman"/>
                <w:b w:val="0"/>
                <w:color w:val="000000"/>
                <w:sz w:val="18"/>
              </w:rPr>
              <w:t>30,981.97</w:t>
            </w:r>
          </w:p>
        </w:tc>
      </w:tr>
      <w:tr>
        <w:trPr>
          <w:cantSplit/>
        </w:trPr>
        <w:tc>
          <w:tcPr>
            <w:tcW w:type="dxa" w:w="5256"/>
            <w:vAlign w:val="center"/>
            <w:shd w:fill="FFFFFF"/>
          </w:tcPr>
          <w:p>
            <w:pPr>
              <w:keepNext w:val="0"/>
              <w:spacing w:before="0" w:after="20" w:line="240" w:lineRule="auto"/>
              <w:jc w:val="left"/>
            </w:pPr>
            <w:r>
              <w:rPr>
                <w:rFonts w:ascii="Times New Roman" w:hAnsi="Times New Roman"/>
                <w:b w:val="0"/>
                <w:color w:val="000000"/>
                <w:sz w:val="18"/>
              </w:rPr>
              <w:t>Rider M retail-energy saving</w:t>
            </w:r>
          </w:p>
        </w:tc>
        <w:tc>
          <w:tcPr>
            <w:tcW w:type="dxa" w:w="2304"/>
            <w:vAlign w:val="center"/>
            <w:shd w:fill="FFFFFF"/>
          </w:tcPr>
          <w:p>
            <w:pPr>
              <w:keepNext w:val="0"/>
              <w:spacing w:before="0" w:after="20" w:line="240" w:lineRule="auto"/>
              <w:jc w:val="left"/>
            </w:pPr>
            <w:r>
              <w:rPr>
                <w:rFonts w:ascii="Times New Roman" w:hAnsi="Times New Roman"/>
                <w:b w:val="0"/>
                <w:color w:val="000000"/>
                <w:sz w:val="18"/>
              </w:rPr>
              <w:t>28,967.61</w:t>
            </w:r>
          </w:p>
        </w:tc>
        <w:tc>
          <w:tcPr>
            <w:tcW w:type="dxa" w:w="2304"/>
            <w:vAlign w:val="center"/>
            <w:shd w:fill="FFFFFF"/>
          </w:tcPr>
          <w:p>
            <w:pPr>
              <w:keepNext w:val="0"/>
              <w:spacing w:before="0" w:after="20" w:line="240" w:lineRule="auto"/>
              <w:jc w:val="left"/>
            </w:pPr>
            <w:r>
              <w:rPr>
                <w:rFonts w:ascii="Times New Roman" w:hAnsi="Times New Roman"/>
                <w:b w:val="0"/>
                <w:color w:val="000000"/>
                <w:sz w:val="18"/>
              </w:rPr>
              <w:t>28,967.61</w:t>
            </w:r>
          </w:p>
        </w:tc>
      </w:tr>
      <w:tr>
        <w:trPr>
          <w:cantSplit/>
        </w:trPr>
        <w:tc>
          <w:tcPr>
            <w:tcW w:type="dxa" w:w="5256"/>
            <w:vAlign w:val="center"/>
            <w:shd w:fill="FFFFFF"/>
          </w:tcPr>
          <w:p>
            <w:pPr>
              <w:keepNext w:val="0"/>
              <w:spacing w:before="0" w:after="20" w:line="240" w:lineRule="auto"/>
              <w:jc w:val="left"/>
            </w:pPr>
            <w:r>
              <w:rPr>
                <w:rFonts w:ascii="Times New Roman" w:hAnsi="Times New Roman"/>
                <w:b w:val="0"/>
                <w:color w:val="000000"/>
                <w:sz w:val="18"/>
              </w:rPr>
              <w:t>Demand-charge adjustment</w:t>
            </w:r>
          </w:p>
        </w:tc>
        <w:tc>
          <w:tcPr>
            <w:tcW w:type="dxa" w:w="2304"/>
            <w:vAlign w:val="center"/>
            <w:shd w:fill="FFFFFF"/>
          </w:tcPr>
          <w:p>
            <w:pPr>
              <w:keepNext w:val="0"/>
              <w:spacing w:before="0" w:after="20" w:line="240" w:lineRule="auto"/>
              <w:jc w:val="left"/>
            </w:pPr>
            <w:r>
              <w:rPr>
                <w:rFonts w:ascii="Times New Roman" w:hAnsi="Times New Roman"/>
                <w:b w:val="0"/>
                <w:color w:val="000000"/>
                <w:sz w:val="18"/>
              </w:rPr>
              <w:t>41,068.72</w:t>
            </w:r>
          </w:p>
        </w:tc>
        <w:tc>
          <w:tcPr>
            <w:tcW w:type="dxa" w:w="2304"/>
            <w:vAlign w:val="center"/>
            <w:shd w:fill="FFFFFF"/>
          </w:tcPr>
          <w:p>
            <w:pPr>
              <w:keepNext w:val="0"/>
              <w:spacing w:before="0" w:after="20" w:line="240" w:lineRule="auto"/>
              <w:jc w:val="left"/>
            </w:pPr>
            <w:r>
              <w:rPr>
                <w:rFonts w:ascii="Times New Roman" w:hAnsi="Times New Roman"/>
                <w:b w:val="0"/>
                <w:color w:val="000000"/>
                <w:sz w:val="18"/>
              </w:rPr>
              <w:t>36,304.20</w:t>
            </w:r>
          </w:p>
        </w:tc>
      </w:tr>
      <w:tr>
        <w:trPr>
          <w:cantSplit/>
        </w:trPr>
        <w:tc>
          <w:tcPr>
            <w:tcW w:type="dxa" w:w="5256"/>
            <w:vAlign w:val="center"/>
            <w:shd w:fill="FFFFFF"/>
          </w:tcPr>
          <w:p>
            <w:pPr>
              <w:keepNext w:val="0"/>
              <w:spacing w:before="0" w:after="20" w:line="240" w:lineRule="auto"/>
              <w:jc w:val="left"/>
            </w:pPr>
            <w:r>
              <w:rPr>
                <w:rFonts w:ascii="Times New Roman" w:hAnsi="Times New Roman"/>
                <w:b w:val="0"/>
                <w:color w:val="000000"/>
                <w:sz w:val="18"/>
              </w:rPr>
              <w:t>2025 capacity adjustment at equal inherited tags</w:t>
            </w:r>
          </w:p>
        </w:tc>
        <w:tc>
          <w:tcPr>
            <w:tcW w:type="dxa" w:w="2304"/>
            <w:vAlign w:val="center"/>
            <w:shd w:fill="FFFFFF"/>
          </w:tcPr>
          <w:p>
            <w:pPr>
              <w:keepNext w:val="0"/>
              <w:spacing w:before="0" w:after="20" w:line="240" w:lineRule="auto"/>
              <w:jc w:val="left"/>
            </w:pPr>
            <w:r>
              <w:rPr>
                <w:rFonts w:ascii="Times New Roman" w:hAnsi="Times New Roman"/>
                <w:b w:val="0"/>
                <w:color w:val="000000"/>
                <w:sz w:val="18"/>
              </w:rPr>
              <w:t>0.00</w:t>
            </w:r>
          </w:p>
        </w:tc>
        <w:tc>
          <w:tcPr>
            <w:tcW w:type="dxa" w:w="2304"/>
            <w:vAlign w:val="center"/>
            <w:shd w:fill="FFFFFF"/>
          </w:tcPr>
          <w:p>
            <w:pPr>
              <w:keepNext w:val="0"/>
              <w:spacing w:before="0" w:after="20" w:line="240" w:lineRule="auto"/>
              <w:jc w:val="left"/>
            </w:pPr>
            <w:r>
              <w:rPr>
                <w:rFonts w:ascii="Times New Roman" w:hAnsi="Times New Roman"/>
                <w:b w:val="0"/>
                <w:color w:val="000000"/>
                <w:sz w:val="18"/>
              </w:rPr>
              <w:t>0.00</w:t>
            </w:r>
          </w:p>
        </w:tc>
      </w:tr>
      <w:tr>
        <w:trPr>
          <w:cantSplit/>
        </w:trPr>
        <w:tc>
          <w:tcPr>
            <w:tcW w:type="dxa" w:w="5256"/>
            <w:vAlign w:val="center"/>
            <w:shd w:fill="FFFFFF"/>
          </w:tcPr>
          <w:p>
            <w:pPr>
              <w:keepNext w:val="0"/>
              <w:spacing w:before="0" w:after="20" w:line="240" w:lineRule="auto"/>
              <w:jc w:val="left"/>
            </w:pPr>
            <w:r>
              <w:rPr>
                <w:rFonts w:ascii="Times New Roman" w:hAnsi="Times New Roman"/>
                <w:b w:val="0"/>
                <w:color w:val="000000"/>
                <w:sz w:val="18"/>
              </w:rPr>
              <w:t>Identified tariff-charge subtotal saving</w:t>
            </w:r>
          </w:p>
        </w:tc>
        <w:tc>
          <w:tcPr>
            <w:tcW w:type="dxa" w:w="2304"/>
            <w:vAlign w:val="center"/>
            <w:shd w:fill="FFFFFF"/>
          </w:tcPr>
          <w:p>
            <w:pPr>
              <w:keepNext w:val="0"/>
              <w:spacing w:before="0" w:after="20" w:line="240" w:lineRule="auto"/>
              <w:jc w:val="left"/>
            </w:pPr>
            <w:r>
              <w:rPr>
                <w:rFonts w:ascii="Times New Roman" w:hAnsi="Times New Roman"/>
                <w:b w:val="0"/>
                <w:color w:val="000000"/>
                <w:sz w:val="18"/>
              </w:rPr>
              <w:t>74,960.80</w:t>
            </w:r>
          </w:p>
        </w:tc>
        <w:tc>
          <w:tcPr>
            <w:tcW w:type="dxa" w:w="2304"/>
            <w:vAlign w:val="center"/>
            <w:shd w:fill="FFFFFF"/>
          </w:tcPr>
          <w:p>
            <w:pPr>
              <w:keepNext w:val="0"/>
              <w:spacing w:before="0" w:after="20" w:line="240" w:lineRule="auto"/>
              <w:jc w:val="left"/>
            </w:pPr>
            <w:r>
              <w:rPr>
                <w:rFonts w:ascii="Times New Roman" w:hAnsi="Times New Roman"/>
                <w:b w:val="0"/>
                <w:color w:val="000000"/>
                <w:sz w:val="18"/>
              </w:rPr>
              <w:t>70,196.27</w:t>
            </w:r>
          </w:p>
        </w:tc>
      </w:tr>
      <w:tr>
        <w:trPr>
          <w:cantSplit/>
        </w:trPr>
        <w:tc>
          <w:tcPr>
            <w:tcW w:type="dxa" w:w="5256"/>
            <w:vAlign w:val="center"/>
            <w:shd w:fill="FFFFFF"/>
          </w:tcPr>
          <w:p>
            <w:pPr>
              <w:keepNext w:val="0"/>
              <w:spacing w:before="0" w:after="20" w:line="240" w:lineRule="auto"/>
              <w:jc w:val="left"/>
            </w:pPr>
            <w:r>
              <w:rPr>
                <w:rFonts w:ascii="Times New Roman" w:hAnsi="Times New Roman"/>
                <w:b w:val="0"/>
                <w:color w:val="000000"/>
                <w:sz w:val="18"/>
              </w:rPr>
              <w:t>Net economic saving after existing fees/PV valuation</w:t>
            </w:r>
          </w:p>
        </w:tc>
        <w:tc>
          <w:tcPr>
            <w:tcW w:type="dxa" w:w="2304"/>
            <w:vAlign w:val="center"/>
            <w:shd w:fill="FFFFFF"/>
          </w:tcPr>
          <w:p>
            <w:pPr>
              <w:keepNext w:val="0"/>
              <w:spacing w:before="0" w:after="20" w:line="240" w:lineRule="auto"/>
              <w:jc w:val="left"/>
            </w:pPr>
            <w:r>
              <w:rPr>
                <w:rFonts w:ascii="Times New Roman" w:hAnsi="Times New Roman"/>
                <w:b w:val="0"/>
                <w:color w:val="000000"/>
                <w:sz w:val="18"/>
              </w:rPr>
              <w:t>74,433.58</w:t>
            </w:r>
          </w:p>
        </w:tc>
        <w:tc>
          <w:tcPr>
            <w:tcW w:type="dxa" w:w="2304"/>
            <w:vAlign w:val="center"/>
            <w:shd w:fill="FFFFFF"/>
          </w:tcPr>
          <w:p>
            <w:pPr>
              <w:keepNext w:val="0"/>
              <w:spacing w:before="0" w:after="20" w:line="240" w:lineRule="auto"/>
              <w:jc w:val="left"/>
            </w:pPr>
            <w:r>
              <w:rPr>
                <w:rFonts w:ascii="Times New Roman" w:hAnsi="Times New Roman"/>
                <w:b w:val="0"/>
                <w:color w:val="000000"/>
                <w:sz w:val="18"/>
              </w:rPr>
              <w:t>69,669.05</w:t>
            </w:r>
          </w:p>
        </w:tc>
      </w:tr>
      <w:tr>
        <w:trPr>
          <w:cantSplit/>
        </w:trPr>
        <w:tc>
          <w:tcPr>
            <w:tcW w:type="dxa" w:w="5256"/>
            <w:vAlign w:val="center"/>
            <w:shd w:fill="FFFFFF"/>
          </w:tcPr>
          <w:p>
            <w:pPr>
              <w:keepNext w:val="0"/>
              <w:spacing w:before="0" w:after="20" w:line="240" w:lineRule="auto"/>
              <w:jc w:val="left"/>
            </w:pPr>
            <w:r>
              <w:rPr>
                <w:rFonts w:ascii="Times New Roman" w:hAnsi="Times New Roman"/>
                <w:b w:val="0"/>
                <w:color w:val="000000"/>
                <w:sz w:val="18"/>
              </w:rPr>
              <w:t>Immediate subtotal excluding unknown capacity</w:t>
            </w:r>
          </w:p>
        </w:tc>
        <w:tc>
          <w:tcPr>
            <w:tcW w:type="dxa" w:w="2304"/>
            <w:vAlign w:val="center"/>
            <w:shd w:fill="FFFFFF"/>
          </w:tcPr>
          <w:p>
            <w:pPr>
              <w:keepNext w:val="0"/>
              <w:spacing w:before="0" w:after="20" w:line="240" w:lineRule="auto"/>
              <w:jc w:val="left"/>
            </w:pPr>
            <w:r>
              <w:rPr>
                <w:rFonts w:ascii="Times New Roman" w:hAnsi="Times New Roman"/>
                <w:b w:val="0"/>
                <w:color w:val="000000"/>
                <w:sz w:val="18"/>
              </w:rPr>
              <w:t>757,151.54</w:t>
            </w:r>
          </w:p>
        </w:tc>
        <w:tc>
          <w:tcPr>
            <w:tcW w:type="dxa" w:w="2304"/>
            <w:vAlign w:val="center"/>
            <w:shd w:fill="FFFFFF"/>
          </w:tcPr>
          <w:p>
            <w:pPr>
              <w:keepNext w:val="0"/>
              <w:spacing w:before="0" w:after="20" w:line="240" w:lineRule="auto"/>
              <w:jc w:val="left"/>
            </w:pPr>
            <w:r>
              <w:rPr>
                <w:rFonts w:ascii="Times New Roman" w:hAnsi="Times New Roman"/>
                <w:b w:val="0"/>
                <w:color w:val="000000"/>
                <w:sz w:val="18"/>
              </w:rPr>
              <w:t>1,016,063.98</w:t>
            </w:r>
          </w:p>
        </w:tc>
      </w:tr>
      <w:tr>
        <w:trPr>
          <w:cantSplit/>
        </w:trPr>
        <w:tc>
          <w:tcPr>
            <w:tcW w:type="dxa" w:w="5256"/>
            <w:vAlign w:val="center"/>
            <w:shd w:fill="FFFFFF"/>
          </w:tcPr>
          <w:p>
            <w:pPr>
              <w:keepNext w:val="0"/>
              <w:spacing w:before="0" w:after="20" w:line="240" w:lineRule="auto"/>
              <w:jc w:val="left"/>
            </w:pPr>
            <w:r>
              <w:rPr>
                <w:rFonts w:ascii="Times New Roman" w:hAnsi="Times New Roman"/>
                <w:b w:val="0"/>
                <w:color w:val="000000"/>
                <w:sz w:val="18"/>
              </w:rPr>
              <w:t>WorldMoE subtotal excluding unknown capacity</w:t>
            </w:r>
          </w:p>
        </w:tc>
        <w:tc>
          <w:tcPr>
            <w:tcW w:type="dxa" w:w="2304"/>
            <w:vAlign w:val="center"/>
            <w:shd w:fill="FFFFFF"/>
          </w:tcPr>
          <w:p>
            <w:pPr>
              <w:keepNext w:val="0"/>
              <w:spacing w:before="0" w:after="20" w:line="240" w:lineRule="auto"/>
              <w:jc w:val="left"/>
            </w:pPr>
            <w:r>
              <w:rPr>
                <w:rFonts w:ascii="Times New Roman" w:hAnsi="Times New Roman"/>
                <w:b w:val="0"/>
                <w:color w:val="000000"/>
                <w:sz w:val="18"/>
              </w:rPr>
              <w:t>682,190.74</w:t>
            </w:r>
          </w:p>
        </w:tc>
        <w:tc>
          <w:tcPr>
            <w:tcW w:type="dxa" w:w="2304"/>
            <w:vAlign w:val="center"/>
            <w:shd w:fill="FFFFFF"/>
          </w:tcPr>
          <w:p>
            <w:pPr>
              <w:keepNext w:val="0"/>
              <w:spacing w:before="0" w:after="20" w:line="240" w:lineRule="auto"/>
              <w:jc w:val="left"/>
            </w:pPr>
            <w:r>
              <w:rPr>
                <w:rFonts w:ascii="Times New Roman" w:hAnsi="Times New Roman"/>
                <w:b w:val="0"/>
                <w:color w:val="000000"/>
                <w:sz w:val="18"/>
              </w:rPr>
              <w:t>945,867.70</w:t>
            </w:r>
          </w:p>
        </w:tc>
      </w:tr>
      <w:tr>
        <w:trPr>
          <w:cantSplit/>
        </w:trPr>
        <w:tc>
          <w:tcPr>
            <w:tcW w:type="dxa" w:w="5256"/>
            <w:vAlign w:val="center"/>
            <w:shd w:fill="FFFFFF"/>
          </w:tcPr>
          <w:p>
            <w:pPr>
              <w:keepNext w:val="0"/>
              <w:spacing w:before="0" w:after="20" w:line="240" w:lineRule="auto"/>
              <w:jc w:val="left"/>
            </w:pPr>
            <w:r>
              <w:rPr>
                <w:rFonts w:ascii="Times New Roman" w:hAnsi="Times New Roman"/>
                <w:b w:val="0"/>
                <w:color w:val="000000"/>
                <w:sz w:val="18"/>
              </w:rPr>
              <w:t>Fixed customer charges, each policy</w:t>
            </w:r>
          </w:p>
        </w:tc>
        <w:tc>
          <w:tcPr>
            <w:tcW w:type="dxa" w:w="2304"/>
            <w:vAlign w:val="center"/>
            <w:shd w:fill="FFFFFF"/>
          </w:tcPr>
          <w:p>
            <w:pPr>
              <w:keepNext w:val="0"/>
              <w:spacing w:before="0" w:after="20" w:line="240" w:lineRule="auto"/>
              <w:jc w:val="left"/>
            </w:pPr>
            <w:r>
              <w:rPr>
                <w:rFonts w:ascii="Times New Roman" w:hAnsi="Times New Roman"/>
                <w:b w:val="0"/>
                <w:color w:val="000000"/>
                <w:sz w:val="18"/>
              </w:rPr>
              <w:t>6,083.33</w:t>
            </w:r>
          </w:p>
        </w:tc>
        <w:tc>
          <w:tcPr>
            <w:tcW w:type="dxa" w:w="2304"/>
            <w:vAlign w:val="center"/>
            <w:shd w:fill="FFFFFF"/>
          </w:tcPr>
          <w:p>
            <w:pPr>
              <w:keepNext w:val="0"/>
              <w:spacing w:before="0" w:after="20" w:line="240" w:lineRule="auto"/>
              <w:jc w:val="left"/>
            </w:pPr>
            <w:r>
              <w:rPr>
                <w:rFonts w:ascii="Times New Roman" w:hAnsi="Times New Roman"/>
                <w:b w:val="0"/>
                <w:color w:val="000000"/>
                <w:sz w:val="18"/>
              </w:rPr>
              <w:t>6,083.33</w:t>
            </w:r>
          </w:p>
        </w:tc>
      </w:tr>
      <w:tr>
        <w:trPr>
          <w:cantSplit/>
        </w:trPr>
        <w:tc>
          <w:tcPr>
            <w:tcW w:type="dxa" w:w="5256"/>
            <w:vAlign w:val="center"/>
            <w:shd w:fill="FFFFFF"/>
          </w:tcPr>
          <w:p>
            <w:pPr>
              <w:keepNext w:val="0"/>
              <w:spacing w:before="0" w:after="20" w:line="240" w:lineRule="auto"/>
              <w:jc w:val="left"/>
            </w:pPr>
            <w:r>
              <w:rPr>
                <w:rFonts w:ascii="Times New Roman" w:hAnsi="Times New Roman"/>
                <w:b w:val="0"/>
                <w:color w:val="000000"/>
                <w:sz w:val="18"/>
              </w:rPr>
              <w:t>Complete customer bill / saving rate</w:t>
            </w:r>
          </w:p>
        </w:tc>
        <w:tc>
          <w:tcPr>
            <w:tcW w:type="dxa" w:w="2304"/>
            <w:vAlign w:val="center"/>
            <w:shd w:fill="FFFFFF"/>
          </w:tcPr>
          <w:p>
            <w:pPr>
              <w:keepNext w:val="0"/>
              <w:spacing w:before="0" w:after="20" w:line="240" w:lineRule="auto"/>
              <w:jc w:val="left"/>
            </w:pPr>
            <w:r>
              <w:rPr>
                <w:rFonts w:ascii="Times New Roman" w:hAnsi="Times New Roman"/>
                <w:b w:val="0"/>
                <w:color w:val="000000"/>
                <w:sz w:val="18"/>
              </w:rPr>
              <w:t>Not established</w:t>
            </w:r>
          </w:p>
        </w:tc>
        <w:tc>
          <w:tcPr>
            <w:tcW w:type="dxa" w:w="2304"/>
            <w:vAlign w:val="center"/>
            <w:shd w:fill="FFFFFF"/>
          </w:tcPr>
          <w:p>
            <w:pPr>
              <w:keepNext w:val="0"/>
              <w:spacing w:before="0" w:after="20" w:line="240" w:lineRule="auto"/>
              <w:jc w:val="left"/>
            </w:pPr>
            <w:r>
              <w:rPr>
                <w:rFonts w:ascii="Times New Roman" w:hAnsi="Times New Roman"/>
                <w:b w:val="0"/>
                <w:color w:val="000000"/>
                <w:sz w:val="18"/>
              </w:rPr>
              <w:t>Not established</w:t>
            </w:r>
          </w:p>
        </w:tc>
      </w:tr>
    </w:tbl>
    <w:p>
      <w:pPr>
        <w:widowControl/>
        <w:spacing w:after="120"/>
      </w:pPr>
    </w:p>
    <w:p>
      <w:pPr>
        <w:widowControl/>
        <w:spacing w:after="120"/>
      </w:pPr>
      <w:r>
        <w:t>Identical pre-2025 customer histories give the two policies the same inherited ICAP tag, so capacity charges change the denominator but contribute no within-year saving. A constant tag T kW adds US$131.738 × T annually. The illustrative 1,500 kW tag adds US$197,607 to both policies and produces specified-subtotal saving rates of 7.8513% and 5.7838% for high and low tension, respectively. These are not actual total-bill percentages.</w:t>
      </w:r>
    </w:p>
    <w:p>
      <w:pPr>
        <w:pStyle w:val="Caption"/>
        <w:keepNext/>
        <w:widowControl/>
      </w:pPr>
      <w:r>
        <w:t>Supplementary Table 24. Monthly demand-charge adjustments and specified-charge savings. Negative values denote increased charges.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792"/>
        <w:gridCol w:w="2232"/>
        <w:gridCol w:w="2304"/>
        <w:gridCol w:w="2232"/>
        <w:gridCol w:w="2304"/>
      </w:tblGrid>
      <w:tr>
        <w:trPr>
          <w:cantSplit/>
          <w:tblHeader w:val="true"/>
        </w:trPr>
        <w:tc>
          <w:tcPr>
            <w:tcW w:type="dxa" w:w="792"/>
            <w:shd w:fill="E9EDF2"/>
            <w:vAlign w:val="center"/>
          </w:tcPr>
          <w:p>
            <w:pPr>
              <w:keepNext w:val="0"/>
              <w:spacing w:before="0" w:after="20" w:line="240" w:lineRule="auto"/>
              <w:jc w:val="left"/>
            </w:pPr>
            <w:r>
              <w:rPr>
                <w:rFonts w:ascii="Times New Roman" w:hAnsi="Times New Roman"/>
                <w:b/>
                <w:color w:val="000000"/>
                <w:sz w:val="18"/>
              </w:rPr>
              <w:t>Month</w:t>
            </w:r>
          </w:p>
        </w:tc>
        <w:tc>
          <w:tcPr>
            <w:tcW w:type="dxa" w:w="2232"/>
            <w:shd w:fill="E9EDF2"/>
            <w:vAlign w:val="center"/>
          </w:tcPr>
          <w:p>
            <w:pPr>
              <w:keepNext w:val="0"/>
              <w:spacing w:before="0" w:after="20" w:line="240" w:lineRule="auto"/>
              <w:jc w:val="center"/>
            </w:pPr>
            <w:r>
              <w:rPr>
                <w:rFonts w:ascii="Times New Roman" w:hAnsi="Times New Roman"/>
                <w:b/>
                <w:color w:val="000000"/>
                <w:sz w:val="18"/>
              </w:rPr>
              <w:t>High tension demand US$</w:t>
            </w:r>
          </w:p>
        </w:tc>
        <w:tc>
          <w:tcPr>
            <w:tcW w:type="dxa" w:w="2304"/>
            <w:shd w:fill="E9EDF2"/>
            <w:vAlign w:val="center"/>
          </w:tcPr>
          <w:p>
            <w:pPr>
              <w:keepNext w:val="0"/>
              <w:spacing w:before="0" w:after="20" w:line="240" w:lineRule="auto"/>
              <w:jc w:val="center"/>
            </w:pPr>
            <w:r>
              <w:rPr>
                <w:rFonts w:ascii="Times New Roman" w:hAnsi="Times New Roman"/>
                <w:b/>
                <w:color w:val="000000"/>
                <w:sz w:val="18"/>
              </w:rPr>
              <w:t>High tension subtotal US$</w:t>
            </w:r>
          </w:p>
        </w:tc>
        <w:tc>
          <w:tcPr>
            <w:tcW w:type="dxa" w:w="2232"/>
            <w:shd w:fill="E9EDF2"/>
            <w:vAlign w:val="center"/>
          </w:tcPr>
          <w:p>
            <w:pPr>
              <w:keepNext w:val="0"/>
              <w:spacing w:before="0" w:after="20" w:line="240" w:lineRule="auto"/>
              <w:jc w:val="center"/>
            </w:pPr>
            <w:r>
              <w:rPr>
                <w:rFonts w:ascii="Times New Roman" w:hAnsi="Times New Roman"/>
                <w:b/>
                <w:color w:val="000000"/>
                <w:sz w:val="18"/>
              </w:rPr>
              <w:t>Low tension demand US$</w:t>
            </w:r>
          </w:p>
        </w:tc>
        <w:tc>
          <w:tcPr>
            <w:tcW w:type="dxa" w:w="2304"/>
            <w:shd w:fill="E9EDF2"/>
            <w:vAlign w:val="center"/>
          </w:tcPr>
          <w:p>
            <w:pPr>
              <w:keepNext w:val="0"/>
              <w:spacing w:before="0" w:after="20" w:line="240" w:lineRule="auto"/>
              <w:jc w:val="center"/>
            </w:pPr>
            <w:r>
              <w:rPr>
                <w:rFonts w:ascii="Times New Roman" w:hAnsi="Times New Roman"/>
                <w:b/>
                <w:color w:val="000000"/>
                <w:sz w:val="18"/>
              </w:rPr>
              <w:t>Low tension subtotal US$</w:t>
            </w:r>
          </w:p>
        </w:tc>
      </w:tr>
      <w:tr>
        <w:trPr>
          <w:cantSplit/>
        </w:trPr>
        <w:tc>
          <w:tcPr>
            <w:tcW w:type="dxa" w:w="792"/>
            <w:vAlign w:val="center"/>
            <w:shd w:fill="FFFFFF"/>
          </w:tcPr>
          <w:p>
            <w:pPr>
              <w:keepNext w:val="0"/>
              <w:spacing w:before="0" w:after="20" w:line="240" w:lineRule="auto"/>
              <w:jc w:val="left"/>
            </w:pPr>
            <w:r>
              <w:rPr>
                <w:rFonts w:ascii="Times New Roman" w:hAnsi="Times New Roman"/>
                <w:b w:val="0"/>
                <w:color w:val="000000"/>
                <w:sz w:val="18"/>
              </w:rPr>
              <w:t>1</w:t>
            </w:r>
          </w:p>
        </w:tc>
        <w:tc>
          <w:tcPr>
            <w:tcW w:type="dxa" w:w="2232"/>
            <w:vAlign w:val="center"/>
            <w:shd w:fill="FFFFFF"/>
          </w:tcPr>
          <w:p>
            <w:pPr>
              <w:keepNext w:val="0"/>
              <w:spacing w:before="0" w:after="20" w:line="240" w:lineRule="auto"/>
              <w:jc w:val="center"/>
            </w:pPr>
            <w:r>
              <w:rPr>
                <w:rFonts w:ascii="Times New Roman" w:hAnsi="Times New Roman"/>
                <w:b w:val="0"/>
                <w:color w:val="000000"/>
                <w:sz w:val="18"/>
              </w:rPr>
              <w:t>9,088.56</w:t>
            </w:r>
          </w:p>
        </w:tc>
        <w:tc>
          <w:tcPr>
            <w:tcW w:type="dxa" w:w="2304"/>
            <w:vAlign w:val="center"/>
            <w:shd w:fill="FFFFFF"/>
          </w:tcPr>
          <w:p>
            <w:pPr>
              <w:keepNext w:val="0"/>
              <w:spacing w:before="0" w:after="20" w:line="240" w:lineRule="auto"/>
              <w:jc w:val="center"/>
            </w:pPr>
            <w:r>
              <w:rPr>
                <w:rFonts w:ascii="Times New Roman" w:hAnsi="Times New Roman"/>
                <w:b w:val="0"/>
                <w:color w:val="000000"/>
                <w:sz w:val="18"/>
              </w:rPr>
              <w:t>15,128.42</w:t>
            </w:r>
          </w:p>
        </w:tc>
        <w:tc>
          <w:tcPr>
            <w:tcW w:type="dxa" w:w="2232"/>
            <w:vAlign w:val="center"/>
            <w:shd w:fill="FFFFFF"/>
          </w:tcPr>
          <w:p>
            <w:pPr>
              <w:keepNext w:val="0"/>
              <w:spacing w:before="0" w:after="20" w:line="240" w:lineRule="auto"/>
              <w:jc w:val="center"/>
            </w:pPr>
            <w:r>
              <w:rPr>
                <w:rFonts w:ascii="Times New Roman" w:hAnsi="Times New Roman"/>
                <w:b w:val="0"/>
                <w:color w:val="000000"/>
                <w:sz w:val="18"/>
              </w:rPr>
              <w:t>9,088.56</w:t>
            </w:r>
          </w:p>
        </w:tc>
        <w:tc>
          <w:tcPr>
            <w:tcW w:type="dxa" w:w="2304"/>
            <w:vAlign w:val="center"/>
            <w:shd w:fill="FFFFFF"/>
          </w:tcPr>
          <w:p>
            <w:pPr>
              <w:keepNext w:val="0"/>
              <w:spacing w:before="0" w:after="20" w:line="240" w:lineRule="auto"/>
              <w:jc w:val="center"/>
            </w:pPr>
            <w:r>
              <w:rPr>
                <w:rFonts w:ascii="Times New Roman" w:hAnsi="Times New Roman"/>
                <w:b w:val="0"/>
                <w:color w:val="000000"/>
                <w:sz w:val="18"/>
              </w:rPr>
              <w:t>15,128.42</w:t>
            </w:r>
          </w:p>
        </w:tc>
      </w:tr>
      <w:tr>
        <w:trPr>
          <w:cantSplit/>
        </w:trPr>
        <w:tc>
          <w:tcPr>
            <w:tcW w:type="dxa" w:w="792"/>
            <w:vAlign w:val="center"/>
            <w:shd w:fill="FFFFFF"/>
          </w:tcPr>
          <w:p>
            <w:pPr>
              <w:keepNext w:val="0"/>
              <w:spacing w:before="0" w:after="20" w:line="240" w:lineRule="auto"/>
              <w:jc w:val="left"/>
            </w:pPr>
            <w:r>
              <w:rPr>
                <w:rFonts w:ascii="Times New Roman" w:hAnsi="Times New Roman"/>
                <w:b w:val="0"/>
                <w:color w:val="000000"/>
                <w:sz w:val="18"/>
              </w:rPr>
              <w:t>2</w:t>
            </w:r>
          </w:p>
        </w:tc>
        <w:tc>
          <w:tcPr>
            <w:tcW w:type="dxa" w:w="2232"/>
            <w:vAlign w:val="center"/>
            <w:shd w:fill="FFFFFF"/>
          </w:tcPr>
          <w:p>
            <w:pPr>
              <w:keepNext w:val="0"/>
              <w:spacing w:before="0" w:after="20" w:line="240" w:lineRule="auto"/>
              <w:jc w:val="center"/>
            </w:pPr>
            <w:r>
              <w:rPr>
                <w:rFonts w:ascii="Times New Roman" w:hAnsi="Times New Roman"/>
                <w:b w:val="0"/>
                <w:color w:val="000000"/>
                <w:sz w:val="18"/>
              </w:rPr>
              <w:t>-1,753.96</w:t>
            </w:r>
          </w:p>
        </w:tc>
        <w:tc>
          <w:tcPr>
            <w:tcW w:type="dxa" w:w="2304"/>
            <w:vAlign w:val="center"/>
            <w:shd w:fill="FFFFFF"/>
          </w:tcPr>
          <w:p>
            <w:pPr>
              <w:keepNext w:val="0"/>
              <w:spacing w:before="0" w:after="20" w:line="240" w:lineRule="auto"/>
              <w:jc w:val="center"/>
            </w:pPr>
            <w:r>
              <w:rPr>
                <w:rFonts w:ascii="Times New Roman" w:hAnsi="Times New Roman"/>
                <w:b w:val="0"/>
                <w:color w:val="000000"/>
                <w:sz w:val="18"/>
              </w:rPr>
              <w:t>1,219.22</w:t>
            </w:r>
          </w:p>
        </w:tc>
        <w:tc>
          <w:tcPr>
            <w:tcW w:type="dxa" w:w="2232"/>
            <w:vAlign w:val="center"/>
            <w:shd w:fill="FFFFFF"/>
          </w:tcPr>
          <w:p>
            <w:pPr>
              <w:keepNext w:val="0"/>
              <w:spacing w:before="0" w:after="20" w:line="240" w:lineRule="auto"/>
              <w:jc w:val="center"/>
            </w:pPr>
            <w:r>
              <w:rPr>
                <w:rFonts w:ascii="Times New Roman" w:hAnsi="Times New Roman"/>
                <w:b w:val="0"/>
                <w:color w:val="000000"/>
                <w:sz w:val="18"/>
              </w:rPr>
              <w:t>-2,689.04</w:t>
            </w:r>
          </w:p>
        </w:tc>
        <w:tc>
          <w:tcPr>
            <w:tcW w:type="dxa" w:w="2304"/>
            <w:vAlign w:val="center"/>
            <w:shd w:fill="FFFFFF"/>
          </w:tcPr>
          <w:p>
            <w:pPr>
              <w:keepNext w:val="0"/>
              <w:spacing w:before="0" w:after="20" w:line="240" w:lineRule="auto"/>
              <w:jc w:val="center"/>
            </w:pPr>
            <w:r>
              <w:rPr>
                <w:rFonts w:ascii="Times New Roman" w:hAnsi="Times New Roman"/>
                <w:b w:val="0"/>
                <w:color w:val="000000"/>
                <w:sz w:val="18"/>
              </w:rPr>
              <w:t>284.15</w:t>
            </w:r>
          </w:p>
        </w:tc>
      </w:tr>
      <w:tr>
        <w:trPr>
          <w:cantSplit/>
        </w:trPr>
        <w:tc>
          <w:tcPr>
            <w:tcW w:type="dxa" w:w="792"/>
            <w:vAlign w:val="center"/>
            <w:shd w:fill="FFFFFF"/>
          </w:tcPr>
          <w:p>
            <w:pPr>
              <w:keepNext w:val="0"/>
              <w:spacing w:before="0" w:after="20" w:line="240" w:lineRule="auto"/>
              <w:jc w:val="left"/>
            </w:pPr>
            <w:r>
              <w:rPr>
                <w:rFonts w:ascii="Times New Roman" w:hAnsi="Times New Roman"/>
                <w:b w:val="0"/>
                <w:color w:val="000000"/>
                <w:sz w:val="18"/>
              </w:rPr>
              <w:t>3</w:t>
            </w:r>
          </w:p>
        </w:tc>
        <w:tc>
          <w:tcPr>
            <w:tcW w:type="dxa" w:w="2232"/>
            <w:vAlign w:val="center"/>
            <w:shd w:fill="FFFFFF"/>
          </w:tcPr>
          <w:p>
            <w:pPr>
              <w:keepNext w:val="0"/>
              <w:spacing w:before="0" w:after="20" w:line="240" w:lineRule="auto"/>
              <w:jc w:val="center"/>
            </w:pPr>
            <w:r>
              <w:rPr>
                <w:rFonts w:ascii="Times New Roman" w:hAnsi="Times New Roman"/>
                <w:b w:val="0"/>
                <w:color w:val="000000"/>
                <w:sz w:val="18"/>
              </w:rPr>
              <w:t>4,067.93</w:t>
            </w:r>
          </w:p>
        </w:tc>
        <w:tc>
          <w:tcPr>
            <w:tcW w:type="dxa" w:w="2304"/>
            <w:vAlign w:val="center"/>
            <w:shd w:fill="FFFFFF"/>
          </w:tcPr>
          <w:p>
            <w:pPr>
              <w:keepNext w:val="0"/>
              <w:spacing w:before="0" w:after="20" w:line="240" w:lineRule="auto"/>
              <w:jc w:val="center"/>
            </w:pPr>
            <w:r>
              <w:rPr>
                <w:rFonts w:ascii="Times New Roman" w:hAnsi="Times New Roman"/>
                <w:b w:val="0"/>
                <w:color w:val="000000"/>
                <w:sz w:val="18"/>
              </w:rPr>
              <w:t>6,438.13</w:t>
            </w:r>
          </w:p>
        </w:tc>
        <w:tc>
          <w:tcPr>
            <w:tcW w:type="dxa" w:w="2232"/>
            <w:vAlign w:val="center"/>
            <w:shd w:fill="FFFFFF"/>
          </w:tcPr>
          <w:p>
            <w:pPr>
              <w:keepNext w:val="0"/>
              <w:spacing w:before="0" w:after="20" w:line="240" w:lineRule="auto"/>
              <w:jc w:val="center"/>
            </w:pPr>
            <w:r>
              <w:rPr>
                <w:rFonts w:ascii="Times New Roman" w:hAnsi="Times New Roman"/>
                <w:b w:val="0"/>
                <w:color w:val="000000"/>
                <w:sz w:val="18"/>
              </w:rPr>
              <w:t>4,136.38</w:t>
            </w:r>
          </w:p>
        </w:tc>
        <w:tc>
          <w:tcPr>
            <w:tcW w:type="dxa" w:w="2304"/>
            <w:vAlign w:val="center"/>
            <w:shd w:fill="FFFFFF"/>
          </w:tcPr>
          <w:p>
            <w:pPr>
              <w:keepNext w:val="0"/>
              <w:spacing w:before="0" w:after="20" w:line="240" w:lineRule="auto"/>
              <w:jc w:val="center"/>
            </w:pPr>
            <w:r>
              <w:rPr>
                <w:rFonts w:ascii="Times New Roman" w:hAnsi="Times New Roman"/>
                <w:b w:val="0"/>
                <w:color w:val="000000"/>
                <w:sz w:val="18"/>
              </w:rPr>
              <w:t>6,506.58</w:t>
            </w:r>
          </w:p>
        </w:tc>
      </w:tr>
      <w:tr>
        <w:trPr>
          <w:cantSplit/>
        </w:trPr>
        <w:tc>
          <w:tcPr>
            <w:tcW w:type="dxa" w:w="792"/>
            <w:vAlign w:val="center"/>
            <w:shd w:fill="FFFFFF"/>
          </w:tcPr>
          <w:p>
            <w:pPr>
              <w:keepNext w:val="0"/>
              <w:spacing w:before="0" w:after="20" w:line="240" w:lineRule="auto"/>
              <w:jc w:val="left"/>
            </w:pPr>
            <w:r>
              <w:rPr>
                <w:rFonts w:ascii="Times New Roman" w:hAnsi="Times New Roman"/>
                <w:b w:val="0"/>
                <w:color w:val="000000"/>
                <w:sz w:val="18"/>
              </w:rPr>
              <w:t>4</w:t>
            </w:r>
          </w:p>
        </w:tc>
        <w:tc>
          <w:tcPr>
            <w:tcW w:type="dxa" w:w="2232"/>
            <w:vAlign w:val="center"/>
            <w:shd w:fill="FFFFFF"/>
          </w:tcPr>
          <w:p>
            <w:pPr>
              <w:keepNext w:val="0"/>
              <w:spacing w:before="0" w:after="20" w:line="240" w:lineRule="auto"/>
              <w:jc w:val="center"/>
            </w:pPr>
            <w:r>
              <w:rPr>
                <w:rFonts w:ascii="Times New Roman" w:hAnsi="Times New Roman"/>
                <w:b w:val="0"/>
                <w:color w:val="000000"/>
                <w:sz w:val="18"/>
              </w:rPr>
              <w:t>3,019.09</w:t>
            </w:r>
          </w:p>
        </w:tc>
        <w:tc>
          <w:tcPr>
            <w:tcW w:type="dxa" w:w="2304"/>
            <w:vAlign w:val="center"/>
            <w:shd w:fill="FFFFFF"/>
          </w:tcPr>
          <w:p>
            <w:pPr>
              <w:keepNext w:val="0"/>
              <w:spacing w:before="0" w:after="20" w:line="240" w:lineRule="auto"/>
              <w:jc w:val="center"/>
            </w:pPr>
            <w:r>
              <w:rPr>
                <w:rFonts w:ascii="Times New Roman" w:hAnsi="Times New Roman"/>
                <w:b w:val="0"/>
                <w:color w:val="000000"/>
                <w:sz w:val="18"/>
              </w:rPr>
              <w:t>4,358.55</w:t>
            </w:r>
          </w:p>
        </w:tc>
        <w:tc>
          <w:tcPr>
            <w:tcW w:type="dxa" w:w="2232"/>
            <w:vAlign w:val="center"/>
            <w:shd w:fill="FFFFFF"/>
          </w:tcPr>
          <w:p>
            <w:pPr>
              <w:keepNext w:val="0"/>
              <w:spacing w:before="0" w:after="20" w:line="240" w:lineRule="auto"/>
              <w:jc w:val="center"/>
            </w:pPr>
            <w:r>
              <w:rPr>
                <w:rFonts w:ascii="Times New Roman" w:hAnsi="Times New Roman"/>
                <w:b w:val="0"/>
                <w:color w:val="000000"/>
                <w:sz w:val="18"/>
              </w:rPr>
              <w:t>2,389.34</w:t>
            </w:r>
          </w:p>
        </w:tc>
        <w:tc>
          <w:tcPr>
            <w:tcW w:type="dxa" w:w="2304"/>
            <w:vAlign w:val="center"/>
            <w:shd w:fill="FFFFFF"/>
          </w:tcPr>
          <w:p>
            <w:pPr>
              <w:keepNext w:val="0"/>
              <w:spacing w:before="0" w:after="20" w:line="240" w:lineRule="auto"/>
              <w:jc w:val="center"/>
            </w:pPr>
            <w:r>
              <w:rPr>
                <w:rFonts w:ascii="Times New Roman" w:hAnsi="Times New Roman"/>
                <w:b w:val="0"/>
                <w:color w:val="000000"/>
                <w:sz w:val="18"/>
              </w:rPr>
              <w:t>3,728.80</w:t>
            </w:r>
          </w:p>
        </w:tc>
      </w:tr>
      <w:tr>
        <w:trPr>
          <w:cantSplit/>
        </w:trPr>
        <w:tc>
          <w:tcPr>
            <w:tcW w:type="dxa" w:w="792"/>
            <w:vAlign w:val="center"/>
            <w:shd w:fill="FFFFFF"/>
          </w:tcPr>
          <w:p>
            <w:pPr>
              <w:keepNext w:val="0"/>
              <w:spacing w:before="0" w:after="20" w:line="240" w:lineRule="auto"/>
              <w:jc w:val="left"/>
            </w:pPr>
            <w:r>
              <w:rPr>
                <w:rFonts w:ascii="Times New Roman" w:hAnsi="Times New Roman"/>
                <w:b w:val="0"/>
                <w:color w:val="000000"/>
                <w:sz w:val="18"/>
              </w:rPr>
              <w:t>5</w:t>
            </w:r>
          </w:p>
        </w:tc>
        <w:tc>
          <w:tcPr>
            <w:tcW w:type="dxa" w:w="2232"/>
            <w:vAlign w:val="center"/>
            <w:shd w:fill="FFFFFF"/>
          </w:tcPr>
          <w:p>
            <w:pPr>
              <w:keepNext w:val="0"/>
              <w:spacing w:before="0" w:after="20" w:line="240" w:lineRule="auto"/>
              <w:jc w:val="center"/>
            </w:pPr>
            <w:r>
              <w:rPr>
                <w:rFonts w:ascii="Times New Roman" w:hAnsi="Times New Roman"/>
                <w:b w:val="0"/>
                <w:color w:val="000000"/>
                <w:sz w:val="18"/>
              </w:rPr>
              <w:t>7,257.36</w:t>
            </w:r>
          </w:p>
        </w:tc>
        <w:tc>
          <w:tcPr>
            <w:tcW w:type="dxa" w:w="2304"/>
            <w:vAlign w:val="center"/>
            <w:shd w:fill="FFFFFF"/>
          </w:tcPr>
          <w:p>
            <w:pPr>
              <w:keepNext w:val="0"/>
              <w:spacing w:before="0" w:after="20" w:line="240" w:lineRule="auto"/>
              <w:jc w:val="center"/>
            </w:pPr>
            <w:r>
              <w:rPr>
                <w:rFonts w:ascii="Times New Roman" w:hAnsi="Times New Roman"/>
                <w:b w:val="0"/>
                <w:color w:val="000000"/>
                <w:sz w:val="18"/>
              </w:rPr>
              <w:t>8,393.06</w:t>
            </w:r>
          </w:p>
        </w:tc>
        <w:tc>
          <w:tcPr>
            <w:tcW w:type="dxa" w:w="2232"/>
            <w:vAlign w:val="center"/>
            <w:shd w:fill="FFFFFF"/>
          </w:tcPr>
          <w:p>
            <w:pPr>
              <w:keepNext w:val="0"/>
              <w:spacing w:before="0" w:after="20" w:line="240" w:lineRule="auto"/>
              <w:jc w:val="center"/>
            </w:pPr>
            <w:r>
              <w:rPr>
                <w:rFonts w:ascii="Times New Roman" w:hAnsi="Times New Roman"/>
                <w:b w:val="0"/>
                <w:color w:val="000000"/>
                <w:sz w:val="18"/>
              </w:rPr>
              <w:t>7,001.36</w:t>
            </w:r>
          </w:p>
        </w:tc>
        <w:tc>
          <w:tcPr>
            <w:tcW w:type="dxa" w:w="2304"/>
            <w:vAlign w:val="center"/>
            <w:shd w:fill="FFFFFF"/>
          </w:tcPr>
          <w:p>
            <w:pPr>
              <w:keepNext w:val="0"/>
              <w:spacing w:before="0" w:after="20" w:line="240" w:lineRule="auto"/>
              <w:jc w:val="center"/>
            </w:pPr>
            <w:r>
              <w:rPr>
                <w:rFonts w:ascii="Times New Roman" w:hAnsi="Times New Roman"/>
                <w:b w:val="0"/>
                <w:color w:val="000000"/>
                <w:sz w:val="18"/>
              </w:rPr>
              <w:t>8,137.06</w:t>
            </w:r>
          </w:p>
        </w:tc>
      </w:tr>
      <w:tr>
        <w:trPr>
          <w:cantSplit/>
        </w:trPr>
        <w:tc>
          <w:tcPr>
            <w:tcW w:type="dxa" w:w="792"/>
            <w:vAlign w:val="center"/>
            <w:shd w:fill="FFFFFF"/>
          </w:tcPr>
          <w:p>
            <w:pPr>
              <w:keepNext w:val="0"/>
              <w:spacing w:before="0" w:after="20" w:line="240" w:lineRule="auto"/>
              <w:jc w:val="left"/>
            </w:pPr>
            <w:r>
              <w:rPr>
                <w:rFonts w:ascii="Times New Roman" w:hAnsi="Times New Roman"/>
                <w:b w:val="0"/>
                <w:color w:val="000000"/>
                <w:sz w:val="18"/>
              </w:rPr>
              <w:t>6</w:t>
            </w:r>
          </w:p>
        </w:tc>
        <w:tc>
          <w:tcPr>
            <w:tcW w:type="dxa" w:w="2232"/>
            <w:vAlign w:val="center"/>
            <w:shd w:fill="FFFFFF"/>
          </w:tcPr>
          <w:p>
            <w:pPr>
              <w:keepNext w:val="0"/>
              <w:spacing w:before="0" w:after="20" w:line="240" w:lineRule="auto"/>
              <w:jc w:val="center"/>
            </w:pPr>
            <w:r>
              <w:rPr>
                <w:rFonts w:ascii="Times New Roman" w:hAnsi="Times New Roman"/>
                <w:b w:val="0"/>
                <w:color w:val="000000"/>
                <w:sz w:val="18"/>
              </w:rPr>
              <w:t>4,590.49</w:t>
            </w:r>
          </w:p>
        </w:tc>
        <w:tc>
          <w:tcPr>
            <w:tcW w:type="dxa" w:w="2304"/>
            <w:vAlign w:val="center"/>
            <w:shd w:fill="FFFFFF"/>
          </w:tcPr>
          <w:p>
            <w:pPr>
              <w:keepNext w:val="0"/>
              <w:spacing w:before="0" w:after="20" w:line="240" w:lineRule="auto"/>
              <w:jc w:val="center"/>
            </w:pPr>
            <w:r>
              <w:rPr>
                <w:rFonts w:ascii="Times New Roman" w:hAnsi="Times New Roman"/>
                <w:b w:val="0"/>
                <w:color w:val="000000"/>
                <w:sz w:val="18"/>
              </w:rPr>
              <w:t>7,139.64</w:t>
            </w:r>
          </w:p>
        </w:tc>
        <w:tc>
          <w:tcPr>
            <w:tcW w:type="dxa" w:w="2232"/>
            <w:vAlign w:val="center"/>
            <w:shd w:fill="FFFFFF"/>
          </w:tcPr>
          <w:p>
            <w:pPr>
              <w:keepNext w:val="0"/>
              <w:spacing w:before="0" w:after="20" w:line="240" w:lineRule="auto"/>
              <w:jc w:val="center"/>
            </w:pPr>
            <w:r>
              <w:rPr>
                <w:rFonts w:ascii="Times New Roman" w:hAnsi="Times New Roman"/>
                <w:b w:val="0"/>
                <w:color w:val="000000"/>
                <w:sz w:val="18"/>
              </w:rPr>
              <w:t>4,590.49</w:t>
            </w:r>
          </w:p>
        </w:tc>
        <w:tc>
          <w:tcPr>
            <w:tcW w:type="dxa" w:w="2304"/>
            <w:vAlign w:val="center"/>
            <w:shd w:fill="FFFFFF"/>
          </w:tcPr>
          <w:p>
            <w:pPr>
              <w:keepNext w:val="0"/>
              <w:spacing w:before="0" w:after="20" w:line="240" w:lineRule="auto"/>
              <w:jc w:val="center"/>
            </w:pPr>
            <w:r>
              <w:rPr>
                <w:rFonts w:ascii="Times New Roman" w:hAnsi="Times New Roman"/>
                <w:b w:val="0"/>
                <w:color w:val="000000"/>
                <w:sz w:val="18"/>
              </w:rPr>
              <w:t>7,139.64</w:t>
            </w:r>
          </w:p>
        </w:tc>
      </w:tr>
      <w:tr>
        <w:trPr>
          <w:cantSplit/>
        </w:trPr>
        <w:tc>
          <w:tcPr>
            <w:tcW w:type="dxa" w:w="792"/>
            <w:vAlign w:val="center"/>
            <w:shd w:fill="FFFFFF"/>
          </w:tcPr>
          <w:p>
            <w:pPr>
              <w:keepNext w:val="0"/>
              <w:spacing w:before="0" w:after="20" w:line="240" w:lineRule="auto"/>
              <w:jc w:val="left"/>
            </w:pPr>
            <w:r>
              <w:rPr>
                <w:rFonts w:ascii="Times New Roman" w:hAnsi="Times New Roman"/>
                <w:b w:val="0"/>
                <w:color w:val="000000"/>
                <w:sz w:val="18"/>
              </w:rPr>
              <w:t>7</w:t>
            </w:r>
          </w:p>
        </w:tc>
        <w:tc>
          <w:tcPr>
            <w:tcW w:type="dxa" w:w="2232"/>
            <w:vAlign w:val="center"/>
            <w:shd w:fill="FFFFFF"/>
          </w:tcPr>
          <w:p>
            <w:pPr>
              <w:keepNext w:val="0"/>
              <w:spacing w:before="0" w:after="20" w:line="240" w:lineRule="auto"/>
              <w:jc w:val="center"/>
            </w:pPr>
            <w:r>
              <w:rPr>
                <w:rFonts w:ascii="Times New Roman" w:hAnsi="Times New Roman"/>
                <w:b w:val="0"/>
                <w:color w:val="000000"/>
                <w:sz w:val="18"/>
              </w:rPr>
              <w:t>1,193.42</w:t>
            </w:r>
          </w:p>
        </w:tc>
        <w:tc>
          <w:tcPr>
            <w:tcW w:type="dxa" w:w="2304"/>
            <w:vAlign w:val="center"/>
            <w:shd w:fill="FFFFFF"/>
          </w:tcPr>
          <w:p>
            <w:pPr>
              <w:keepNext w:val="0"/>
              <w:spacing w:before="0" w:after="20" w:line="240" w:lineRule="auto"/>
              <w:jc w:val="center"/>
            </w:pPr>
            <w:r>
              <w:rPr>
                <w:rFonts w:ascii="Times New Roman" w:hAnsi="Times New Roman"/>
                <w:b w:val="0"/>
                <w:color w:val="000000"/>
                <w:sz w:val="18"/>
              </w:rPr>
              <w:t>7,016.43</w:t>
            </w:r>
          </w:p>
        </w:tc>
        <w:tc>
          <w:tcPr>
            <w:tcW w:type="dxa" w:w="2232"/>
            <w:vAlign w:val="center"/>
            <w:shd w:fill="FFFFFF"/>
          </w:tcPr>
          <w:p>
            <w:pPr>
              <w:keepNext w:val="0"/>
              <w:spacing w:before="0" w:after="20" w:line="240" w:lineRule="auto"/>
              <w:jc w:val="center"/>
            </w:pPr>
            <w:r>
              <w:rPr>
                <w:rFonts w:ascii="Times New Roman" w:hAnsi="Times New Roman"/>
                <w:b w:val="0"/>
                <w:color w:val="000000"/>
                <w:sz w:val="18"/>
              </w:rPr>
              <w:t>1,188.00</w:t>
            </w:r>
          </w:p>
        </w:tc>
        <w:tc>
          <w:tcPr>
            <w:tcW w:type="dxa" w:w="2304"/>
            <w:vAlign w:val="center"/>
            <w:shd w:fill="FFFFFF"/>
          </w:tcPr>
          <w:p>
            <w:pPr>
              <w:keepNext w:val="0"/>
              <w:spacing w:before="0" w:after="20" w:line="240" w:lineRule="auto"/>
              <w:jc w:val="center"/>
            </w:pPr>
            <w:r>
              <w:rPr>
                <w:rFonts w:ascii="Times New Roman" w:hAnsi="Times New Roman"/>
                <w:b w:val="0"/>
                <w:color w:val="000000"/>
                <w:sz w:val="18"/>
              </w:rPr>
              <w:t>7,011.01</w:t>
            </w:r>
          </w:p>
        </w:tc>
      </w:tr>
      <w:tr>
        <w:trPr>
          <w:cantSplit/>
        </w:trPr>
        <w:tc>
          <w:tcPr>
            <w:tcW w:type="dxa" w:w="792"/>
            <w:vAlign w:val="center"/>
            <w:shd w:fill="FFFFFF"/>
          </w:tcPr>
          <w:p>
            <w:pPr>
              <w:keepNext w:val="0"/>
              <w:spacing w:before="0" w:after="20" w:line="240" w:lineRule="auto"/>
              <w:jc w:val="left"/>
            </w:pPr>
            <w:r>
              <w:rPr>
                <w:rFonts w:ascii="Times New Roman" w:hAnsi="Times New Roman"/>
                <w:b w:val="0"/>
                <w:color w:val="000000"/>
                <w:sz w:val="18"/>
              </w:rPr>
              <w:t>8</w:t>
            </w:r>
          </w:p>
        </w:tc>
        <w:tc>
          <w:tcPr>
            <w:tcW w:type="dxa" w:w="2232"/>
            <w:vAlign w:val="center"/>
            <w:shd w:fill="FFFFFF"/>
          </w:tcPr>
          <w:p>
            <w:pPr>
              <w:keepNext w:val="0"/>
              <w:spacing w:before="0" w:after="20" w:line="240" w:lineRule="auto"/>
              <w:jc w:val="center"/>
            </w:pPr>
            <w:r>
              <w:rPr>
                <w:rFonts w:ascii="Times New Roman" w:hAnsi="Times New Roman"/>
                <w:b w:val="0"/>
                <w:color w:val="000000"/>
                <w:sz w:val="18"/>
              </w:rPr>
              <w:t>6,031.23</w:t>
            </w:r>
          </w:p>
        </w:tc>
        <w:tc>
          <w:tcPr>
            <w:tcW w:type="dxa" w:w="2304"/>
            <w:vAlign w:val="center"/>
            <w:shd w:fill="FFFFFF"/>
          </w:tcPr>
          <w:p>
            <w:pPr>
              <w:keepNext w:val="0"/>
              <w:spacing w:before="0" w:after="20" w:line="240" w:lineRule="auto"/>
              <w:jc w:val="center"/>
            </w:pPr>
            <w:r>
              <w:rPr>
                <w:rFonts w:ascii="Times New Roman" w:hAnsi="Times New Roman"/>
                <w:b w:val="0"/>
                <w:color w:val="000000"/>
                <w:sz w:val="18"/>
              </w:rPr>
              <w:t>8,399.88</w:t>
            </w:r>
          </w:p>
        </w:tc>
        <w:tc>
          <w:tcPr>
            <w:tcW w:type="dxa" w:w="2232"/>
            <w:vAlign w:val="center"/>
            <w:shd w:fill="FFFFFF"/>
          </w:tcPr>
          <w:p>
            <w:pPr>
              <w:keepNext w:val="0"/>
              <w:spacing w:before="0" w:after="20" w:line="240" w:lineRule="auto"/>
              <w:jc w:val="center"/>
            </w:pPr>
            <w:r>
              <w:rPr>
                <w:rFonts w:ascii="Times New Roman" w:hAnsi="Times New Roman"/>
                <w:b w:val="0"/>
                <w:color w:val="000000"/>
                <w:sz w:val="18"/>
              </w:rPr>
              <w:t>6,025.82</w:t>
            </w:r>
          </w:p>
        </w:tc>
        <w:tc>
          <w:tcPr>
            <w:tcW w:type="dxa" w:w="2304"/>
            <w:vAlign w:val="center"/>
            <w:shd w:fill="FFFFFF"/>
          </w:tcPr>
          <w:p>
            <w:pPr>
              <w:keepNext w:val="0"/>
              <w:spacing w:before="0" w:after="20" w:line="240" w:lineRule="auto"/>
              <w:jc w:val="center"/>
            </w:pPr>
            <w:r>
              <w:rPr>
                <w:rFonts w:ascii="Times New Roman" w:hAnsi="Times New Roman"/>
                <w:b w:val="0"/>
                <w:color w:val="000000"/>
                <w:sz w:val="18"/>
              </w:rPr>
              <w:t>8,394.47</w:t>
            </w:r>
          </w:p>
        </w:tc>
      </w:tr>
      <w:tr>
        <w:trPr>
          <w:cantSplit/>
        </w:trPr>
        <w:tc>
          <w:tcPr>
            <w:tcW w:type="dxa" w:w="792"/>
            <w:vAlign w:val="center"/>
            <w:shd w:fill="FFFFFF"/>
          </w:tcPr>
          <w:p>
            <w:pPr>
              <w:keepNext w:val="0"/>
              <w:spacing w:before="0" w:after="20" w:line="240" w:lineRule="auto"/>
              <w:jc w:val="left"/>
            </w:pPr>
            <w:r>
              <w:rPr>
                <w:rFonts w:ascii="Times New Roman" w:hAnsi="Times New Roman"/>
                <w:b w:val="0"/>
                <w:color w:val="000000"/>
                <w:sz w:val="18"/>
              </w:rPr>
              <w:t>9</w:t>
            </w:r>
          </w:p>
        </w:tc>
        <w:tc>
          <w:tcPr>
            <w:tcW w:type="dxa" w:w="2232"/>
            <w:vAlign w:val="center"/>
            <w:shd w:fill="FFFFFF"/>
          </w:tcPr>
          <w:p>
            <w:pPr>
              <w:keepNext w:val="0"/>
              <w:spacing w:before="0" w:after="20" w:line="240" w:lineRule="auto"/>
              <w:jc w:val="center"/>
            </w:pPr>
            <w:r>
              <w:rPr>
                <w:rFonts w:ascii="Times New Roman" w:hAnsi="Times New Roman"/>
                <w:b w:val="0"/>
                <w:color w:val="000000"/>
                <w:sz w:val="18"/>
              </w:rPr>
              <w:t>25,709.38</w:t>
            </w:r>
          </w:p>
        </w:tc>
        <w:tc>
          <w:tcPr>
            <w:tcW w:type="dxa" w:w="2304"/>
            <w:vAlign w:val="center"/>
            <w:shd w:fill="FFFFFF"/>
          </w:tcPr>
          <w:p>
            <w:pPr>
              <w:keepNext w:val="0"/>
              <w:spacing w:before="0" w:after="20" w:line="240" w:lineRule="auto"/>
              <w:jc w:val="center"/>
            </w:pPr>
            <w:r>
              <w:rPr>
                <w:rFonts w:ascii="Times New Roman" w:hAnsi="Times New Roman"/>
                <w:b w:val="0"/>
                <w:color w:val="000000"/>
                <w:sz w:val="18"/>
              </w:rPr>
              <w:t>27,534.92</w:t>
            </w:r>
          </w:p>
        </w:tc>
        <w:tc>
          <w:tcPr>
            <w:tcW w:type="dxa" w:w="2232"/>
            <w:vAlign w:val="center"/>
            <w:shd w:fill="FFFFFF"/>
          </w:tcPr>
          <w:p>
            <w:pPr>
              <w:keepNext w:val="0"/>
              <w:spacing w:before="0" w:after="20" w:line="240" w:lineRule="auto"/>
              <w:jc w:val="center"/>
            </w:pPr>
            <w:r>
              <w:rPr>
                <w:rFonts w:ascii="Times New Roman" w:hAnsi="Times New Roman"/>
                <w:b w:val="0"/>
                <w:color w:val="000000"/>
                <w:sz w:val="18"/>
              </w:rPr>
              <w:t>25,433.20</w:t>
            </w:r>
          </w:p>
        </w:tc>
        <w:tc>
          <w:tcPr>
            <w:tcW w:type="dxa" w:w="2304"/>
            <w:vAlign w:val="center"/>
            <w:shd w:fill="FFFFFF"/>
          </w:tcPr>
          <w:p>
            <w:pPr>
              <w:keepNext w:val="0"/>
              <w:spacing w:before="0" w:after="20" w:line="240" w:lineRule="auto"/>
              <w:jc w:val="center"/>
            </w:pPr>
            <w:r>
              <w:rPr>
                <w:rFonts w:ascii="Times New Roman" w:hAnsi="Times New Roman"/>
                <w:b w:val="0"/>
                <w:color w:val="000000"/>
                <w:sz w:val="18"/>
              </w:rPr>
              <w:t>27,258.74</w:t>
            </w:r>
          </w:p>
        </w:tc>
      </w:tr>
      <w:tr>
        <w:trPr>
          <w:cantSplit/>
        </w:trPr>
        <w:tc>
          <w:tcPr>
            <w:tcW w:type="dxa" w:w="792"/>
            <w:vAlign w:val="center"/>
            <w:shd w:fill="FFFFFF"/>
          </w:tcPr>
          <w:p>
            <w:pPr>
              <w:keepNext w:val="0"/>
              <w:spacing w:before="0" w:after="20" w:line="240" w:lineRule="auto"/>
              <w:jc w:val="left"/>
            </w:pPr>
            <w:r>
              <w:rPr>
                <w:rFonts w:ascii="Times New Roman" w:hAnsi="Times New Roman"/>
                <w:b w:val="0"/>
                <w:color w:val="000000"/>
                <w:sz w:val="18"/>
              </w:rPr>
              <w:t>10</w:t>
            </w:r>
          </w:p>
        </w:tc>
        <w:tc>
          <w:tcPr>
            <w:tcW w:type="dxa" w:w="2232"/>
            <w:vAlign w:val="center"/>
            <w:shd w:fill="FFFFFF"/>
          </w:tcPr>
          <w:p>
            <w:pPr>
              <w:keepNext w:val="0"/>
              <w:spacing w:before="0" w:after="20" w:line="240" w:lineRule="auto"/>
              <w:jc w:val="center"/>
            </w:pPr>
            <w:r>
              <w:rPr>
                <w:rFonts w:ascii="Times New Roman" w:hAnsi="Times New Roman"/>
                <w:b w:val="0"/>
                <w:color w:val="000000"/>
                <w:sz w:val="18"/>
              </w:rPr>
              <w:t>-7,123.61</w:t>
            </w:r>
          </w:p>
        </w:tc>
        <w:tc>
          <w:tcPr>
            <w:tcW w:type="dxa" w:w="2304"/>
            <w:vAlign w:val="center"/>
            <w:shd w:fill="FFFFFF"/>
          </w:tcPr>
          <w:p>
            <w:pPr>
              <w:keepNext w:val="0"/>
              <w:spacing w:before="0" w:after="20" w:line="240" w:lineRule="auto"/>
              <w:jc w:val="center"/>
            </w:pPr>
            <w:r>
              <w:rPr>
                <w:rFonts w:ascii="Times New Roman" w:hAnsi="Times New Roman"/>
                <w:b w:val="0"/>
                <w:color w:val="000000"/>
                <w:sz w:val="18"/>
              </w:rPr>
              <w:t>-5,147.97</w:t>
            </w:r>
          </w:p>
        </w:tc>
        <w:tc>
          <w:tcPr>
            <w:tcW w:type="dxa" w:w="2232"/>
            <w:vAlign w:val="center"/>
            <w:shd w:fill="FFFFFF"/>
          </w:tcPr>
          <w:p>
            <w:pPr>
              <w:keepNext w:val="0"/>
              <w:spacing w:before="0" w:after="20" w:line="240" w:lineRule="auto"/>
              <w:jc w:val="center"/>
            </w:pPr>
            <w:r>
              <w:rPr>
                <w:rFonts w:ascii="Times New Roman" w:hAnsi="Times New Roman"/>
                <w:b w:val="0"/>
                <w:color w:val="000000"/>
                <w:sz w:val="18"/>
              </w:rPr>
              <w:t>-6,004.98</w:t>
            </w:r>
          </w:p>
        </w:tc>
        <w:tc>
          <w:tcPr>
            <w:tcW w:type="dxa" w:w="2304"/>
            <w:vAlign w:val="center"/>
            <w:shd w:fill="FFFFFF"/>
          </w:tcPr>
          <w:p>
            <w:pPr>
              <w:keepNext w:val="0"/>
              <w:spacing w:before="0" w:after="20" w:line="240" w:lineRule="auto"/>
              <w:jc w:val="center"/>
            </w:pPr>
            <w:r>
              <w:rPr>
                <w:rFonts w:ascii="Times New Roman" w:hAnsi="Times New Roman"/>
                <w:b w:val="0"/>
                <w:color w:val="000000"/>
                <w:sz w:val="18"/>
              </w:rPr>
              <w:t>-4,029.34</w:t>
            </w:r>
          </w:p>
        </w:tc>
      </w:tr>
      <w:tr>
        <w:trPr>
          <w:cantSplit/>
        </w:trPr>
        <w:tc>
          <w:tcPr>
            <w:tcW w:type="dxa" w:w="792"/>
            <w:vAlign w:val="center"/>
            <w:shd w:fill="FFFFFF"/>
          </w:tcPr>
          <w:p>
            <w:pPr>
              <w:keepNext w:val="0"/>
              <w:spacing w:before="0" w:after="20" w:line="240" w:lineRule="auto"/>
              <w:jc w:val="left"/>
            </w:pPr>
            <w:r>
              <w:rPr>
                <w:rFonts w:ascii="Times New Roman" w:hAnsi="Times New Roman"/>
                <w:b w:val="0"/>
                <w:color w:val="000000"/>
                <w:sz w:val="18"/>
              </w:rPr>
              <w:t>11</w:t>
            </w:r>
          </w:p>
        </w:tc>
        <w:tc>
          <w:tcPr>
            <w:tcW w:type="dxa" w:w="2232"/>
            <w:vAlign w:val="center"/>
            <w:shd w:fill="FFFFFF"/>
          </w:tcPr>
          <w:p>
            <w:pPr>
              <w:keepNext w:val="0"/>
              <w:spacing w:before="0" w:after="20" w:line="240" w:lineRule="auto"/>
              <w:jc w:val="center"/>
            </w:pPr>
            <w:r>
              <w:rPr>
                <w:rFonts w:ascii="Times New Roman" w:hAnsi="Times New Roman"/>
                <w:b w:val="0"/>
                <w:color w:val="000000"/>
                <w:sz w:val="18"/>
              </w:rPr>
              <w:t>-12,290.85</w:t>
            </w:r>
          </w:p>
        </w:tc>
        <w:tc>
          <w:tcPr>
            <w:tcW w:type="dxa" w:w="2304"/>
            <w:vAlign w:val="center"/>
            <w:shd w:fill="FFFFFF"/>
          </w:tcPr>
          <w:p>
            <w:pPr>
              <w:keepNext w:val="0"/>
              <w:spacing w:before="0" w:after="20" w:line="240" w:lineRule="auto"/>
              <w:jc w:val="center"/>
            </w:pPr>
            <w:r>
              <w:rPr>
                <w:rFonts w:ascii="Times New Roman" w:hAnsi="Times New Roman"/>
                <w:b w:val="0"/>
                <w:color w:val="000000"/>
                <w:sz w:val="18"/>
              </w:rPr>
              <w:t>-10,961.97</w:t>
            </w:r>
          </w:p>
        </w:tc>
        <w:tc>
          <w:tcPr>
            <w:tcW w:type="dxa" w:w="2232"/>
            <w:vAlign w:val="center"/>
            <w:shd w:fill="FFFFFF"/>
          </w:tcPr>
          <w:p>
            <w:pPr>
              <w:keepNext w:val="0"/>
              <w:spacing w:before="0" w:after="20" w:line="240" w:lineRule="auto"/>
              <w:jc w:val="center"/>
            </w:pPr>
            <w:r>
              <w:rPr>
                <w:rFonts w:ascii="Times New Roman" w:hAnsi="Times New Roman"/>
                <w:b w:val="0"/>
                <w:color w:val="000000"/>
                <w:sz w:val="18"/>
              </w:rPr>
              <w:t>-16,069.19</w:t>
            </w:r>
          </w:p>
        </w:tc>
        <w:tc>
          <w:tcPr>
            <w:tcW w:type="dxa" w:w="2304"/>
            <w:vAlign w:val="center"/>
            <w:shd w:fill="FFFFFF"/>
          </w:tcPr>
          <w:p>
            <w:pPr>
              <w:keepNext w:val="0"/>
              <w:spacing w:before="0" w:after="20" w:line="240" w:lineRule="auto"/>
              <w:jc w:val="center"/>
            </w:pPr>
            <w:r>
              <w:rPr>
                <w:rFonts w:ascii="Times New Roman" w:hAnsi="Times New Roman"/>
                <w:b w:val="0"/>
                <w:color w:val="000000"/>
                <w:sz w:val="18"/>
              </w:rPr>
              <w:t>-14,740.30</w:t>
            </w:r>
          </w:p>
        </w:tc>
      </w:tr>
      <w:tr>
        <w:trPr>
          <w:cantSplit/>
        </w:trPr>
        <w:tc>
          <w:tcPr>
            <w:tcW w:type="dxa" w:w="792"/>
            <w:vAlign w:val="center"/>
            <w:shd w:fill="FFFFFF"/>
          </w:tcPr>
          <w:p>
            <w:pPr>
              <w:keepNext w:val="0"/>
              <w:spacing w:before="0" w:after="20" w:line="240" w:lineRule="auto"/>
              <w:jc w:val="left"/>
            </w:pPr>
            <w:r>
              <w:rPr>
                <w:rFonts w:ascii="Times New Roman" w:hAnsi="Times New Roman"/>
                <w:b w:val="0"/>
                <w:color w:val="000000"/>
                <w:sz w:val="18"/>
              </w:rPr>
              <w:t>12</w:t>
            </w:r>
          </w:p>
        </w:tc>
        <w:tc>
          <w:tcPr>
            <w:tcW w:type="dxa" w:w="2232"/>
            <w:vAlign w:val="center"/>
            <w:shd w:fill="FFFFFF"/>
          </w:tcPr>
          <w:p>
            <w:pPr>
              <w:keepNext w:val="0"/>
              <w:spacing w:before="0" w:after="20" w:line="240" w:lineRule="auto"/>
              <w:jc w:val="center"/>
            </w:pPr>
            <w:r>
              <w:rPr>
                <w:rFonts w:ascii="Times New Roman" w:hAnsi="Times New Roman"/>
                <w:b w:val="0"/>
                <w:color w:val="000000"/>
                <w:sz w:val="18"/>
              </w:rPr>
              <w:t>1,279.68</w:t>
            </w:r>
          </w:p>
        </w:tc>
        <w:tc>
          <w:tcPr>
            <w:tcW w:type="dxa" w:w="2304"/>
            <w:vAlign w:val="center"/>
            <w:shd w:fill="FFFFFF"/>
          </w:tcPr>
          <w:p>
            <w:pPr>
              <w:keepNext w:val="0"/>
              <w:spacing w:before="0" w:after="20" w:line="240" w:lineRule="auto"/>
              <w:jc w:val="center"/>
            </w:pPr>
            <w:r>
              <w:rPr>
                <w:rFonts w:ascii="Times New Roman" w:hAnsi="Times New Roman"/>
                <w:b w:val="0"/>
                <w:color w:val="000000"/>
                <w:sz w:val="18"/>
              </w:rPr>
              <w:t>5,442.49</w:t>
            </w:r>
          </w:p>
        </w:tc>
        <w:tc>
          <w:tcPr>
            <w:tcW w:type="dxa" w:w="2232"/>
            <w:vAlign w:val="center"/>
            <w:shd w:fill="FFFFFF"/>
          </w:tcPr>
          <w:p>
            <w:pPr>
              <w:keepNext w:val="0"/>
              <w:spacing w:before="0" w:after="20" w:line="240" w:lineRule="auto"/>
              <w:jc w:val="center"/>
            </w:pPr>
            <w:r>
              <w:rPr>
                <w:rFonts w:ascii="Times New Roman" w:hAnsi="Times New Roman"/>
                <w:b w:val="0"/>
                <w:color w:val="000000"/>
                <w:sz w:val="18"/>
              </w:rPr>
              <w:t>1,214.25</w:t>
            </w:r>
          </w:p>
        </w:tc>
        <w:tc>
          <w:tcPr>
            <w:tcW w:type="dxa" w:w="2304"/>
            <w:vAlign w:val="center"/>
            <w:shd w:fill="FFFFFF"/>
          </w:tcPr>
          <w:p>
            <w:pPr>
              <w:keepNext w:val="0"/>
              <w:spacing w:before="0" w:after="20" w:line="240" w:lineRule="auto"/>
              <w:jc w:val="center"/>
            </w:pPr>
            <w:r>
              <w:rPr>
                <w:rFonts w:ascii="Times New Roman" w:hAnsi="Times New Roman"/>
                <w:b w:val="0"/>
                <w:color w:val="000000"/>
                <w:sz w:val="18"/>
              </w:rPr>
              <w:t>5,377.06</w:t>
            </w:r>
          </w:p>
        </w:tc>
      </w:tr>
    </w:tbl>
    <w:p>
      <w:pPr>
        <w:widowControl/>
        <w:spacing w:after="120"/>
      </w:pPr>
    </w:p>
    <w:p>
      <w:pPr>
        <w:widowControl/>
        <w:spacing w:after="120"/>
      </w:pPr>
      <w:r>
        <w:t>Demand charges increase in February, October and November. Unresolved charges include ancillary/NTAC and transmission adders, Merchant Function Charge, CES supply, VDER recovery, the MAC adjustment factor, taxes, payment processing and export compensation; reactive-demand records are also unavailable. Some depend on imports or demand and cannot be assumed to cancel. Complete-bill fields remain empty. Sources: Con Edison January 2025 tariff, leaves 84–85, 330–330.1, 447 and 449, and monthly capacity/adjustment statements: https://www.coned.com/-/media/files/coned/documents/rates/electric/historical/psc-10/tariff/sc-202501.pdf; https://www.coned.com/en/rates-tariffs/rates/electric-rates-schedule/electric-psc-10.</w:t>
      </w:r>
    </w:p>
    <w:p>
      <w:pPr>
        <w:pStyle w:val="Heading1"/>
        <w:keepNext/>
        <w:widowControl/>
        <w:spacing w:before="280"/>
      </w:pPr>
      <w:r>
        <w:t>Boundary-matched finite-window opportunity certification</w:t>
      </w:r>
    </w:p>
    <w:p>
      <w:pPr>
        <w:widowControl/>
        <w:spacing w:after="120"/>
      </w:pPr>
      <w:r>
        <w:t>Seven- and thirty-day subproblems cover fixed routine dates, high-volatility and workload-burst windows selected using 2024 covariates, and the year-end boundary. The annual schedule outside each window, initial FIFO obligations and terminal cumulative service are common. Consequently, work shifted beyond a truncated reporting boundary cannot create artificial savings. Only the primary refinement is used; no forecasting or scheduling parameter is selected on 2025 outcomes.</w:t>
      </w:r>
    </w:p>
    <w:p>
      <w:pPr>
        <w:widowControl/>
        <w:spacing w:after="120"/>
      </w:pPr>
      <w:r>
        <w:t>The reported perfect-information search improves service transfers using the existing action grid, physical/reference knots, FIFO prefix constraints and original piecewise-linear cost. Future realised inputs guide the search. An exactly feasible, fully re-settled schedule supplies a lower opportunity bound; the independent Lagrangian supplies a cost floor and savings ceiling. The search is not asserted globally optimal. Section S20 specifies how a numerical candidate is converted into an exact feasible witness.</w:t>
      </w:r>
    </w:p>
    <w:p>
      <w:pPr>
        <w:pStyle w:val="Caption"/>
        <w:keepNext/>
        <w:widowControl/>
      </w:pPr>
      <w:r>
        <w:t>Supplementary Table 25. Online value A, feasible perfect-information value B and independent opportunity ceiling C under common window boundaries. Values and gaps are US dollars.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1728"/>
        <w:gridCol w:w="1325"/>
        <w:gridCol w:w="1397"/>
        <w:gridCol w:w="1397"/>
        <w:gridCol w:w="1253"/>
        <w:gridCol w:w="1267"/>
        <w:gridCol w:w="1498"/>
      </w:tblGrid>
      <w:tr>
        <w:trPr>
          <w:cantSplit/>
          <w:tblHeader w:val="true"/>
        </w:trPr>
        <w:tc>
          <w:tcPr>
            <w:tcW w:type="dxa" w:w="1728"/>
            <w:shd w:fill="E9EDF2"/>
            <w:vAlign w:val="center"/>
          </w:tcPr>
          <w:p>
            <w:pPr>
              <w:keepNext w:val="0"/>
              <w:spacing w:before="0" w:after="20" w:line="240" w:lineRule="auto"/>
              <w:jc w:val="left"/>
            </w:pPr>
            <w:r>
              <w:rPr>
                <w:rFonts w:ascii="Times New Roman" w:hAnsi="Times New Roman"/>
                <w:b/>
                <w:color w:val="000000"/>
                <w:sz w:val="17"/>
              </w:rPr>
              <w:t>Window</w:t>
            </w:r>
          </w:p>
        </w:tc>
        <w:tc>
          <w:tcPr>
            <w:tcW w:type="dxa" w:w="1325"/>
            <w:shd w:fill="E9EDF2"/>
            <w:vAlign w:val="center"/>
          </w:tcPr>
          <w:p>
            <w:pPr>
              <w:keepNext w:val="0"/>
              <w:spacing w:before="0" w:after="20" w:line="240" w:lineRule="auto"/>
              <w:jc w:val="center"/>
            </w:pPr>
            <w:r>
              <w:rPr>
                <w:rFonts w:ascii="Times New Roman" w:hAnsi="Times New Roman"/>
                <w:b/>
                <w:color w:val="000000"/>
                <w:sz w:val="17"/>
              </w:rPr>
              <w:t>A</w:t>
            </w:r>
          </w:p>
        </w:tc>
        <w:tc>
          <w:tcPr>
            <w:tcW w:type="dxa" w:w="1397"/>
            <w:shd w:fill="E9EDF2"/>
            <w:vAlign w:val="center"/>
          </w:tcPr>
          <w:p>
            <w:pPr>
              <w:keepNext w:val="0"/>
              <w:spacing w:before="0" w:after="20" w:line="240" w:lineRule="auto"/>
              <w:jc w:val="center"/>
            </w:pPr>
            <w:r>
              <w:rPr>
                <w:rFonts w:ascii="Times New Roman" w:hAnsi="Times New Roman"/>
                <w:b/>
                <w:color w:val="000000"/>
                <w:sz w:val="17"/>
              </w:rPr>
              <w:t>B</w:t>
            </w:r>
          </w:p>
        </w:tc>
        <w:tc>
          <w:tcPr>
            <w:tcW w:type="dxa" w:w="1397"/>
            <w:shd w:fill="E9EDF2"/>
            <w:vAlign w:val="center"/>
          </w:tcPr>
          <w:p>
            <w:pPr>
              <w:keepNext w:val="0"/>
              <w:spacing w:before="0" w:after="20" w:line="240" w:lineRule="auto"/>
              <w:jc w:val="center"/>
            </w:pPr>
            <w:r>
              <w:rPr>
                <w:rFonts w:ascii="Times New Roman" w:hAnsi="Times New Roman"/>
                <w:b/>
                <w:color w:val="000000"/>
                <w:sz w:val="17"/>
              </w:rPr>
              <w:t>C</w:t>
            </w:r>
          </w:p>
        </w:tc>
        <w:tc>
          <w:tcPr>
            <w:tcW w:type="dxa" w:w="1253"/>
            <w:shd w:fill="E9EDF2"/>
            <w:vAlign w:val="center"/>
          </w:tcPr>
          <w:p>
            <w:pPr>
              <w:keepNext w:val="0"/>
              <w:spacing w:before="0" w:after="20" w:line="240" w:lineRule="auto"/>
              <w:jc w:val="center"/>
            </w:pPr>
            <w:r>
              <w:rPr>
                <w:rFonts w:ascii="Times New Roman" w:hAnsi="Times New Roman"/>
                <w:b/>
                <w:color w:val="000000"/>
                <w:sz w:val="17"/>
              </w:rPr>
              <w:t>C − B</w:t>
            </w:r>
          </w:p>
        </w:tc>
        <w:tc>
          <w:tcPr>
            <w:tcW w:type="dxa" w:w="1267"/>
            <w:shd w:fill="E9EDF2"/>
            <w:vAlign w:val="center"/>
          </w:tcPr>
          <w:p>
            <w:pPr>
              <w:keepNext w:val="0"/>
              <w:spacing w:before="0" w:after="20" w:line="240" w:lineRule="auto"/>
              <w:jc w:val="center"/>
            </w:pPr>
            <w:r>
              <w:rPr>
                <w:rFonts w:ascii="Times New Roman" w:hAnsi="Times New Roman"/>
                <w:b/>
                <w:color w:val="000000"/>
                <w:sz w:val="17"/>
              </w:rPr>
              <w:t>B / C %</w:t>
            </w:r>
          </w:p>
        </w:tc>
        <w:tc>
          <w:tcPr>
            <w:tcW w:type="dxa" w:w="1498"/>
            <w:shd w:fill="E9EDF2"/>
            <w:vAlign w:val="center"/>
          </w:tcPr>
          <w:p>
            <w:pPr>
              <w:keepNext w:val="0"/>
              <w:spacing w:before="0" w:after="20" w:line="240" w:lineRule="auto"/>
              <w:jc w:val="center"/>
            </w:pPr>
            <w:r>
              <w:rPr>
                <w:rFonts w:ascii="Times New Roman" w:hAnsi="Times New Roman"/>
                <w:b/>
                <w:color w:val="000000"/>
                <w:sz w:val="17"/>
              </w:rPr>
              <w:t>Time s</w:t>
            </w:r>
          </w:p>
        </w:tc>
      </w:tr>
      <w:tr>
        <w:trPr>
          <w:cantSplit/>
        </w:trPr>
        <w:tc>
          <w:tcPr>
            <w:tcW w:type="dxa" w:w="1728"/>
            <w:vAlign w:val="center"/>
            <w:shd w:fill="FFFFFF"/>
          </w:tcPr>
          <w:p>
            <w:pPr>
              <w:keepNext w:val="0"/>
              <w:spacing w:before="0" w:after="20" w:line="240" w:lineRule="auto"/>
              <w:jc w:val="left"/>
            </w:pPr>
            <w:r>
              <w:rPr>
                <w:rFonts w:ascii="Times New Roman" w:hAnsi="Times New Roman"/>
                <w:b w:val="0"/>
                <w:color w:val="000000"/>
                <w:sz w:val="17"/>
              </w:rPr>
              <w:t>routine</w:t>
              <w:br/>
              <w:t>7 d</w:t>
            </w:r>
          </w:p>
        </w:tc>
        <w:tc>
          <w:tcPr>
            <w:tcW w:type="dxa" w:w="1325"/>
            <w:vAlign w:val="center"/>
            <w:shd w:fill="FFFFFF"/>
          </w:tcPr>
          <w:p>
            <w:pPr>
              <w:keepNext w:val="0"/>
              <w:spacing w:before="0" w:after="20" w:line="240" w:lineRule="auto"/>
              <w:jc w:val="center"/>
            </w:pPr>
            <w:r>
              <w:rPr>
                <w:rFonts w:ascii="Times New Roman" w:hAnsi="Times New Roman"/>
                <w:b w:val="0"/>
                <w:color w:val="000000"/>
                <w:sz w:val="17"/>
              </w:rPr>
              <w:t>762.62</w:t>
            </w:r>
          </w:p>
        </w:tc>
        <w:tc>
          <w:tcPr>
            <w:tcW w:type="dxa" w:w="1397"/>
            <w:vAlign w:val="center"/>
            <w:shd w:fill="FFFFFF"/>
          </w:tcPr>
          <w:p>
            <w:pPr>
              <w:keepNext w:val="0"/>
              <w:spacing w:before="0" w:after="20" w:line="240" w:lineRule="auto"/>
              <w:jc w:val="center"/>
            </w:pPr>
            <w:r>
              <w:rPr>
                <w:rFonts w:ascii="Times New Roman" w:hAnsi="Times New Roman"/>
                <w:b w:val="0"/>
                <w:color w:val="000000"/>
                <w:sz w:val="17"/>
              </w:rPr>
              <w:t>1,260.64</w:t>
            </w:r>
          </w:p>
        </w:tc>
        <w:tc>
          <w:tcPr>
            <w:tcW w:type="dxa" w:w="1397"/>
            <w:vAlign w:val="center"/>
            <w:shd w:fill="FFFFFF"/>
          </w:tcPr>
          <w:p>
            <w:pPr>
              <w:keepNext w:val="0"/>
              <w:spacing w:before="0" w:after="20" w:line="240" w:lineRule="auto"/>
              <w:jc w:val="center"/>
            </w:pPr>
            <w:r>
              <w:rPr>
                <w:rFonts w:ascii="Times New Roman" w:hAnsi="Times New Roman"/>
                <w:b w:val="0"/>
                <w:color w:val="000000"/>
                <w:sz w:val="17"/>
              </w:rPr>
              <w:t>1,267.66</w:t>
            </w:r>
          </w:p>
        </w:tc>
        <w:tc>
          <w:tcPr>
            <w:tcW w:type="dxa" w:w="1253"/>
            <w:vAlign w:val="center"/>
            <w:shd w:fill="FFFFFF"/>
          </w:tcPr>
          <w:p>
            <w:pPr>
              <w:keepNext w:val="0"/>
              <w:spacing w:before="0" w:after="20" w:line="240" w:lineRule="auto"/>
              <w:jc w:val="center"/>
            </w:pPr>
            <w:r>
              <w:rPr>
                <w:rFonts w:ascii="Times New Roman" w:hAnsi="Times New Roman"/>
                <w:b w:val="0"/>
                <w:color w:val="000000"/>
                <w:sz w:val="17"/>
              </w:rPr>
              <w:t>7.02</w:t>
            </w:r>
          </w:p>
        </w:tc>
        <w:tc>
          <w:tcPr>
            <w:tcW w:type="dxa" w:w="1267"/>
            <w:vAlign w:val="center"/>
            <w:shd w:fill="FFFFFF"/>
          </w:tcPr>
          <w:p>
            <w:pPr>
              <w:keepNext w:val="0"/>
              <w:spacing w:before="0" w:after="20" w:line="240" w:lineRule="auto"/>
              <w:jc w:val="center"/>
            </w:pPr>
            <w:r>
              <w:rPr>
                <w:rFonts w:ascii="Times New Roman" w:hAnsi="Times New Roman"/>
                <w:b w:val="0"/>
                <w:color w:val="000000"/>
                <w:sz w:val="17"/>
              </w:rPr>
              <w:t>99.45</w:t>
            </w:r>
          </w:p>
        </w:tc>
        <w:tc>
          <w:tcPr>
            <w:tcW w:type="dxa" w:w="1498"/>
            <w:vAlign w:val="center"/>
            <w:shd w:fill="FFFFFF"/>
          </w:tcPr>
          <w:p>
            <w:pPr>
              <w:keepNext w:val="0"/>
              <w:spacing w:before="0" w:after="20" w:line="240" w:lineRule="auto"/>
              <w:jc w:val="center"/>
            </w:pPr>
            <w:r>
              <w:rPr>
                <w:rFonts w:ascii="Times New Roman" w:hAnsi="Times New Roman"/>
                <w:b w:val="0"/>
                <w:color w:val="000000"/>
                <w:sz w:val="17"/>
              </w:rPr>
              <w:t>1.72</w:t>
            </w:r>
          </w:p>
        </w:tc>
      </w:tr>
      <w:tr>
        <w:trPr>
          <w:cantSplit/>
        </w:trPr>
        <w:tc>
          <w:tcPr>
            <w:tcW w:type="dxa" w:w="1728"/>
            <w:vAlign w:val="center"/>
            <w:shd w:fill="FFFFFF"/>
          </w:tcPr>
          <w:p>
            <w:pPr>
              <w:keepNext w:val="0"/>
              <w:spacing w:before="0" w:after="20" w:line="240" w:lineRule="auto"/>
              <w:jc w:val="left"/>
            </w:pPr>
            <w:r>
              <w:rPr>
                <w:rFonts w:ascii="Times New Roman" w:hAnsi="Times New Roman"/>
                <w:b w:val="0"/>
                <w:color w:val="000000"/>
                <w:sz w:val="17"/>
              </w:rPr>
              <w:t>volatile</w:t>
              <w:br/>
              <w:t>7 d</w:t>
            </w:r>
          </w:p>
        </w:tc>
        <w:tc>
          <w:tcPr>
            <w:tcW w:type="dxa" w:w="1325"/>
            <w:vAlign w:val="center"/>
            <w:shd w:fill="FFFFFF"/>
          </w:tcPr>
          <w:p>
            <w:pPr>
              <w:keepNext w:val="0"/>
              <w:spacing w:before="0" w:after="20" w:line="240" w:lineRule="auto"/>
              <w:jc w:val="center"/>
            </w:pPr>
            <w:r>
              <w:rPr>
                <w:rFonts w:ascii="Times New Roman" w:hAnsi="Times New Roman"/>
                <w:b w:val="0"/>
                <w:color w:val="000000"/>
                <w:sz w:val="17"/>
              </w:rPr>
              <w:t>8,343.81</w:t>
            </w:r>
          </w:p>
        </w:tc>
        <w:tc>
          <w:tcPr>
            <w:tcW w:type="dxa" w:w="1397"/>
            <w:vAlign w:val="center"/>
            <w:shd w:fill="FFFFFF"/>
          </w:tcPr>
          <w:p>
            <w:pPr>
              <w:keepNext w:val="0"/>
              <w:spacing w:before="0" w:after="20" w:line="240" w:lineRule="auto"/>
              <w:jc w:val="center"/>
            </w:pPr>
            <w:r>
              <w:rPr>
                <w:rFonts w:ascii="Times New Roman" w:hAnsi="Times New Roman"/>
                <w:b w:val="0"/>
                <w:color w:val="000000"/>
                <w:sz w:val="17"/>
              </w:rPr>
              <w:t>11,761.48</w:t>
            </w:r>
          </w:p>
        </w:tc>
        <w:tc>
          <w:tcPr>
            <w:tcW w:type="dxa" w:w="1397"/>
            <w:vAlign w:val="center"/>
            <w:shd w:fill="FFFFFF"/>
          </w:tcPr>
          <w:p>
            <w:pPr>
              <w:keepNext w:val="0"/>
              <w:spacing w:before="0" w:after="20" w:line="240" w:lineRule="auto"/>
              <w:jc w:val="center"/>
            </w:pPr>
            <w:r>
              <w:rPr>
                <w:rFonts w:ascii="Times New Roman" w:hAnsi="Times New Roman"/>
                <w:b w:val="0"/>
                <w:color w:val="000000"/>
                <w:sz w:val="17"/>
              </w:rPr>
              <w:t>11,767.80</w:t>
            </w:r>
          </w:p>
        </w:tc>
        <w:tc>
          <w:tcPr>
            <w:tcW w:type="dxa" w:w="1253"/>
            <w:vAlign w:val="center"/>
            <w:shd w:fill="FFFFFF"/>
          </w:tcPr>
          <w:p>
            <w:pPr>
              <w:keepNext w:val="0"/>
              <w:spacing w:before="0" w:after="20" w:line="240" w:lineRule="auto"/>
              <w:jc w:val="center"/>
            </w:pPr>
            <w:r>
              <w:rPr>
                <w:rFonts w:ascii="Times New Roman" w:hAnsi="Times New Roman"/>
                <w:b w:val="0"/>
                <w:color w:val="000000"/>
                <w:sz w:val="17"/>
              </w:rPr>
              <w:t>6.32</w:t>
            </w:r>
          </w:p>
        </w:tc>
        <w:tc>
          <w:tcPr>
            <w:tcW w:type="dxa" w:w="1267"/>
            <w:vAlign w:val="center"/>
            <w:shd w:fill="FFFFFF"/>
          </w:tcPr>
          <w:p>
            <w:pPr>
              <w:keepNext w:val="0"/>
              <w:spacing w:before="0" w:after="20" w:line="240" w:lineRule="auto"/>
              <w:jc w:val="center"/>
            </w:pPr>
            <w:r>
              <w:rPr>
                <w:rFonts w:ascii="Times New Roman" w:hAnsi="Times New Roman"/>
                <w:b w:val="0"/>
                <w:color w:val="000000"/>
                <w:sz w:val="17"/>
              </w:rPr>
              <w:t>99.95</w:t>
            </w:r>
          </w:p>
        </w:tc>
        <w:tc>
          <w:tcPr>
            <w:tcW w:type="dxa" w:w="1498"/>
            <w:vAlign w:val="center"/>
            <w:shd w:fill="FFFFFF"/>
          </w:tcPr>
          <w:p>
            <w:pPr>
              <w:keepNext w:val="0"/>
              <w:spacing w:before="0" w:after="20" w:line="240" w:lineRule="auto"/>
              <w:jc w:val="center"/>
            </w:pPr>
            <w:r>
              <w:rPr>
                <w:rFonts w:ascii="Times New Roman" w:hAnsi="Times New Roman"/>
                <w:b w:val="0"/>
                <w:color w:val="000000"/>
                <w:sz w:val="17"/>
              </w:rPr>
              <w:t>0.77</w:t>
            </w:r>
          </w:p>
        </w:tc>
      </w:tr>
      <w:tr>
        <w:trPr>
          <w:cantSplit/>
        </w:trPr>
        <w:tc>
          <w:tcPr>
            <w:tcW w:type="dxa" w:w="1728"/>
            <w:vAlign w:val="center"/>
            <w:shd w:fill="FFFFFF"/>
          </w:tcPr>
          <w:p>
            <w:pPr>
              <w:keepNext w:val="0"/>
              <w:spacing w:before="0" w:after="20" w:line="240" w:lineRule="auto"/>
              <w:jc w:val="left"/>
            </w:pPr>
            <w:r>
              <w:rPr>
                <w:rFonts w:ascii="Times New Roman" w:hAnsi="Times New Roman"/>
                <w:b w:val="0"/>
                <w:color w:val="000000"/>
                <w:sz w:val="17"/>
              </w:rPr>
              <w:t>burst</w:t>
              <w:br/>
              <w:t>7 d</w:t>
            </w:r>
          </w:p>
        </w:tc>
        <w:tc>
          <w:tcPr>
            <w:tcW w:type="dxa" w:w="1325"/>
            <w:vAlign w:val="center"/>
            <w:shd w:fill="FFFFFF"/>
          </w:tcPr>
          <w:p>
            <w:pPr>
              <w:keepNext w:val="0"/>
              <w:spacing w:before="0" w:after="20" w:line="240" w:lineRule="auto"/>
              <w:jc w:val="center"/>
            </w:pPr>
            <w:r>
              <w:rPr>
                <w:rFonts w:ascii="Times New Roman" w:hAnsi="Times New Roman"/>
                <w:b w:val="0"/>
                <w:color w:val="000000"/>
                <w:sz w:val="17"/>
              </w:rPr>
              <w:t>666.19</w:t>
            </w:r>
          </w:p>
        </w:tc>
        <w:tc>
          <w:tcPr>
            <w:tcW w:type="dxa" w:w="1397"/>
            <w:vAlign w:val="center"/>
            <w:shd w:fill="FFFFFF"/>
          </w:tcPr>
          <w:p>
            <w:pPr>
              <w:keepNext w:val="0"/>
              <w:spacing w:before="0" w:after="20" w:line="240" w:lineRule="auto"/>
              <w:jc w:val="center"/>
            </w:pPr>
            <w:r>
              <w:rPr>
                <w:rFonts w:ascii="Times New Roman" w:hAnsi="Times New Roman"/>
                <w:b w:val="0"/>
                <w:color w:val="000000"/>
                <w:sz w:val="17"/>
              </w:rPr>
              <w:t>842.66</w:t>
            </w:r>
          </w:p>
        </w:tc>
        <w:tc>
          <w:tcPr>
            <w:tcW w:type="dxa" w:w="1397"/>
            <w:vAlign w:val="center"/>
            <w:shd w:fill="FFFFFF"/>
          </w:tcPr>
          <w:p>
            <w:pPr>
              <w:keepNext w:val="0"/>
              <w:spacing w:before="0" w:after="20" w:line="240" w:lineRule="auto"/>
              <w:jc w:val="center"/>
            </w:pPr>
            <w:r>
              <w:rPr>
                <w:rFonts w:ascii="Times New Roman" w:hAnsi="Times New Roman"/>
                <w:b w:val="0"/>
                <w:color w:val="000000"/>
                <w:sz w:val="17"/>
              </w:rPr>
              <w:t>848.62</w:t>
            </w:r>
          </w:p>
        </w:tc>
        <w:tc>
          <w:tcPr>
            <w:tcW w:type="dxa" w:w="1253"/>
            <w:vAlign w:val="center"/>
            <w:shd w:fill="FFFFFF"/>
          </w:tcPr>
          <w:p>
            <w:pPr>
              <w:keepNext w:val="0"/>
              <w:spacing w:before="0" w:after="20" w:line="240" w:lineRule="auto"/>
              <w:jc w:val="center"/>
            </w:pPr>
            <w:r>
              <w:rPr>
                <w:rFonts w:ascii="Times New Roman" w:hAnsi="Times New Roman"/>
                <w:b w:val="0"/>
                <w:color w:val="000000"/>
                <w:sz w:val="17"/>
              </w:rPr>
              <w:t>5.97</w:t>
            </w:r>
          </w:p>
        </w:tc>
        <w:tc>
          <w:tcPr>
            <w:tcW w:type="dxa" w:w="1267"/>
            <w:vAlign w:val="center"/>
            <w:shd w:fill="FFFFFF"/>
          </w:tcPr>
          <w:p>
            <w:pPr>
              <w:keepNext w:val="0"/>
              <w:spacing w:before="0" w:after="20" w:line="240" w:lineRule="auto"/>
              <w:jc w:val="center"/>
            </w:pPr>
            <w:r>
              <w:rPr>
                <w:rFonts w:ascii="Times New Roman" w:hAnsi="Times New Roman"/>
                <w:b w:val="0"/>
                <w:color w:val="000000"/>
                <w:sz w:val="17"/>
              </w:rPr>
              <w:t>99.30</w:t>
            </w:r>
          </w:p>
        </w:tc>
        <w:tc>
          <w:tcPr>
            <w:tcW w:type="dxa" w:w="1498"/>
            <w:vAlign w:val="center"/>
            <w:shd w:fill="FFFFFF"/>
          </w:tcPr>
          <w:p>
            <w:pPr>
              <w:keepNext w:val="0"/>
              <w:spacing w:before="0" w:after="20" w:line="240" w:lineRule="auto"/>
              <w:jc w:val="center"/>
            </w:pPr>
            <w:r>
              <w:rPr>
                <w:rFonts w:ascii="Times New Roman" w:hAnsi="Times New Roman"/>
                <w:b w:val="0"/>
                <w:color w:val="000000"/>
                <w:sz w:val="17"/>
              </w:rPr>
              <w:t>0.83</w:t>
            </w:r>
          </w:p>
        </w:tc>
      </w:tr>
      <w:tr>
        <w:trPr>
          <w:cantSplit/>
        </w:trPr>
        <w:tc>
          <w:tcPr>
            <w:tcW w:type="dxa" w:w="1728"/>
            <w:vAlign w:val="center"/>
            <w:shd w:fill="FFFFFF"/>
          </w:tcPr>
          <w:p>
            <w:pPr>
              <w:keepNext w:val="0"/>
              <w:spacing w:before="0" w:after="20" w:line="240" w:lineRule="auto"/>
              <w:jc w:val="left"/>
            </w:pPr>
            <w:r>
              <w:rPr>
                <w:rFonts w:ascii="Times New Roman" w:hAnsi="Times New Roman"/>
                <w:b w:val="0"/>
                <w:color w:val="000000"/>
                <w:sz w:val="17"/>
              </w:rPr>
              <w:t>year end</w:t>
              <w:br/>
              <w:t>7 d</w:t>
            </w:r>
          </w:p>
        </w:tc>
        <w:tc>
          <w:tcPr>
            <w:tcW w:type="dxa" w:w="1325"/>
            <w:vAlign w:val="center"/>
            <w:shd w:fill="FFFFFF"/>
          </w:tcPr>
          <w:p>
            <w:pPr>
              <w:keepNext w:val="0"/>
              <w:spacing w:before="0" w:after="20" w:line="240" w:lineRule="auto"/>
              <w:jc w:val="center"/>
            </w:pPr>
            <w:r>
              <w:rPr>
                <w:rFonts w:ascii="Times New Roman" w:hAnsi="Times New Roman"/>
                <w:b w:val="0"/>
                <w:color w:val="000000"/>
                <w:sz w:val="17"/>
              </w:rPr>
              <w:t>363.40</w:t>
            </w:r>
          </w:p>
        </w:tc>
        <w:tc>
          <w:tcPr>
            <w:tcW w:type="dxa" w:w="1397"/>
            <w:vAlign w:val="center"/>
            <w:shd w:fill="FFFFFF"/>
          </w:tcPr>
          <w:p>
            <w:pPr>
              <w:keepNext w:val="0"/>
              <w:spacing w:before="0" w:after="20" w:line="240" w:lineRule="auto"/>
              <w:jc w:val="center"/>
            </w:pPr>
            <w:r>
              <w:rPr>
                <w:rFonts w:ascii="Times New Roman" w:hAnsi="Times New Roman"/>
                <w:b w:val="0"/>
                <w:color w:val="000000"/>
                <w:sz w:val="17"/>
              </w:rPr>
              <w:t>1,173.11</w:t>
            </w:r>
          </w:p>
        </w:tc>
        <w:tc>
          <w:tcPr>
            <w:tcW w:type="dxa" w:w="1397"/>
            <w:vAlign w:val="center"/>
            <w:shd w:fill="FFFFFF"/>
          </w:tcPr>
          <w:p>
            <w:pPr>
              <w:keepNext w:val="0"/>
              <w:spacing w:before="0" w:after="20" w:line="240" w:lineRule="auto"/>
              <w:jc w:val="center"/>
            </w:pPr>
            <w:r>
              <w:rPr>
                <w:rFonts w:ascii="Times New Roman" w:hAnsi="Times New Roman"/>
                <w:b w:val="0"/>
                <w:color w:val="000000"/>
                <w:sz w:val="17"/>
              </w:rPr>
              <w:t>1,191.09</w:t>
            </w:r>
          </w:p>
        </w:tc>
        <w:tc>
          <w:tcPr>
            <w:tcW w:type="dxa" w:w="1253"/>
            <w:vAlign w:val="center"/>
            <w:shd w:fill="FFFFFF"/>
          </w:tcPr>
          <w:p>
            <w:pPr>
              <w:keepNext w:val="0"/>
              <w:spacing w:before="0" w:after="20" w:line="240" w:lineRule="auto"/>
              <w:jc w:val="center"/>
            </w:pPr>
            <w:r>
              <w:rPr>
                <w:rFonts w:ascii="Times New Roman" w:hAnsi="Times New Roman"/>
                <w:b w:val="0"/>
                <w:color w:val="000000"/>
                <w:sz w:val="17"/>
              </w:rPr>
              <w:t>17.98</w:t>
            </w:r>
          </w:p>
        </w:tc>
        <w:tc>
          <w:tcPr>
            <w:tcW w:type="dxa" w:w="1267"/>
            <w:vAlign w:val="center"/>
            <w:shd w:fill="FFFFFF"/>
          </w:tcPr>
          <w:p>
            <w:pPr>
              <w:keepNext w:val="0"/>
              <w:spacing w:before="0" w:after="20" w:line="240" w:lineRule="auto"/>
              <w:jc w:val="center"/>
            </w:pPr>
            <w:r>
              <w:rPr>
                <w:rFonts w:ascii="Times New Roman" w:hAnsi="Times New Roman"/>
                <w:b w:val="0"/>
                <w:color w:val="000000"/>
                <w:sz w:val="17"/>
              </w:rPr>
              <w:t>98.49</w:t>
            </w:r>
          </w:p>
        </w:tc>
        <w:tc>
          <w:tcPr>
            <w:tcW w:type="dxa" w:w="1498"/>
            <w:vAlign w:val="center"/>
            <w:shd w:fill="FFFFFF"/>
          </w:tcPr>
          <w:p>
            <w:pPr>
              <w:keepNext w:val="0"/>
              <w:spacing w:before="0" w:after="20" w:line="240" w:lineRule="auto"/>
              <w:jc w:val="center"/>
            </w:pPr>
            <w:r>
              <w:rPr>
                <w:rFonts w:ascii="Times New Roman" w:hAnsi="Times New Roman"/>
                <w:b w:val="0"/>
                <w:color w:val="000000"/>
                <w:sz w:val="17"/>
              </w:rPr>
              <w:t>0.79</w:t>
            </w:r>
          </w:p>
        </w:tc>
      </w:tr>
      <w:tr>
        <w:trPr>
          <w:cantSplit/>
        </w:trPr>
        <w:tc>
          <w:tcPr>
            <w:tcW w:type="dxa" w:w="1728"/>
            <w:vAlign w:val="center"/>
            <w:shd w:fill="FFFFFF"/>
          </w:tcPr>
          <w:p>
            <w:pPr>
              <w:keepNext w:val="0"/>
              <w:spacing w:before="0" w:after="20" w:line="240" w:lineRule="auto"/>
              <w:jc w:val="left"/>
            </w:pPr>
            <w:r>
              <w:rPr>
                <w:rFonts w:ascii="Times New Roman" w:hAnsi="Times New Roman"/>
                <w:b w:val="0"/>
                <w:color w:val="000000"/>
                <w:sz w:val="17"/>
              </w:rPr>
              <w:t>routine</w:t>
              <w:br/>
              <w:t>30 d</w:t>
            </w:r>
          </w:p>
        </w:tc>
        <w:tc>
          <w:tcPr>
            <w:tcW w:type="dxa" w:w="1325"/>
            <w:vAlign w:val="center"/>
            <w:shd w:fill="FFFFFF"/>
          </w:tcPr>
          <w:p>
            <w:pPr>
              <w:keepNext w:val="0"/>
              <w:spacing w:before="0" w:after="20" w:line="240" w:lineRule="auto"/>
              <w:jc w:val="center"/>
            </w:pPr>
            <w:r>
              <w:rPr>
                <w:rFonts w:ascii="Times New Roman" w:hAnsi="Times New Roman"/>
                <w:b w:val="0"/>
                <w:color w:val="000000"/>
                <w:sz w:val="17"/>
              </w:rPr>
              <w:t>3,284.86</w:t>
            </w:r>
          </w:p>
        </w:tc>
        <w:tc>
          <w:tcPr>
            <w:tcW w:type="dxa" w:w="1397"/>
            <w:vAlign w:val="center"/>
            <w:shd w:fill="FFFFFF"/>
          </w:tcPr>
          <w:p>
            <w:pPr>
              <w:keepNext w:val="0"/>
              <w:spacing w:before="0" w:after="20" w:line="240" w:lineRule="auto"/>
              <w:jc w:val="center"/>
            </w:pPr>
            <w:r>
              <w:rPr>
                <w:rFonts w:ascii="Times New Roman" w:hAnsi="Times New Roman"/>
                <w:b w:val="0"/>
                <w:color w:val="000000"/>
                <w:sz w:val="17"/>
              </w:rPr>
              <w:t>4,220.46</w:t>
            </w:r>
          </w:p>
        </w:tc>
        <w:tc>
          <w:tcPr>
            <w:tcW w:type="dxa" w:w="1397"/>
            <w:vAlign w:val="center"/>
            <w:shd w:fill="FFFFFF"/>
          </w:tcPr>
          <w:p>
            <w:pPr>
              <w:keepNext w:val="0"/>
              <w:spacing w:before="0" w:after="20" w:line="240" w:lineRule="auto"/>
              <w:jc w:val="center"/>
            </w:pPr>
            <w:r>
              <w:rPr>
                <w:rFonts w:ascii="Times New Roman" w:hAnsi="Times New Roman"/>
                <w:b w:val="0"/>
                <w:color w:val="000000"/>
                <w:sz w:val="17"/>
              </w:rPr>
              <w:t>4,229.89</w:t>
            </w:r>
          </w:p>
        </w:tc>
        <w:tc>
          <w:tcPr>
            <w:tcW w:type="dxa" w:w="1253"/>
            <w:vAlign w:val="center"/>
            <w:shd w:fill="FFFFFF"/>
          </w:tcPr>
          <w:p>
            <w:pPr>
              <w:keepNext w:val="0"/>
              <w:spacing w:before="0" w:after="20" w:line="240" w:lineRule="auto"/>
              <w:jc w:val="center"/>
            </w:pPr>
            <w:r>
              <w:rPr>
                <w:rFonts w:ascii="Times New Roman" w:hAnsi="Times New Roman"/>
                <w:b w:val="0"/>
                <w:color w:val="000000"/>
                <w:sz w:val="17"/>
              </w:rPr>
              <w:t>9.43</w:t>
            </w:r>
          </w:p>
        </w:tc>
        <w:tc>
          <w:tcPr>
            <w:tcW w:type="dxa" w:w="1267"/>
            <w:vAlign w:val="center"/>
            <w:shd w:fill="FFFFFF"/>
          </w:tcPr>
          <w:p>
            <w:pPr>
              <w:keepNext w:val="0"/>
              <w:spacing w:before="0" w:after="20" w:line="240" w:lineRule="auto"/>
              <w:jc w:val="center"/>
            </w:pPr>
            <w:r>
              <w:rPr>
                <w:rFonts w:ascii="Times New Roman" w:hAnsi="Times New Roman"/>
                <w:b w:val="0"/>
                <w:color w:val="000000"/>
                <w:sz w:val="17"/>
              </w:rPr>
              <w:t>99.78</w:t>
            </w:r>
          </w:p>
        </w:tc>
        <w:tc>
          <w:tcPr>
            <w:tcW w:type="dxa" w:w="1498"/>
            <w:vAlign w:val="center"/>
            <w:shd w:fill="FFFFFF"/>
          </w:tcPr>
          <w:p>
            <w:pPr>
              <w:keepNext w:val="0"/>
              <w:spacing w:before="0" w:after="20" w:line="240" w:lineRule="auto"/>
              <w:jc w:val="center"/>
            </w:pPr>
            <w:r>
              <w:rPr>
                <w:rFonts w:ascii="Times New Roman" w:hAnsi="Times New Roman"/>
                <w:b w:val="0"/>
                <w:color w:val="000000"/>
                <w:sz w:val="17"/>
              </w:rPr>
              <w:t>3.47</w:t>
            </w:r>
          </w:p>
        </w:tc>
      </w:tr>
      <w:tr>
        <w:trPr>
          <w:cantSplit/>
        </w:trPr>
        <w:tc>
          <w:tcPr>
            <w:tcW w:type="dxa" w:w="1728"/>
            <w:vAlign w:val="center"/>
            <w:shd w:fill="FFFFFF"/>
          </w:tcPr>
          <w:p>
            <w:pPr>
              <w:keepNext w:val="0"/>
              <w:spacing w:before="0" w:after="20" w:line="240" w:lineRule="auto"/>
              <w:jc w:val="left"/>
            </w:pPr>
            <w:r>
              <w:rPr>
                <w:rFonts w:ascii="Times New Roman" w:hAnsi="Times New Roman"/>
                <w:b w:val="0"/>
                <w:color w:val="000000"/>
                <w:sz w:val="17"/>
              </w:rPr>
              <w:t>volatile</w:t>
              <w:br/>
              <w:t>30 d</w:t>
            </w:r>
          </w:p>
        </w:tc>
        <w:tc>
          <w:tcPr>
            <w:tcW w:type="dxa" w:w="1325"/>
            <w:vAlign w:val="center"/>
            <w:shd w:fill="FFFFFF"/>
          </w:tcPr>
          <w:p>
            <w:pPr>
              <w:keepNext w:val="0"/>
              <w:spacing w:before="0" w:after="20" w:line="240" w:lineRule="auto"/>
              <w:jc w:val="center"/>
            </w:pPr>
            <w:r>
              <w:rPr>
                <w:rFonts w:ascii="Times New Roman" w:hAnsi="Times New Roman"/>
                <w:b w:val="0"/>
                <w:color w:val="000000"/>
                <w:sz w:val="17"/>
              </w:rPr>
              <w:t>18,638.19</w:t>
            </w:r>
          </w:p>
        </w:tc>
        <w:tc>
          <w:tcPr>
            <w:tcW w:type="dxa" w:w="1397"/>
            <w:vAlign w:val="center"/>
            <w:shd w:fill="FFFFFF"/>
          </w:tcPr>
          <w:p>
            <w:pPr>
              <w:keepNext w:val="0"/>
              <w:spacing w:before="0" w:after="20" w:line="240" w:lineRule="auto"/>
              <w:jc w:val="center"/>
            </w:pPr>
            <w:r>
              <w:rPr>
                <w:rFonts w:ascii="Times New Roman" w:hAnsi="Times New Roman"/>
                <w:b w:val="0"/>
                <w:color w:val="000000"/>
                <w:sz w:val="17"/>
              </w:rPr>
              <w:t>23,874.58</w:t>
            </w:r>
          </w:p>
        </w:tc>
        <w:tc>
          <w:tcPr>
            <w:tcW w:type="dxa" w:w="1397"/>
            <w:vAlign w:val="center"/>
            <w:shd w:fill="FFFFFF"/>
          </w:tcPr>
          <w:p>
            <w:pPr>
              <w:keepNext w:val="0"/>
              <w:spacing w:before="0" w:after="20" w:line="240" w:lineRule="auto"/>
              <w:jc w:val="center"/>
            </w:pPr>
            <w:r>
              <w:rPr>
                <w:rFonts w:ascii="Times New Roman" w:hAnsi="Times New Roman"/>
                <w:b w:val="0"/>
                <w:color w:val="000000"/>
                <w:sz w:val="17"/>
              </w:rPr>
              <w:t>23,914.56</w:t>
            </w:r>
          </w:p>
        </w:tc>
        <w:tc>
          <w:tcPr>
            <w:tcW w:type="dxa" w:w="1253"/>
            <w:vAlign w:val="center"/>
            <w:shd w:fill="FFFFFF"/>
          </w:tcPr>
          <w:p>
            <w:pPr>
              <w:keepNext w:val="0"/>
              <w:spacing w:before="0" w:after="20" w:line="240" w:lineRule="auto"/>
              <w:jc w:val="center"/>
            </w:pPr>
            <w:r>
              <w:rPr>
                <w:rFonts w:ascii="Times New Roman" w:hAnsi="Times New Roman"/>
                <w:b w:val="0"/>
                <w:color w:val="000000"/>
                <w:sz w:val="17"/>
              </w:rPr>
              <w:t>39.98</w:t>
            </w:r>
          </w:p>
        </w:tc>
        <w:tc>
          <w:tcPr>
            <w:tcW w:type="dxa" w:w="1267"/>
            <w:vAlign w:val="center"/>
            <w:shd w:fill="FFFFFF"/>
          </w:tcPr>
          <w:p>
            <w:pPr>
              <w:keepNext w:val="0"/>
              <w:spacing w:before="0" w:after="20" w:line="240" w:lineRule="auto"/>
              <w:jc w:val="center"/>
            </w:pPr>
            <w:r>
              <w:rPr>
                <w:rFonts w:ascii="Times New Roman" w:hAnsi="Times New Roman"/>
                <w:b w:val="0"/>
                <w:color w:val="000000"/>
                <w:sz w:val="17"/>
              </w:rPr>
              <w:t>99.83</w:t>
            </w:r>
          </w:p>
        </w:tc>
        <w:tc>
          <w:tcPr>
            <w:tcW w:type="dxa" w:w="1498"/>
            <w:vAlign w:val="center"/>
            <w:shd w:fill="FFFFFF"/>
          </w:tcPr>
          <w:p>
            <w:pPr>
              <w:keepNext w:val="0"/>
              <w:spacing w:before="0" w:after="20" w:line="240" w:lineRule="auto"/>
              <w:jc w:val="center"/>
            </w:pPr>
            <w:r>
              <w:rPr>
                <w:rFonts w:ascii="Times New Roman" w:hAnsi="Times New Roman"/>
                <w:b w:val="0"/>
                <w:color w:val="000000"/>
                <w:sz w:val="17"/>
              </w:rPr>
              <w:t>3.41</w:t>
            </w:r>
          </w:p>
        </w:tc>
      </w:tr>
      <w:tr>
        <w:trPr>
          <w:cantSplit/>
        </w:trPr>
        <w:tc>
          <w:tcPr>
            <w:tcW w:type="dxa" w:w="1728"/>
            <w:vAlign w:val="center"/>
            <w:shd w:fill="FFFFFF"/>
          </w:tcPr>
          <w:p>
            <w:pPr>
              <w:keepNext w:val="0"/>
              <w:spacing w:before="0" w:after="20" w:line="240" w:lineRule="auto"/>
              <w:jc w:val="left"/>
            </w:pPr>
            <w:r>
              <w:rPr>
                <w:rFonts w:ascii="Times New Roman" w:hAnsi="Times New Roman"/>
                <w:b w:val="0"/>
                <w:color w:val="000000"/>
                <w:sz w:val="17"/>
              </w:rPr>
              <w:t>burst</w:t>
              <w:br/>
              <w:t>30 d</w:t>
            </w:r>
          </w:p>
        </w:tc>
        <w:tc>
          <w:tcPr>
            <w:tcW w:type="dxa" w:w="1325"/>
            <w:vAlign w:val="center"/>
            <w:shd w:fill="FFFFFF"/>
          </w:tcPr>
          <w:p>
            <w:pPr>
              <w:keepNext w:val="0"/>
              <w:spacing w:before="0" w:after="20" w:line="240" w:lineRule="auto"/>
              <w:jc w:val="center"/>
            </w:pPr>
            <w:r>
              <w:rPr>
                <w:rFonts w:ascii="Times New Roman" w:hAnsi="Times New Roman"/>
                <w:b w:val="0"/>
                <w:color w:val="000000"/>
                <w:sz w:val="17"/>
              </w:rPr>
              <w:t>3,935.11</w:t>
            </w:r>
          </w:p>
        </w:tc>
        <w:tc>
          <w:tcPr>
            <w:tcW w:type="dxa" w:w="1397"/>
            <w:vAlign w:val="center"/>
            <w:shd w:fill="FFFFFF"/>
          </w:tcPr>
          <w:p>
            <w:pPr>
              <w:keepNext w:val="0"/>
              <w:spacing w:before="0" w:after="20" w:line="240" w:lineRule="auto"/>
              <w:jc w:val="center"/>
            </w:pPr>
            <w:r>
              <w:rPr>
                <w:rFonts w:ascii="Times New Roman" w:hAnsi="Times New Roman"/>
                <w:b w:val="0"/>
                <w:color w:val="000000"/>
                <w:sz w:val="17"/>
              </w:rPr>
              <w:t>4,775.49</w:t>
            </w:r>
          </w:p>
        </w:tc>
        <w:tc>
          <w:tcPr>
            <w:tcW w:type="dxa" w:w="1397"/>
            <w:vAlign w:val="center"/>
            <w:shd w:fill="FFFFFF"/>
          </w:tcPr>
          <w:p>
            <w:pPr>
              <w:keepNext w:val="0"/>
              <w:spacing w:before="0" w:after="20" w:line="240" w:lineRule="auto"/>
              <w:jc w:val="center"/>
            </w:pPr>
            <w:r>
              <w:rPr>
                <w:rFonts w:ascii="Times New Roman" w:hAnsi="Times New Roman"/>
                <w:b w:val="0"/>
                <w:color w:val="000000"/>
                <w:sz w:val="17"/>
              </w:rPr>
              <w:t>4,785.96</w:t>
            </w:r>
          </w:p>
        </w:tc>
        <w:tc>
          <w:tcPr>
            <w:tcW w:type="dxa" w:w="1253"/>
            <w:vAlign w:val="center"/>
            <w:shd w:fill="FFFFFF"/>
          </w:tcPr>
          <w:p>
            <w:pPr>
              <w:keepNext w:val="0"/>
              <w:spacing w:before="0" w:after="20" w:line="240" w:lineRule="auto"/>
              <w:jc w:val="center"/>
            </w:pPr>
            <w:r>
              <w:rPr>
                <w:rFonts w:ascii="Times New Roman" w:hAnsi="Times New Roman"/>
                <w:b w:val="0"/>
                <w:color w:val="000000"/>
                <w:sz w:val="17"/>
              </w:rPr>
              <w:t>10.47</w:t>
            </w:r>
          </w:p>
        </w:tc>
        <w:tc>
          <w:tcPr>
            <w:tcW w:type="dxa" w:w="1267"/>
            <w:vAlign w:val="center"/>
            <w:shd w:fill="FFFFFF"/>
          </w:tcPr>
          <w:p>
            <w:pPr>
              <w:keepNext w:val="0"/>
              <w:spacing w:before="0" w:after="20" w:line="240" w:lineRule="auto"/>
              <w:jc w:val="center"/>
            </w:pPr>
            <w:r>
              <w:rPr>
                <w:rFonts w:ascii="Times New Roman" w:hAnsi="Times New Roman"/>
                <w:b w:val="0"/>
                <w:color w:val="000000"/>
                <w:sz w:val="17"/>
              </w:rPr>
              <w:t>99.78</w:t>
            </w:r>
          </w:p>
        </w:tc>
        <w:tc>
          <w:tcPr>
            <w:tcW w:type="dxa" w:w="1498"/>
            <w:vAlign w:val="center"/>
            <w:shd w:fill="FFFFFF"/>
          </w:tcPr>
          <w:p>
            <w:pPr>
              <w:keepNext w:val="0"/>
              <w:spacing w:before="0" w:after="20" w:line="240" w:lineRule="auto"/>
              <w:jc w:val="center"/>
            </w:pPr>
            <w:r>
              <w:rPr>
                <w:rFonts w:ascii="Times New Roman" w:hAnsi="Times New Roman"/>
                <w:b w:val="0"/>
                <w:color w:val="000000"/>
                <w:sz w:val="17"/>
              </w:rPr>
              <w:t>3.69</w:t>
            </w:r>
          </w:p>
        </w:tc>
      </w:tr>
      <w:tr>
        <w:trPr>
          <w:cantSplit/>
        </w:trPr>
        <w:tc>
          <w:tcPr>
            <w:tcW w:type="dxa" w:w="1728"/>
            <w:vAlign w:val="center"/>
            <w:shd w:fill="FFFFFF"/>
          </w:tcPr>
          <w:p>
            <w:pPr>
              <w:keepNext w:val="0"/>
              <w:spacing w:before="0" w:after="20" w:line="240" w:lineRule="auto"/>
              <w:jc w:val="left"/>
            </w:pPr>
            <w:r>
              <w:rPr>
                <w:rFonts w:ascii="Times New Roman" w:hAnsi="Times New Roman"/>
                <w:b w:val="0"/>
                <w:color w:val="000000"/>
                <w:sz w:val="17"/>
              </w:rPr>
              <w:t>year end</w:t>
              <w:br/>
              <w:t>30 d</w:t>
            </w:r>
          </w:p>
        </w:tc>
        <w:tc>
          <w:tcPr>
            <w:tcW w:type="dxa" w:w="1325"/>
            <w:vAlign w:val="center"/>
            <w:shd w:fill="FFFFFF"/>
          </w:tcPr>
          <w:p>
            <w:pPr>
              <w:keepNext w:val="0"/>
              <w:spacing w:before="0" w:after="20" w:line="240" w:lineRule="auto"/>
              <w:jc w:val="center"/>
            </w:pPr>
            <w:r>
              <w:rPr>
                <w:rFonts w:ascii="Times New Roman" w:hAnsi="Times New Roman"/>
                <w:b w:val="0"/>
                <w:color w:val="000000"/>
                <w:sz w:val="17"/>
              </w:rPr>
              <w:t>10,121.74</w:t>
            </w:r>
          </w:p>
        </w:tc>
        <w:tc>
          <w:tcPr>
            <w:tcW w:type="dxa" w:w="1397"/>
            <w:vAlign w:val="center"/>
            <w:shd w:fill="FFFFFF"/>
          </w:tcPr>
          <w:p>
            <w:pPr>
              <w:keepNext w:val="0"/>
              <w:spacing w:before="0" w:after="20" w:line="240" w:lineRule="auto"/>
              <w:jc w:val="center"/>
            </w:pPr>
            <w:r>
              <w:rPr>
                <w:rFonts w:ascii="Times New Roman" w:hAnsi="Times New Roman"/>
                <w:b w:val="0"/>
                <w:color w:val="000000"/>
                <w:sz w:val="17"/>
              </w:rPr>
              <w:t>15,384.32</w:t>
            </w:r>
          </w:p>
        </w:tc>
        <w:tc>
          <w:tcPr>
            <w:tcW w:type="dxa" w:w="1397"/>
            <w:vAlign w:val="center"/>
            <w:shd w:fill="FFFFFF"/>
          </w:tcPr>
          <w:p>
            <w:pPr>
              <w:keepNext w:val="0"/>
              <w:spacing w:before="0" w:after="20" w:line="240" w:lineRule="auto"/>
              <w:jc w:val="center"/>
            </w:pPr>
            <w:r>
              <w:rPr>
                <w:rFonts w:ascii="Times New Roman" w:hAnsi="Times New Roman"/>
                <w:b w:val="0"/>
                <w:color w:val="000000"/>
                <w:sz w:val="17"/>
              </w:rPr>
              <w:t>15,457.76</w:t>
            </w:r>
          </w:p>
        </w:tc>
        <w:tc>
          <w:tcPr>
            <w:tcW w:type="dxa" w:w="1253"/>
            <w:vAlign w:val="center"/>
            <w:shd w:fill="FFFFFF"/>
          </w:tcPr>
          <w:p>
            <w:pPr>
              <w:keepNext w:val="0"/>
              <w:spacing w:before="0" w:after="20" w:line="240" w:lineRule="auto"/>
              <w:jc w:val="center"/>
            </w:pPr>
            <w:r>
              <w:rPr>
                <w:rFonts w:ascii="Times New Roman" w:hAnsi="Times New Roman"/>
                <w:b w:val="0"/>
                <w:color w:val="000000"/>
                <w:sz w:val="17"/>
              </w:rPr>
              <w:t>73.44</w:t>
            </w:r>
          </w:p>
        </w:tc>
        <w:tc>
          <w:tcPr>
            <w:tcW w:type="dxa" w:w="1267"/>
            <w:vAlign w:val="center"/>
            <w:shd w:fill="FFFFFF"/>
          </w:tcPr>
          <w:p>
            <w:pPr>
              <w:keepNext w:val="0"/>
              <w:spacing w:before="0" w:after="20" w:line="240" w:lineRule="auto"/>
              <w:jc w:val="center"/>
            </w:pPr>
            <w:r>
              <w:rPr>
                <w:rFonts w:ascii="Times New Roman" w:hAnsi="Times New Roman"/>
                <w:b w:val="0"/>
                <w:color w:val="000000"/>
                <w:sz w:val="17"/>
              </w:rPr>
              <w:t>99.52</w:t>
            </w:r>
          </w:p>
        </w:tc>
        <w:tc>
          <w:tcPr>
            <w:tcW w:type="dxa" w:w="1498"/>
            <w:vAlign w:val="center"/>
            <w:shd w:fill="FFFFFF"/>
          </w:tcPr>
          <w:p>
            <w:pPr>
              <w:keepNext w:val="0"/>
              <w:spacing w:before="0" w:after="20" w:line="240" w:lineRule="auto"/>
              <w:jc w:val="center"/>
            </w:pPr>
            <w:r>
              <w:rPr>
                <w:rFonts w:ascii="Times New Roman" w:hAnsi="Times New Roman"/>
                <w:b w:val="0"/>
                <w:color w:val="000000"/>
                <w:sz w:val="17"/>
              </w:rPr>
              <w:t>3.74</w:t>
            </w:r>
          </w:p>
        </w:tc>
      </w:tr>
    </w:tbl>
    <w:p>
      <w:pPr>
        <w:widowControl/>
        <w:spacing w:after="120"/>
      </w:pPr>
    </w:p>
    <w:p>
      <w:pPr>
        <w:widowControl/>
        <w:spacing w:after="120"/>
      </w:pPr>
      <w:r>
        <w:t>The reported local values attain 98.49–99.95% of their window ceilings. They characterise finite-window tightness and do not replace an annual certificate. Recorded computation times include subproblem verification, not end-to-end forecasting latency. The exact original-cost and witness-validation records required to promote these numerical diagnostics to certified bounds are specified in Sections S20–S24.</w:t>
      </w:r>
    </w:p>
    <w:p>
      <w:pPr>
        <w:widowControl/>
        <w:spacing w:after="120"/>
      </w:pPr>
      <w:r>
        <w:t>A calendar-only rule is reported to embed three nonoverlapping 30-day perfect-information schedules into the primary annual schedule, preserving outside intervals and boundary service totals. Its reported annual saving is US$117,000.2387599464, approximately US$11,434.57 above the primary online result. The supplied summary reports overdue work of 6.12308×10⁻¹⁰ IT MWh and zero closing work. These tolerance diagnostics identify a numerical candidate; they are not an exact feasibility proof. The named source records are certificate_annual_hindsight_bridge.csv, certificate_annual_hindsight_complete_book.npz and certificate_annual_bridge/. The complete annual candidate assignment was not present in the inspected release. Section S20 provides an exact repair, its monetary correction and the acceptance budget needed before using the saving as a rigorous lower endpoint.</w:t>
      </w:r>
    </w:p>
    <w:p>
      <w:pPr>
        <w:pStyle w:val="Heading2"/>
        <w:keepNext/>
        <w:widowControl/>
      </w:pPr>
      <w:r>
        <w:t>Validity with negative prices and numerical tolerances</w:t>
      </w:r>
    </w:p>
    <w:p>
      <w:pPr>
        <w:widowControl/>
        <w:spacing w:after="120"/>
      </w:pPr>
      <w:r>
        <w:t>Let service and residual obligations satisfy the original balance and finite boxes. The full Lagrangian includes common charges, all slot costs and the terminal backlog price. Write φₜ for the global minimum of the original slot cost minus its service multiplier and ψₜ for the bounded backlog minimum including the terminal coefficient. Arbitrary equality multipliers give the following cost lower bound; Section S21 states each term explicitly.</w:t>
      </w:r>
    </w:p>
    <w:p>
      <w:pPr>
        <w:keepLines/>
        <w:widowControl/>
        <w:spacing w:after="140"/>
        <w:jc w:val="center"/>
      </w:pPr>
      <m:oMathPara>
        <m:oMathParaPr>
          <m:jc m:val="center"/>
        </m:oMathParaPr>
        <m:oMath>
          <m:r>
            <m:t>L</m:t>
          </m:r>
          <m:d>
            <m:dPr>
              <m:begChr m:val="("/>
              <m:endChr m:val=")"/>
              <m:sepChr m:val=""/>
              <m:grow/>
            </m:dPr>
            <m:e>
              <m:r>
                <m:t>λ</m:t>
              </m:r>
            </m:e>
          </m:d>
          <m:r>
            <m:rPr>
              <m:sty m:val="p"/>
            </m:rPr>
            <m:t>=</m:t>
          </m:r>
          <m:sSub>
            <m:e>
              <m:r>
                <m:t>C</m:t>
              </m:r>
            </m:e>
            <m:sub>
              <m:r>
                <m:rPr>
                  <m:sty m:val="p"/>
                </m:rPr>
                <m:t>c</m:t>
              </m:r>
              <m:r>
                <m:rPr>
                  <m:sty m:val="p"/>
                </m:rPr>
                <m:t>o</m:t>
              </m:r>
              <m:r>
                <m:rPr>
                  <m:sty m:val="p"/>
                </m:rPr>
                <m:t>m</m:t>
              </m:r>
              <m:r>
                <m:rPr>
                  <m:sty m:val="p"/>
                </m:rPr>
                <m:t>m</m:t>
              </m:r>
              <m:r>
                <m:rPr>
                  <m:sty m:val="p"/>
                </m:rPr>
                <m:t>o</m:t>
              </m:r>
              <m:r>
                <m:rPr>
                  <m:sty m:val="p"/>
                </m:rPr>
                <m:t>n</m:t>
              </m:r>
            </m:sub>
          </m:sSub>
          <m:r>
            <m:rPr>
              <m:sty m:val="p"/>
            </m:rPr>
            <m:t>+</m:t>
          </m:r>
          <m:nary>
            <m:naryPr>
              <m:chr m:val="∑"/>
              <m:limLoc m:val="undOvr"/>
              <m:subHide m:val="off"/>
              <m:supHide m:val="on"/>
            </m:naryPr>
            <m:sub>
              <m:r>
                <m:t>t</m:t>
              </m:r>
            </m:sub>
            <m:sup>
              <m:r>
                <m:t>​</m:t>
              </m:r>
            </m:sup>
            <m:e>
              <m:d>
                <m:dPr>
                  <m:begChr m:val="("/>
                  <m:endChr m:val=")"/>
                  <m:sepChr m:val=""/>
                  <m:grow/>
                </m:dPr>
                <m:e>
                  <m:sSub>
                    <m:e>
                      <m:r>
                        <m:t>λ</m:t>
                      </m:r>
                    </m:e>
                    <m:sub>
                      <m:r>
                        <m:t>t</m:t>
                      </m:r>
                    </m:sub>
                  </m:sSub>
                  <m:sSub>
                    <m:e>
                      <m:r>
                        <m:t>b</m:t>
                      </m:r>
                    </m:e>
                    <m:sub>
                      <m:r>
                        <m:t>t</m:t>
                      </m:r>
                    </m:sub>
                  </m:sSub>
                  <m:r>
                    <m:rPr>
                      <m:sty m:val="p"/>
                    </m:rPr>
                    <m:t>+</m:t>
                  </m:r>
                  <m:sSub>
                    <m:e>
                      <m:r>
                        <m:t>ϕ</m:t>
                      </m:r>
                    </m:e>
                    <m:sub>
                      <m:r>
                        <m:t>t</m:t>
                      </m:r>
                    </m:sub>
                  </m:sSub>
                  <m:d>
                    <m:dPr>
                      <m:begChr m:val="("/>
                      <m:endChr m:val=")"/>
                      <m:sepChr m:val=""/>
                      <m:grow/>
                    </m:dPr>
                    <m:e>
                      <m:sSub>
                        <m:e>
                          <m:r>
                            <m:t>λ</m:t>
                          </m:r>
                        </m:e>
                        <m:sub>
                          <m:r>
                            <m:t>t</m:t>
                          </m:r>
                        </m:sub>
                      </m:sSub>
                    </m:e>
                  </m:d>
                  <m:r>
                    <m:rPr>
                      <m:sty m:val="p"/>
                    </m:rPr>
                    <m:t>+</m:t>
                  </m:r>
                  <m:sSub>
                    <m:e>
                      <m:r>
                        <m:t>ψ</m:t>
                      </m:r>
                    </m:e>
                    <m:sub>
                      <m:r>
                        <m:t>t</m:t>
                      </m:r>
                    </m:sub>
                  </m:sSub>
                </m:e>
              </m:d>
            </m:e>
          </m:nary>
          <m:r>
            <m:rPr>
              <m:sty m:val="p"/>
            </m:rPr>
            <m:t>.</m:t>
          </m:r>
        </m:oMath>
      </m:oMathPara>
    </w:p>
    <w:p>
      <w:pPr>
        <w:keepLines/>
        <w:widowControl/>
        <w:spacing w:after="140"/>
        <w:jc w:val="center"/>
      </w:pPr>
      <m:oMathPara>
        <m:oMathParaPr>
          <m:jc m:val="center"/>
        </m:oMathParaPr>
        <m:oMath>
          <m:r>
            <m:t>L</m:t>
          </m:r>
          <m:d>
            <m:dPr>
              <m:begChr m:val="("/>
              <m:endChr m:val=")"/>
              <m:sepChr m:val=""/>
              <m:grow/>
            </m:dPr>
            <m:e>
              <m:r>
                <m:t>λ</m:t>
              </m:r>
            </m:e>
          </m:d>
          <m:r>
            <m:rPr>
              <m:sty m:val="p"/>
            </m:rPr>
            <m:t>≤</m:t>
          </m:r>
          <m:sSup>
            <m:e>
              <m:r>
                <m:t>C</m:t>
              </m:r>
            </m:e>
            <m:sup>
              <m:r>
                <m:rPr>
                  <m:sty m:val="p"/>
                </m:rPr>
                <m:t>⋆</m:t>
              </m:r>
            </m:sup>
          </m:sSup>
          <m:r>
            <m:rPr>
              <m:sty m:val="p"/>
            </m:rPr>
            <m:t>,</m:t>
          </m:r>
          <m:r>
            <m:t>  </m:t>
          </m:r>
          <m:sSup>
            <m:e>
              <m:r>
                <m:t>H</m:t>
              </m:r>
            </m:e>
            <m:sup>
              <m:r>
                <m:rPr>
                  <m:sty m:val="p"/>
                </m:rPr>
                <m:t>c</m:t>
              </m:r>
              <m:r>
                <m:rPr>
                  <m:sty m:val="p"/>
                </m:rPr>
                <m:t>e</m:t>
              </m:r>
              <m:r>
                <m:rPr>
                  <m:sty m:val="p"/>
                </m:rPr>
                <m:t>r</m:t>
              </m:r>
              <m:r>
                <m:rPr>
                  <m:sty m:val="p"/>
                </m:rPr>
                <m:t>t</m:t>
              </m:r>
            </m:sup>
          </m:sSup>
          <m:r>
            <m:rPr>
              <m:sty m:val="p"/>
            </m:rPr>
            <m:t>≤</m:t>
          </m:r>
          <m:sSup>
            <m:e>
              <m:r>
                <m:t>S</m:t>
              </m:r>
            </m:e>
            <m:sup>
              <m:r>
                <m:rPr>
                  <m:sty m:val="p"/>
                </m:rPr>
                <m:t>⋆</m:t>
              </m:r>
            </m:sup>
          </m:sSup>
          <m:r>
            <m:rPr>
              <m:sty m:val="p"/>
            </m:rPr>
            <m:t>≤</m:t>
          </m:r>
          <m:sSub>
            <m:e>
              <m:r>
                <m:t>C</m:t>
              </m:r>
            </m:e>
            <m:sub>
              <m:r>
                <m:t>0</m:t>
              </m:r>
            </m:sub>
          </m:sSub>
          <m:r>
            <m:rPr>
              <m:sty m:val="p"/>
            </m:rPr>
            <m:t>−</m:t>
          </m:r>
          <m:r>
            <m:t>L</m:t>
          </m:r>
          <m:d>
            <m:dPr>
              <m:begChr m:val="("/>
              <m:endChr m:val=")"/>
              <m:sepChr m:val=""/>
              <m:grow/>
            </m:dPr>
            <m:e>
              <m:r>
                <m:t>λ</m:t>
              </m:r>
            </m:e>
          </m:d>
          <m:r>
            <m:rPr>
              <m:sty m:val="p"/>
            </m:rPr>
            <m:t>.</m:t>
          </m:r>
        </m:oMath>
      </m:oMathPara>
    </w:p>
    <w:p>
      <w:pPr>
        <w:widowControl/>
        <w:spacing w:after="120"/>
      </w:pPr>
      <w:r>
        <w:t>For every feasible original balance, equality multiplier terms cancel. Each independent box minimum is no greater than that schedule’s corresponding cost. The original cost is affine between its physical and reference-import breakpoints, so testing all breakpoints and both endpoints gives the global scalar minimum even at negative prices. The exact reevaluation in Section S21 does not depend on solver optimality or floating-point hull geometry. A candidate schedule supplies a separate lower savings endpoint only after exact feasibility and its full cost correction have been established.</w:t>
      </w:r>
    </w:p>
    <w:p>
      <w:pPr>
        <w:widowControl/>
        <w:spacing w:after="120"/>
      </w:pPr>
      <w:r>
        <w:t>The inspected annual source constructs its hull and dual objective in floating point and reports floor(dual)−1 per site. That reserve is not, by itself, a proved numerical error allowance. The new reference evaluator forms each scalar summand exactly from declared rational inputs, rounds the complete term downward to a fixed dollar quantum and accumulates integers. This gives a stated arithmetic-loss bound. It has passed the small-contract tests in Table 37; the original annual multipliers and witness arrays are still needed to apply it to the reported annual bounds. Any outward box expansion must retain the original domain and be recorded with the terminal convention.</w:t>
      </w:r>
    </w:p>
    <w:p>
      <w:pPr>
        <w:pStyle w:val="Heading1"/>
        <w:keepNext/>
        <w:widowControl/>
        <w:spacing w:before="280"/>
      </w:pPr>
      <w:r>
        <w:t>Public inference and reproducibility</w:t>
      </w:r>
    </w:p>
    <w:p>
      <w:pPr>
        <w:widowControl/>
        <w:spacing w:after="120"/>
      </w:pPr>
      <w:r>
        <w:t>Release v1.4.1 includes the pretrained market backbone, APIC price distributions, decision module and constrained execution code. The final W1 state contains the backbone after both pretraining stages. Assets include tokenization, fitted multiscale normalization, calibration, physical observers, fallbacks and all three selected decision refinements. Inference exports remove optimizer/RNG and unused legacy state while preserving trained inference tensors.</w:t>
      </w:r>
    </w:p>
    <w:p>
      <w:pPr>
        <w:widowControl/>
      </w:pPr>
      <w:r>
        <w:t>The release includes the model card, environment, feature definitions, timing rules, fallbacks and checkpoint lineage. Synthetic examples exercise inference and service-accounting interfaces. Full annual reconstruction additionally requires original admissions, full feature calendars and recovery records. A corrected commitment-time projector was described separately from the unchanged model release; its matching replacement source and trajectories are not established by the inspected archive. Sections S23–S24 distinguish the public implementation, reproduced settlement and remaining annual verification records.</w:t>
      </w:r>
    </w:p>
    <w:p>
      <w:pPr>
        <w:pStyle w:val="Caption"/>
        <w:keepNext/>
        <w:widowControl/>
      </w:pPr>
      <w:r>
        <w:t>Supplementary Table 26. Four levels of reproduction supported by release v1.4.1.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1656"/>
        <w:gridCol w:w="4176"/>
        <w:gridCol w:w="4032"/>
      </w:tblGrid>
      <w:tr>
        <w:trPr>
          <w:cantSplit/>
          <w:tblHeader w:val="true"/>
        </w:trPr>
        <w:tc>
          <w:tcPr>
            <w:tcW w:type="dxa" w:w="1656"/>
            <w:shd w:fill="E9EDF2"/>
            <w:vAlign w:val="center"/>
          </w:tcPr>
          <w:p>
            <w:pPr>
              <w:keepNext w:val="0"/>
              <w:spacing w:before="0" w:after="20" w:line="240" w:lineRule="auto"/>
              <w:jc w:val="left"/>
            </w:pPr>
            <w:r>
              <w:rPr>
                <w:rFonts w:ascii="Times New Roman" w:hAnsi="Times New Roman"/>
                <w:b/>
                <w:color w:val="000000"/>
                <w:sz w:val="18"/>
              </w:rPr>
              <w:t>Level</w:t>
            </w:r>
          </w:p>
        </w:tc>
        <w:tc>
          <w:tcPr>
            <w:tcW w:type="dxa" w:w="4176"/>
            <w:shd w:fill="E9EDF2"/>
            <w:vAlign w:val="center"/>
          </w:tcPr>
          <w:p>
            <w:pPr>
              <w:keepNext w:val="0"/>
              <w:spacing w:before="0" w:after="20" w:line="240" w:lineRule="auto"/>
              <w:jc w:val="left"/>
            </w:pPr>
            <w:r>
              <w:rPr>
                <w:rFonts w:ascii="Times New Roman" w:hAnsi="Times New Roman"/>
                <w:b/>
                <w:color w:val="000000"/>
                <w:sz w:val="18"/>
              </w:rPr>
              <w:t>Public capability</w:t>
            </w:r>
          </w:p>
        </w:tc>
        <w:tc>
          <w:tcPr>
            <w:tcW w:type="dxa" w:w="4032"/>
            <w:shd w:fill="E9EDF2"/>
            <w:vAlign w:val="center"/>
          </w:tcPr>
          <w:p>
            <w:pPr>
              <w:keepNext w:val="0"/>
              <w:spacing w:before="0" w:after="20" w:line="240" w:lineRule="auto"/>
              <w:jc w:val="left"/>
            </w:pPr>
            <w:r>
              <w:rPr>
                <w:rFonts w:ascii="Times New Roman" w:hAnsi="Times New Roman"/>
                <w:b/>
                <w:color w:val="000000"/>
                <w:sz w:val="18"/>
              </w:rPr>
              <w:t>Evidence boundary</w:t>
            </w:r>
          </w:p>
        </w:tc>
      </w:tr>
      <w:tr>
        <w:trPr>
          <w:cantSplit/>
        </w:trPr>
        <w:tc>
          <w:tcPr>
            <w:tcW w:type="dxa" w:w="1656"/>
            <w:vAlign w:val="center"/>
            <w:shd w:fill="FFFFFF"/>
          </w:tcPr>
          <w:p>
            <w:pPr>
              <w:keepNext w:val="0"/>
              <w:spacing w:before="0" w:after="20" w:line="240" w:lineRule="auto"/>
              <w:jc w:val="left"/>
            </w:pPr>
            <w:r>
              <w:rPr>
                <w:rFonts w:ascii="Times New Roman" w:hAnsi="Times New Roman"/>
                <w:b w:val="0"/>
                <w:color w:val="000000"/>
                <w:sz w:val="18"/>
              </w:rPr>
              <w:t>1 Complete model inference</w:t>
            </w:r>
          </w:p>
        </w:tc>
        <w:tc>
          <w:tcPr>
            <w:tcW w:type="dxa" w:w="4176"/>
            <w:vAlign w:val="center"/>
            <w:shd w:fill="FFFFFF"/>
          </w:tcPr>
          <w:p>
            <w:pPr>
              <w:keepNext w:val="0"/>
              <w:spacing w:before="0" w:after="20" w:line="240" w:lineRule="auto"/>
              <w:jc w:val="left"/>
            </w:pPr>
            <w:r>
              <w:rPr>
                <w:rFonts w:ascii="Times New Roman" w:hAnsi="Times New Roman"/>
                <w:b w:val="0"/>
                <w:color w:val="000000"/>
                <w:sz w:val="18"/>
              </w:rPr>
              <w:t>All three refinements run through the complete chain on a deterministic synthetic fixture</w:t>
            </w:r>
          </w:p>
        </w:tc>
        <w:tc>
          <w:tcPr>
            <w:tcW w:type="dxa" w:w="4032"/>
            <w:vAlign w:val="center"/>
            <w:shd w:fill="FFFFFF"/>
          </w:tcPr>
          <w:p>
            <w:pPr>
              <w:keepNext w:val="0"/>
              <w:spacing w:before="0" w:after="20" w:line="240" w:lineRule="auto"/>
              <w:jc w:val="left"/>
            </w:pPr>
            <w:r>
              <w:rPr>
                <w:rFonts w:ascii="Times New Roman" w:hAnsi="Times New Roman"/>
                <w:b w:val="0"/>
                <w:color w:val="000000"/>
                <w:sz w:val="18"/>
              </w:rPr>
              <w:t>Interface execution, not an annual economic experiment</w:t>
            </w:r>
          </w:p>
        </w:tc>
      </w:tr>
      <w:tr>
        <w:trPr>
          <w:cantSplit/>
        </w:trPr>
        <w:tc>
          <w:tcPr>
            <w:tcW w:type="dxa" w:w="1656"/>
            <w:vAlign w:val="center"/>
            <w:shd w:fill="FFFFFF"/>
          </w:tcPr>
          <w:p>
            <w:pPr>
              <w:keepNext w:val="0"/>
              <w:spacing w:before="0" w:after="20" w:line="240" w:lineRule="auto"/>
              <w:jc w:val="left"/>
            </w:pPr>
            <w:r>
              <w:rPr>
                <w:rFonts w:ascii="Times New Roman" w:hAnsi="Times New Roman"/>
                <w:b w:val="0"/>
                <w:color w:val="000000"/>
                <w:sz w:val="18"/>
              </w:rPr>
              <w:t>2 Executor and ledger</w:t>
            </w:r>
          </w:p>
        </w:tc>
        <w:tc>
          <w:tcPr>
            <w:tcW w:type="dxa" w:w="4176"/>
            <w:vAlign w:val="center"/>
            <w:shd w:fill="FFFFFF"/>
          </w:tcPr>
          <w:p>
            <w:pPr>
              <w:keepNext w:val="0"/>
              <w:spacing w:before="0" w:after="20" w:line="240" w:lineRule="auto"/>
              <w:jc w:val="left"/>
            </w:pPr>
            <w:r>
              <w:rPr>
                <w:rFonts w:ascii="Times New Roman" w:hAnsi="Times New Roman"/>
                <w:b w:val="0"/>
                <w:color w:val="000000"/>
                <w:sz w:val="18"/>
              </w:rPr>
              <w:t>Original current-action kernel, physical/deadline handling and service-debt conservation check</w:t>
            </w:r>
          </w:p>
        </w:tc>
        <w:tc>
          <w:tcPr>
            <w:tcW w:type="dxa" w:w="4032"/>
            <w:vAlign w:val="center"/>
            <w:shd w:fill="FFFFFF"/>
          </w:tcPr>
          <w:p>
            <w:pPr>
              <w:keepNext w:val="0"/>
              <w:spacing w:before="0" w:after="20" w:line="240" w:lineRule="auto"/>
              <w:jc w:val="left"/>
            </w:pPr>
            <w:r>
              <w:rPr>
                <w:rFonts w:ascii="Times New Roman" w:hAnsi="Times New Roman"/>
                <w:b w:val="0"/>
                <w:color w:val="000000"/>
                <w:sz w:val="18"/>
              </w:rPr>
              <w:t>One-decision example; annual accounting source retained</w:t>
            </w:r>
          </w:p>
        </w:tc>
      </w:tr>
      <w:tr>
        <w:trPr>
          <w:cantSplit/>
        </w:trPr>
        <w:tc>
          <w:tcPr>
            <w:tcW w:type="dxa" w:w="1656"/>
            <w:vAlign w:val="center"/>
            <w:shd w:fill="FFFFFF"/>
          </w:tcPr>
          <w:p>
            <w:pPr>
              <w:keepNext w:val="0"/>
              <w:spacing w:before="0" w:after="20" w:line="240" w:lineRule="auto"/>
              <w:jc w:val="left"/>
            </w:pPr>
            <w:r>
              <w:rPr>
                <w:rFonts w:ascii="Times New Roman" w:hAnsi="Times New Roman"/>
                <w:b w:val="0"/>
                <w:color w:val="000000"/>
                <w:sz w:val="18"/>
              </w:rPr>
              <w:t>3 Published annual statistics</w:t>
            </w:r>
          </w:p>
        </w:tc>
        <w:tc>
          <w:tcPr>
            <w:tcW w:type="dxa" w:w="4176"/>
            <w:vAlign w:val="center"/>
            <w:shd w:fill="FFFFFF"/>
          </w:tcPr>
          <w:p>
            <w:pPr>
              <w:keepNext w:val="0"/>
              <w:spacing w:before="0" w:after="20" w:line="240" w:lineRule="auto"/>
              <w:jc w:val="left"/>
            </w:pPr>
            <w:r>
              <w:rPr>
                <w:rFonts w:ascii="Times New Roman" w:hAnsi="Times New Roman"/>
                <w:b w:val="0"/>
                <w:color w:val="000000"/>
                <w:sz w:val="18"/>
              </w:rPr>
              <w:t>Existing public annual/daily derived outputs and reproduction tools</w:t>
            </w:r>
          </w:p>
        </w:tc>
        <w:tc>
          <w:tcPr>
            <w:tcW w:type="dxa" w:w="4032"/>
            <w:vAlign w:val="center"/>
            <w:shd w:fill="FFFFFF"/>
          </w:tcPr>
          <w:p>
            <w:pPr>
              <w:keepNext w:val="0"/>
              <w:spacing w:before="0" w:after="20" w:line="240" w:lineRule="auto"/>
              <w:jc w:val="left"/>
            </w:pPr>
            <w:r>
              <w:rPr>
                <w:rFonts w:ascii="Times New Roman" w:hAnsi="Times New Roman"/>
                <w:b w:val="0"/>
                <w:color w:val="000000"/>
                <w:sz w:val="18"/>
              </w:rPr>
              <w:t>Recalculation from retained outputs is distinct from new replay</w:t>
            </w:r>
          </w:p>
        </w:tc>
      </w:tr>
      <w:tr>
        <w:trPr>
          <w:cantSplit/>
        </w:trPr>
        <w:tc>
          <w:tcPr>
            <w:tcW w:type="dxa" w:w="1656"/>
            <w:vAlign w:val="center"/>
            <w:shd w:fill="FFFFFF"/>
          </w:tcPr>
          <w:p>
            <w:pPr>
              <w:keepNext w:val="0"/>
              <w:spacing w:before="0" w:after="20" w:line="240" w:lineRule="auto"/>
              <w:jc w:val="left"/>
            </w:pPr>
            <w:r>
              <w:rPr>
                <w:rFonts w:ascii="Times New Roman" w:hAnsi="Times New Roman"/>
                <w:b w:val="0"/>
                <w:color w:val="000000"/>
                <w:sz w:val="18"/>
              </w:rPr>
              <w:t>4 Retraining and annual replay</w:t>
            </w:r>
          </w:p>
        </w:tc>
        <w:tc>
          <w:tcPr>
            <w:tcW w:type="dxa" w:w="4176"/>
            <w:vAlign w:val="center"/>
            <w:shd w:fill="FFFFFF"/>
          </w:tcPr>
          <w:p>
            <w:pPr>
              <w:keepNext w:val="0"/>
              <w:spacing w:before="0" w:after="20" w:line="240" w:lineRule="auto"/>
              <w:jc w:val="left"/>
            </w:pPr>
            <w:r>
              <w:rPr>
                <w:rFonts w:ascii="Times New Roman" w:hAnsi="Times New Roman"/>
                <w:b w:val="0"/>
                <w:color w:val="000000"/>
                <w:sz w:val="18"/>
              </w:rPr>
              <w:t>Model definitions, code and fitted assets supplied</w:t>
            </w:r>
          </w:p>
        </w:tc>
        <w:tc>
          <w:tcPr>
            <w:tcW w:type="dxa" w:w="4032"/>
            <w:vAlign w:val="center"/>
            <w:shd w:fill="FFFFFF"/>
          </w:tcPr>
          <w:p>
            <w:pPr>
              <w:keepNext w:val="0"/>
              <w:spacing w:before="0" w:after="20" w:line="240" w:lineRule="auto"/>
              <w:jc w:val="left"/>
            </w:pPr>
            <w:r>
              <w:rPr>
                <w:rFonts w:ascii="Times New Roman" w:hAnsi="Times New Roman"/>
                <w:b w:val="0"/>
                <w:color w:val="000000"/>
                <w:sz w:val="18"/>
              </w:rPr>
              <w:t>Provider raw archives and full feature calendars still required</w:t>
            </w:r>
          </w:p>
        </w:tc>
      </w:tr>
    </w:tbl>
    <w:p>
      <w:pPr>
        <w:widowControl/>
        <w:spacing w:after="120"/>
      </w:pPr>
    </w:p>
    <w:p>
      <w:pPr>
        <w:widowControl/>
        <w:spacing w:after="120"/>
      </w:pPr>
      <w:r>
        <w:t>The public 228,062,293-byte inference archive was downloaded without authentication and matched the manifest SHA-256: 911b94f110ccb0996bc857e68a1b2b762240ccf19f4e2f64f222b8a57183e2ac. Release URL: https://github.com/kalimustafa/executable-service-commitments-worldmoe/releases/tag/v1.4.1. Version v1.3.0 is unchanged; v1.4.0 remains a superseded prerelease following the portable multiscale adapter correction. Packaging did not rerun or select annual results.</w:t>
      </w:r>
    </w:p>
    <w:p>
      <w:pPr>
        <w:widowControl/>
        <w:spacing w:after="120"/>
      </w:pPr>
      <w:r>
        <w:t>The portable CPU example uses FP32 with FP16 bridge quantization; historical feature extraction used CUDA BF16/FP16. Exact annual numerical reproduction requires the original precision and complete input pipeline. Model-parameter identity does not eliminate this numerical compatibility boundary.</w:t>
      </w:r>
    </w:p>
    <w:p>
      <w:pPr>
        <w:pStyle w:val="Caption"/>
        <w:keepNext/>
        <w:widowControl/>
      </w:pPr>
      <w:r>
        <w:t>Supplementary Table 27. Author display epochs and immutable source artifacts. Hashes identify original checkpoints; exported-file hashes are recorded in model_manifest.json.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1080"/>
        <w:gridCol w:w="936"/>
        <w:gridCol w:w="3096"/>
        <w:gridCol w:w="4752"/>
      </w:tblGrid>
      <w:tr>
        <w:trPr>
          <w:cantSplit/>
          <w:tblHeader w:val="true"/>
        </w:trPr>
        <w:tc>
          <w:tcPr>
            <w:tcW w:type="dxa" w:w="1080"/>
            <w:shd w:fill="E9EDF2"/>
            <w:vAlign w:val="center"/>
          </w:tcPr>
          <w:p>
            <w:pPr>
              <w:keepNext w:val="0"/>
              <w:spacing w:before="0" w:after="20" w:line="240" w:lineRule="auto"/>
              <w:jc w:val="left"/>
            </w:pPr>
            <w:r>
              <w:rPr>
                <w:rFonts w:ascii="Times New Roman" w:hAnsi="Times New Roman"/>
                <w:b/>
                <w:color w:val="000000"/>
                <w:sz w:val="18"/>
              </w:rPr>
              <w:t>Seed</w:t>
            </w:r>
          </w:p>
        </w:tc>
        <w:tc>
          <w:tcPr>
            <w:tcW w:type="dxa" w:w="936"/>
            <w:shd w:fill="E9EDF2"/>
            <w:vAlign w:val="center"/>
          </w:tcPr>
          <w:p>
            <w:pPr>
              <w:keepNext w:val="0"/>
              <w:spacing w:before="0" w:after="20" w:line="240" w:lineRule="auto"/>
              <w:jc w:val="center"/>
            </w:pPr>
            <w:r>
              <w:rPr>
                <w:rFonts w:ascii="Times New Roman" w:hAnsi="Times New Roman"/>
                <w:b/>
                <w:color w:val="000000"/>
                <w:sz w:val="18"/>
              </w:rPr>
              <w:t>Display epoch</w:t>
            </w:r>
          </w:p>
        </w:tc>
        <w:tc>
          <w:tcPr>
            <w:tcW w:type="dxa" w:w="3096"/>
            <w:shd w:fill="E9EDF2"/>
            <w:vAlign w:val="center"/>
          </w:tcPr>
          <w:p>
            <w:pPr>
              <w:keepNext w:val="0"/>
              <w:spacing w:before="0" w:after="20" w:line="240" w:lineRule="auto"/>
              <w:jc w:val="center"/>
            </w:pPr>
            <w:r>
              <w:rPr>
                <w:rFonts w:ascii="Times New Roman" w:hAnsi="Times New Roman"/>
                <w:b/>
                <w:color w:val="000000"/>
                <w:sz w:val="18"/>
              </w:rPr>
              <w:t>Exact archive identifier</w:t>
            </w:r>
          </w:p>
        </w:tc>
        <w:tc>
          <w:tcPr>
            <w:tcW w:type="dxa" w:w="4752"/>
            <w:shd w:fill="E9EDF2"/>
            <w:vAlign w:val="center"/>
          </w:tcPr>
          <w:p>
            <w:pPr>
              <w:keepNext w:val="0"/>
              <w:spacing w:before="0" w:after="20" w:line="240" w:lineRule="auto"/>
              <w:jc w:val="center"/>
            </w:pPr>
            <w:r>
              <w:rPr>
                <w:rFonts w:ascii="Times New Roman" w:hAnsi="Times New Roman"/>
                <w:b/>
                <w:color w:val="000000"/>
                <w:sz w:val="18"/>
              </w:rPr>
              <w:t>Source SHA-256</w:t>
            </w:r>
          </w:p>
        </w:tc>
      </w:tr>
      <w:tr>
        <w:trPr>
          <w:cantSplit/>
        </w:trPr>
        <w:tc>
          <w:tcPr>
            <w:tcW w:type="dxa" w:w="1080"/>
            <w:vAlign w:val="center"/>
            <w:shd w:fill="FFFFFF"/>
          </w:tcPr>
          <w:p>
            <w:pPr>
              <w:keepNext w:val="0"/>
              <w:spacing w:before="0" w:after="20" w:line="240" w:lineRule="auto"/>
              <w:jc w:val="left"/>
            </w:pPr>
            <w:r>
              <w:rPr>
                <w:rFonts w:ascii="Times New Roman" w:hAnsi="Times New Roman"/>
                <w:b w:val="0"/>
                <w:color w:val="000000"/>
                <w:sz w:val="18"/>
              </w:rPr>
              <w:t>20260920</w:t>
            </w:r>
          </w:p>
        </w:tc>
        <w:tc>
          <w:tcPr>
            <w:tcW w:type="dxa" w:w="936"/>
            <w:vAlign w:val="center"/>
            <w:shd w:fill="FFFFFF"/>
          </w:tcPr>
          <w:p>
            <w:pPr>
              <w:keepNext w:val="0"/>
              <w:spacing w:before="0" w:after="20" w:line="240" w:lineRule="auto"/>
              <w:jc w:val="center"/>
            </w:pPr>
            <w:r>
              <w:rPr>
                <w:rFonts w:ascii="Times New Roman" w:hAnsi="Times New Roman"/>
                <w:b w:val="0"/>
                <w:color w:val="000000"/>
                <w:sz w:val="18"/>
              </w:rPr>
              <w:t>6</w:t>
            </w:r>
          </w:p>
        </w:tc>
        <w:tc>
          <w:tcPr>
            <w:tcW w:type="dxa" w:w="3096"/>
            <w:vAlign w:val="center"/>
            <w:shd w:fill="FFFFFF"/>
          </w:tcPr>
          <w:p>
            <w:pPr>
              <w:keepNext w:val="0"/>
              <w:spacing w:before="0" w:after="20" w:line="240" w:lineRule="auto"/>
              <w:jc w:val="center"/>
            </w:pPr>
            <w:r>
              <w:rPr>
                <w:rFonts w:ascii="Times New Roman" w:hAnsi="Times New Roman"/>
                <w:b w:val="0"/>
                <w:color w:val="000000"/>
                <w:sz w:val="18"/>
              </w:rPr>
              <w:t>CdfR2_seed20260920_epoch06.pt</w:t>
            </w:r>
          </w:p>
        </w:tc>
        <w:tc>
          <w:tcPr>
            <w:tcW w:type="dxa" w:w="4752"/>
            <w:vAlign w:val="center"/>
            <w:shd w:fill="FFFFFF"/>
          </w:tcPr>
          <w:p>
            <w:pPr>
              <w:keepNext w:val="0"/>
              <w:spacing w:before="0" w:after="20" w:line="240" w:lineRule="auto"/>
              <w:jc w:val="left"/>
            </w:pPr>
            <w:r>
              <w:rPr>
                <w:rFonts w:ascii="Times New Roman" w:hAnsi="Times New Roman"/>
                <w:b w:val="0"/>
                <w:color w:val="000000"/>
                <w:sz w:val="18"/>
              </w:rPr>
              <w:t>0cf04e11318184a2f064a1cf571cffe2</w:t>
              <w:br/>
              <w:t>5cb3a78b77f2dc95bb30b01fceba14ab</w:t>
            </w:r>
          </w:p>
        </w:tc>
      </w:tr>
      <w:tr>
        <w:trPr>
          <w:cantSplit/>
        </w:trPr>
        <w:tc>
          <w:tcPr>
            <w:tcW w:type="dxa" w:w="1080"/>
            <w:vAlign w:val="center"/>
            <w:shd w:fill="FFFFFF"/>
          </w:tcPr>
          <w:p>
            <w:pPr>
              <w:keepNext w:val="0"/>
              <w:spacing w:before="0" w:after="20" w:line="240" w:lineRule="auto"/>
              <w:jc w:val="left"/>
            </w:pPr>
            <w:r>
              <w:rPr>
                <w:rFonts w:ascii="Times New Roman" w:hAnsi="Times New Roman"/>
                <w:b w:val="0"/>
                <w:color w:val="000000"/>
                <w:sz w:val="18"/>
              </w:rPr>
              <w:t>20260921</w:t>
            </w:r>
          </w:p>
        </w:tc>
        <w:tc>
          <w:tcPr>
            <w:tcW w:type="dxa" w:w="936"/>
            <w:vAlign w:val="center"/>
            <w:shd w:fill="FFFFFF"/>
          </w:tcPr>
          <w:p>
            <w:pPr>
              <w:keepNext w:val="0"/>
              <w:spacing w:before="0" w:after="20" w:line="240" w:lineRule="auto"/>
              <w:jc w:val="center"/>
            </w:pPr>
            <w:r>
              <w:rPr>
                <w:rFonts w:ascii="Times New Roman" w:hAnsi="Times New Roman"/>
                <w:b w:val="0"/>
                <w:color w:val="000000"/>
                <w:sz w:val="18"/>
              </w:rPr>
              <w:t>2</w:t>
            </w:r>
          </w:p>
        </w:tc>
        <w:tc>
          <w:tcPr>
            <w:tcW w:type="dxa" w:w="3096"/>
            <w:vAlign w:val="center"/>
            <w:shd w:fill="FFFFFF"/>
          </w:tcPr>
          <w:p>
            <w:pPr>
              <w:keepNext w:val="0"/>
              <w:spacing w:before="0" w:after="20" w:line="240" w:lineRule="auto"/>
              <w:jc w:val="center"/>
            </w:pPr>
            <w:r>
              <w:rPr>
                <w:rFonts w:ascii="Times New Roman" w:hAnsi="Times New Roman"/>
                <w:b w:val="0"/>
                <w:color w:val="000000"/>
                <w:sz w:val="18"/>
              </w:rPr>
              <w:t>CdfR2_seed20260921_epoch02.pt</w:t>
            </w:r>
          </w:p>
        </w:tc>
        <w:tc>
          <w:tcPr>
            <w:tcW w:type="dxa" w:w="4752"/>
            <w:vAlign w:val="center"/>
            <w:shd w:fill="FFFFFF"/>
          </w:tcPr>
          <w:p>
            <w:pPr>
              <w:keepNext w:val="0"/>
              <w:spacing w:before="0" w:after="20" w:line="240" w:lineRule="auto"/>
              <w:jc w:val="left"/>
            </w:pPr>
            <w:r>
              <w:rPr>
                <w:rFonts w:ascii="Times New Roman" w:hAnsi="Times New Roman"/>
                <w:b w:val="0"/>
                <w:color w:val="000000"/>
                <w:sz w:val="18"/>
              </w:rPr>
              <w:t>2f281002e8ccafb859c197c7745c366e</w:t>
              <w:br/>
              <w:t>945e1b9ce8568e5ccd514ebdebf78448</w:t>
            </w:r>
          </w:p>
        </w:tc>
      </w:tr>
      <w:tr>
        <w:trPr>
          <w:cantSplit/>
        </w:trPr>
        <w:tc>
          <w:tcPr>
            <w:tcW w:type="dxa" w:w="1080"/>
            <w:vAlign w:val="center"/>
            <w:shd w:fill="FFFFFF"/>
          </w:tcPr>
          <w:p>
            <w:pPr>
              <w:keepNext w:val="0"/>
              <w:spacing w:before="0" w:after="20" w:line="240" w:lineRule="auto"/>
              <w:jc w:val="left"/>
            </w:pPr>
            <w:r>
              <w:rPr>
                <w:rFonts w:ascii="Times New Roman" w:hAnsi="Times New Roman"/>
                <w:b w:val="0"/>
                <w:color w:val="000000"/>
                <w:sz w:val="18"/>
              </w:rPr>
              <w:t>20260922</w:t>
            </w:r>
          </w:p>
        </w:tc>
        <w:tc>
          <w:tcPr>
            <w:tcW w:type="dxa" w:w="936"/>
            <w:vAlign w:val="center"/>
            <w:shd w:fill="FFFFFF"/>
          </w:tcPr>
          <w:p>
            <w:pPr>
              <w:keepNext w:val="0"/>
              <w:spacing w:before="0" w:after="20" w:line="240" w:lineRule="auto"/>
              <w:jc w:val="center"/>
            </w:pPr>
            <w:r>
              <w:rPr>
                <w:rFonts w:ascii="Times New Roman" w:hAnsi="Times New Roman"/>
                <w:b w:val="0"/>
                <w:color w:val="000000"/>
                <w:sz w:val="18"/>
              </w:rPr>
              <w:t>2</w:t>
            </w:r>
          </w:p>
        </w:tc>
        <w:tc>
          <w:tcPr>
            <w:tcW w:type="dxa" w:w="3096"/>
            <w:vAlign w:val="center"/>
            <w:shd w:fill="FFFFFF"/>
          </w:tcPr>
          <w:p>
            <w:pPr>
              <w:keepNext w:val="0"/>
              <w:spacing w:before="0" w:after="20" w:line="240" w:lineRule="auto"/>
              <w:jc w:val="center"/>
            </w:pPr>
            <w:r>
              <w:rPr>
                <w:rFonts w:ascii="Times New Roman" w:hAnsi="Times New Roman"/>
                <w:b w:val="0"/>
                <w:color w:val="000000"/>
                <w:sz w:val="18"/>
              </w:rPr>
              <w:t>CdfR2_seed20260922_epoch00.pt</w:t>
            </w:r>
          </w:p>
        </w:tc>
        <w:tc>
          <w:tcPr>
            <w:tcW w:type="dxa" w:w="4752"/>
            <w:vAlign w:val="center"/>
            <w:shd w:fill="FFFFFF"/>
          </w:tcPr>
          <w:p>
            <w:pPr>
              <w:keepNext w:val="0"/>
              <w:spacing w:before="0" w:after="20" w:line="240" w:lineRule="auto"/>
              <w:jc w:val="left"/>
            </w:pPr>
            <w:r>
              <w:rPr>
                <w:rFonts w:ascii="Times New Roman" w:hAnsi="Times New Roman"/>
                <w:b w:val="0"/>
                <w:color w:val="000000"/>
                <w:sz w:val="18"/>
              </w:rPr>
              <w:t>e6e031bbd9757baee3fbaed4fbad5876</w:t>
              <w:br/>
              <w:t>52fe84d0a27394ac05965f3a096f9e17</w:t>
            </w:r>
          </w:p>
        </w:tc>
      </w:tr>
    </w:tbl>
    <w:p>
      <w:pPr>
        <w:widowControl/>
        <w:spacing w:after="120"/>
      </w:pPr>
    </w:p>
    <w:p>
      <w:pPr>
        <w:widowControl/>
        <w:spacing w:after="120"/>
      </w:pPr>
      <w:r>
        <w:t>The third display epoch remains 2 on author authority, while the unchanged checkpoint is epoch00. Frontier Table 15 instead follows the executable archive’s 30 h count of 27 because no matching replacement run supports the earlier zero. The stated sealing of the 2025 evaluation calendar remains an author-corrected chronology rather than an independently reconstructed historical access log. None of these records alone establishes first-release input availability.</w:t>
      </w:r>
    </w:p>
    <w:p>
      <w:pPr>
        <w:pStyle w:val="Heading1"/>
        <w:keepNext/>
        <w:widowControl/>
        <w:spacing w:before="280"/>
      </w:pPr>
      <w:r>
        <w:t>Common-executor comparison</w:t>
      </w:r>
    </w:p>
    <w:p>
      <w:pPr>
        <w:widowControl/>
        <w:spacing w:after="120"/>
      </w:pPr>
      <w:r>
        <w:t>Table 28 contains retained annual common-executor aggregates, rounded to US dollars. It introduces no new daily reconciliation or statistical inference. Historical risk measures and paired intervals remain tied to their original native-system accounts.</w:t>
      </w:r>
    </w:p>
    <w:p>
      <w:pPr>
        <w:widowControl/>
        <w:spacing w:after="100" w:line="264" w:lineRule="auto"/>
      </w:pPr>
      <w:r>
        <w:t>The shared early-stopping and economic-selection rule is applied to the completed neural-model candidate histories. WorldMoE runs completed 12, 6 and 6 epochs. Non-MoE completed six, with candidates at 0, 2, 4 and 6; its highest-value eligible candidate is the initialization, which already contains a trained dense market encoder. Selection from these retained histories performs no new optimization updates. The selected interfaces remain fixed in 2025; archived systems retain their fitted states and, for native-system comparisons, their original controllers.</w:t>
      </w:r>
    </w:p>
    <w:p>
      <w:pPr>
        <w:pStyle w:val="Caption"/>
        <w:keepNext/>
        <w:widowControl/>
      </w:pPr>
      <w:r>
        <w:t>Supplementary Table 28. Annual savings of complete model interfaces under the common executor.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4032"/>
        <w:gridCol w:w="1872"/>
        <w:gridCol w:w="3960"/>
      </w:tblGrid>
      <w:tr>
        <w:trPr>
          <w:cantSplit/>
          <w:tblHeader w:val="true"/>
        </w:trPr>
        <w:tc>
          <w:tcPr>
            <w:tcW w:type="dxa" w:w="4032"/>
            <w:shd w:fill="E9EDF2"/>
            <w:vAlign w:val="center"/>
          </w:tcPr>
          <w:p>
            <w:pPr>
              <w:keepNext w:val="0"/>
              <w:spacing w:before="0" w:after="20" w:line="240" w:lineRule="auto"/>
              <w:jc w:val="left"/>
            </w:pPr>
            <w:r>
              <w:rPr>
                <w:rFonts w:ascii="Times New Roman" w:hAnsi="Times New Roman"/>
                <w:b/>
                <w:color w:val="000000"/>
                <w:sz w:val="18"/>
              </w:rPr>
              <w:t>Model</w:t>
            </w:r>
          </w:p>
        </w:tc>
        <w:tc>
          <w:tcPr>
            <w:tcW w:type="dxa" w:w="1872"/>
            <w:shd w:fill="E9EDF2"/>
            <w:vAlign w:val="center"/>
          </w:tcPr>
          <w:p>
            <w:pPr>
              <w:keepNext w:val="0"/>
              <w:spacing w:before="0" w:after="20" w:line="240" w:lineRule="auto"/>
              <w:jc w:val="left"/>
            </w:pPr>
            <w:r>
              <w:rPr>
                <w:rFonts w:ascii="Times New Roman" w:hAnsi="Times New Roman"/>
                <w:b/>
                <w:color w:val="000000"/>
                <w:sz w:val="18"/>
              </w:rPr>
              <w:t>Annual saving US$</w:t>
            </w:r>
          </w:p>
        </w:tc>
        <w:tc>
          <w:tcPr>
            <w:tcW w:type="dxa" w:w="3960"/>
            <w:shd w:fill="E9EDF2"/>
            <w:vAlign w:val="center"/>
          </w:tcPr>
          <w:p>
            <w:pPr>
              <w:keepNext w:val="0"/>
              <w:spacing w:before="0" w:after="20" w:line="240" w:lineRule="auto"/>
              <w:jc w:val="left"/>
            </w:pPr>
            <w:r>
              <w:rPr>
                <w:rFonts w:ascii="Times New Roman" w:hAnsi="Times New Roman"/>
                <w:b/>
                <w:color w:val="000000"/>
                <w:sz w:val="18"/>
              </w:rPr>
              <w:t>Value provenance</w:t>
            </w:r>
          </w:p>
        </w:tc>
      </w:tr>
      <w:tr>
        <w:trPr>
          <w:cantSplit/>
        </w:trPr>
        <w:tc>
          <w:tcPr>
            <w:tcW w:type="dxa" w:w="4032"/>
            <w:vAlign w:val="center"/>
            <w:shd w:fill="FFFFFF"/>
          </w:tcPr>
          <w:p>
            <w:pPr>
              <w:keepNext w:val="0"/>
              <w:spacing w:before="0" w:after="20" w:line="240" w:lineRule="auto"/>
              <w:jc w:val="left"/>
            </w:pPr>
            <w:r>
              <w:rPr>
                <w:rFonts w:ascii="Times New Roman" w:hAnsi="Times New Roman"/>
                <w:b w:val="0"/>
                <w:color w:val="000000"/>
                <w:sz w:val="18"/>
              </w:rPr>
              <w:t>Full WorldMoE</w:t>
            </w:r>
          </w:p>
        </w:tc>
        <w:tc>
          <w:tcPr>
            <w:tcW w:type="dxa" w:w="1872"/>
            <w:vAlign w:val="center"/>
            <w:shd w:fill="FFFFFF"/>
          </w:tcPr>
          <w:p>
            <w:pPr>
              <w:keepNext w:val="0"/>
              <w:spacing w:before="0" w:after="20" w:line="240" w:lineRule="auto"/>
              <w:jc w:val="left"/>
            </w:pPr>
            <w:r>
              <w:rPr>
                <w:rFonts w:ascii="Times New Roman" w:hAnsi="Times New Roman"/>
                <w:b w:val="0"/>
                <w:color w:val="000000"/>
                <w:sz w:val="18"/>
              </w:rPr>
              <w:t>105,271</w:t>
            </w:r>
          </w:p>
        </w:tc>
        <w:tc>
          <w:tcPr>
            <w:tcW w:type="dxa" w:w="3960"/>
            <w:vAlign w:val="center"/>
            <w:shd w:fill="FFFFFF"/>
          </w:tcPr>
          <w:p>
            <w:pPr>
              <w:keepNext w:val="0"/>
              <w:spacing w:before="0" w:after="20" w:line="240" w:lineRule="auto"/>
              <w:jc w:val="left"/>
            </w:pPr>
            <w:r>
              <w:rPr>
                <w:rFonts w:ascii="Times New Roman" w:hAnsi="Times New Roman"/>
                <w:b w:val="0"/>
                <w:color w:val="000000"/>
                <w:sz w:val="18"/>
              </w:rPr>
              <w:t>Retained three-refinement mean, rounded</w:t>
            </w:r>
          </w:p>
        </w:tc>
      </w:tr>
      <w:tr>
        <w:trPr>
          <w:cantSplit/>
        </w:trPr>
        <w:tc>
          <w:tcPr>
            <w:tcW w:type="dxa" w:w="4032"/>
            <w:vAlign w:val="center"/>
            <w:shd w:fill="FFFFFF"/>
          </w:tcPr>
          <w:p>
            <w:pPr>
              <w:keepNext w:val="0"/>
              <w:spacing w:before="0" w:after="20" w:line="240" w:lineRule="auto"/>
              <w:jc w:val="left"/>
            </w:pPr>
            <w:r>
              <w:rPr>
                <w:rFonts w:ascii="Times New Roman" w:hAnsi="Times New Roman"/>
                <w:b w:val="0"/>
                <w:color w:val="000000"/>
                <w:sz w:val="18"/>
              </w:rPr>
              <w:t>Regime-calibrated LightGBM</w:t>
            </w:r>
          </w:p>
        </w:tc>
        <w:tc>
          <w:tcPr>
            <w:tcW w:type="dxa" w:w="1872"/>
            <w:vAlign w:val="center"/>
            <w:shd w:fill="FFFFFF"/>
          </w:tcPr>
          <w:p>
            <w:pPr>
              <w:keepNext w:val="0"/>
              <w:spacing w:before="0" w:after="20" w:line="240" w:lineRule="auto"/>
              <w:jc w:val="left"/>
            </w:pPr>
            <w:r>
              <w:rPr>
                <w:rFonts w:ascii="Times New Roman" w:hAnsi="Times New Roman"/>
                <w:b w:val="0"/>
                <w:color w:val="000000"/>
                <w:sz w:val="18"/>
              </w:rPr>
              <w:t>83,983</w:t>
            </w:r>
          </w:p>
        </w:tc>
        <w:tc>
          <w:tcPr>
            <w:tcW w:type="dxa" w:w="3960"/>
            <w:vAlign w:val="center"/>
            <w:shd w:fill="FFFFFF"/>
          </w:tcPr>
          <w:p>
            <w:pPr>
              <w:keepNext w:val="0"/>
              <w:spacing w:before="0" w:after="20" w:line="240" w:lineRule="auto"/>
              <w:jc w:val="left"/>
            </w:pPr>
            <w:r>
              <w:rPr>
                <w:rFonts w:ascii="Times New Roman" w:hAnsi="Times New Roman"/>
                <w:b w:val="0"/>
                <w:color w:val="000000"/>
                <w:sz w:val="18"/>
              </w:rPr>
              <w:t>Revised aggregate summary</w:t>
            </w:r>
          </w:p>
        </w:tc>
      </w:tr>
      <w:tr>
        <w:trPr>
          <w:cantSplit/>
        </w:trPr>
        <w:tc>
          <w:tcPr>
            <w:tcW w:type="dxa" w:w="4032"/>
            <w:vAlign w:val="center"/>
            <w:shd w:fill="FFFFFF"/>
          </w:tcPr>
          <w:p>
            <w:pPr>
              <w:keepNext w:val="0"/>
              <w:spacing w:before="0" w:after="20" w:line="240" w:lineRule="auto"/>
              <w:jc w:val="left"/>
            </w:pPr>
            <w:r>
              <w:rPr>
                <w:rFonts w:ascii="Times New Roman" w:hAnsi="Times New Roman"/>
                <w:b w:val="0"/>
                <w:color w:val="000000"/>
                <w:sz w:val="18"/>
              </w:rPr>
              <w:t>Previous WorldMoE</w:t>
            </w:r>
          </w:p>
        </w:tc>
        <w:tc>
          <w:tcPr>
            <w:tcW w:type="dxa" w:w="1872"/>
            <w:vAlign w:val="center"/>
            <w:shd w:fill="FFFFFF"/>
          </w:tcPr>
          <w:p>
            <w:pPr>
              <w:keepNext w:val="0"/>
              <w:spacing w:before="0" w:after="20" w:line="240" w:lineRule="auto"/>
              <w:jc w:val="left"/>
            </w:pPr>
            <w:r>
              <w:rPr>
                <w:rFonts w:ascii="Times New Roman" w:hAnsi="Times New Roman"/>
                <w:b w:val="0"/>
                <w:color w:val="000000"/>
                <w:sz w:val="18"/>
              </w:rPr>
              <w:t>84,420</w:t>
            </w:r>
          </w:p>
        </w:tc>
        <w:tc>
          <w:tcPr>
            <w:tcW w:type="dxa" w:w="3960"/>
            <w:vAlign w:val="center"/>
            <w:shd w:fill="FFFFFF"/>
          </w:tcPr>
          <w:p>
            <w:pPr>
              <w:keepNext w:val="0"/>
              <w:spacing w:before="0" w:after="20" w:line="240" w:lineRule="auto"/>
              <w:jc w:val="left"/>
            </w:pPr>
            <w:r>
              <w:rPr>
                <w:rFonts w:ascii="Times New Roman" w:hAnsi="Times New Roman"/>
                <w:b w:val="0"/>
                <w:color w:val="000000"/>
                <w:sz w:val="18"/>
              </w:rPr>
              <w:t>Revised aggregate summary</w:t>
            </w:r>
          </w:p>
        </w:tc>
      </w:tr>
      <w:tr>
        <w:trPr>
          <w:cantSplit/>
        </w:trPr>
        <w:tc>
          <w:tcPr>
            <w:tcW w:type="dxa" w:w="4032"/>
            <w:vAlign w:val="center"/>
            <w:shd w:fill="FFFFFF"/>
          </w:tcPr>
          <w:p>
            <w:pPr>
              <w:keepNext w:val="0"/>
              <w:spacing w:before="0" w:after="20" w:line="240" w:lineRule="auto"/>
              <w:jc w:val="left"/>
            </w:pPr>
            <w:r>
              <w:rPr>
                <w:rFonts w:ascii="Times New Roman" w:hAnsi="Times New Roman"/>
                <w:b w:val="0"/>
                <w:color w:val="000000"/>
                <w:sz w:val="18"/>
              </w:rPr>
              <w:t>Non-MoE neural decision model</w:t>
            </w:r>
          </w:p>
        </w:tc>
        <w:tc>
          <w:tcPr>
            <w:tcW w:type="dxa" w:w="1872"/>
            <w:vAlign w:val="center"/>
            <w:shd w:fill="FFFFFF"/>
          </w:tcPr>
          <w:p>
            <w:pPr>
              <w:keepNext w:val="0"/>
              <w:spacing w:before="0" w:after="20" w:line="240" w:lineRule="auto"/>
              <w:jc w:val="left"/>
            </w:pPr>
            <w:r>
              <w:rPr>
                <w:rFonts w:ascii="Times New Roman" w:hAnsi="Times New Roman"/>
                <w:b w:val="0"/>
                <w:color w:val="000000"/>
                <w:sz w:val="18"/>
              </w:rPr>
              <w:t>85,684</w:t>
            </w:r>
          </w:p>
        </w:tc>
        <w:tc>
          <w:tcPr>
            <w:tcW w:type="dxa" w:w="3960"/>
            <w:vAlign w:val="center"/>
            <w:shd w:fill="FFFFFF"/>
          </w:tcPr>
          <w:p>
            <w:pPr>
              <w:keepNext w:val="0"/>
              <w:spacing w:before="0" w:after="20" w:line="240" w:lineRule="auto"/>
              <w:jc w:val="left"/>
            </w:pPr>
            <w:r>
              <w:rPr>
                <w:rFonts w:ascii="Times New Roman" w:hAnsi="Times New Roman"/>
                <w:b w:val="0"/>
                <w:color w:val="000000"/>
                <w:sz w:val="18"/>
              </w:rPr>
              <w:t>Revised aggregate summary</w:t>
            </w:r>
          </w:p>
        </w:tc>
      </w:tr>
    </w:tbl>
    <w:p>
      <w:pPr>
        <w:widowControl/>
        <w:spacing w:after="120"/>
      </w:pPr>
    </w:p>
    <w:p>
      <w:pPr>
        <w:widowControl/>
        <w:spacing w:after="120"/>
      </w:pPr>
      <w:r>
        <w:t>The confidence intervals and risk statistics reported for native systems cannot be transferred to Table 28. Native-system comparisons preserve each historical model’s calibration and controller and therefore answer a separate complete-system question.</w:t>
      </w:r>
    </w:p>
    <w:p>
      <w:pPr>
        <w:pStyle w:val="Heading1"/>
        <w:keepNext/>
        <w:widowControl/>
        <w:spacing w:before="280"/>
      </w:pPr>
      <w:r>
        <w:t>Historical complete-system benchmarks</w:t>
      </w:r>
    </w:p>
    <w:p>
      <w:pPr>
        <w:pStyle w:val="Caption"/>
        <w:keepNext/>
        <w:widowControl/>
      </w:pPr>
      <w:r>
        <w:t>Supplementary Table 29. Twenty-six historical model–controller combinations, with immediate execution and current WorldMoE as references. Numerical values are unchanged.</w:t>
      </w:r>
    </w:p>
    <w:p>
      <w:pPr>
        <w:widowControl/>
        <w:spacing w:after="120"/>
      </w:pPr>
      <w:r>
        <w:t>Each row is a complete historical model–controller combination under the stated workload, calendar, service and accounting conditions. P, I, ME and other abbreviated labels are retained archive identifiers, not new concepts introduced in this study. Risk and service fields remain specific to the original native-system accounts, separate from Table 28.</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2592"/>
        <w:gridCol w:w="1248"/>
        <w:gridCol w:w="1248"/>
        <w:gridCol w:w="1248"/>
        <w:gridCol w:w="1248"/>
        <w:gridCol w:w="1248"/>
        <w:gridCol w:w="1248"/>
      </w:tblGrid>
      <w:tr>
        <w:trPr>
          <w:tblHeader/>
          <w:cantSplit/>
          <w:tblHeader w:val="true"/>
          <w:cantSplit/>
          <w:tblHeader/>
          <w:tblHeader/>
        </w:trPr>
        <w:tc>
          <w:tcPr>
            <w:tcW w:type="dxa" w:w="2592"/>
            <w:vAlign w:val="center"/>
            <w:shd w:fill="E9EDF2"/>
            <w:tcMar>
              <w:top w:w="45" w:type="dxa"/>
              <w:left w:w="65" w:type="dxa"/>
              <w:bottom w:w="45" w:type="dxa"/>
              <w:right w:w="65" w:type="dxa"/>
              <w:start w:w="60" w:type="dxa"/>
              <w:end w:w="60" w:type="dxa"/>
            </w:tcMar>
            <w:tcBorders>
              <w:top w:val="single" w:sz="3" w:color="D5DFE5"/>
              <w:left w:val="single" w:sz="3" w:color="D5DFE5"/>
              <w:bottom w:val="single" w:sz="3" w:color="D5DFE5"/>
              <w:right w:val="single" w:sz="3" w:color="D5DFE5"/>
            </w:tcBorders>
            <w:tcMar>
              <w:top w:w="65" w:type="dxa"/>
              <w:left w:w="65" w:type="dxa"/>
              <w:bottom w:w="65" w:type="dxa"/>
              <w:right w:w="65" w:type="dxa"/>
            </w:tcMar>
            <w:shd w:fill="E8ECF0"/>
          </w:tcPr>
          <w:p>
            <w:pPr>
              <w:keepNext w:val="0"/>
              <w:spacing w:after="20" w:before="0" w:line="240" w:lineRule="auto"/>
              <w:jc w:val="left"/>
            </w:pPr>
            <w:r>
              <w:rPr>
                <w:rFonts w:ascii="Times New Roman" w:hAnsi="Times New Roman"/>
                <w:b/>
                <w:color w:val="000000"/>
                <w:sz w:val="17"/>
              </w:rPr>
              <w:t>Pipeline / policy</w:t>
            </w:r>
          </w:p>
        </w:tc>
        <w:tc>
          <w:tcPr>
            <w:tcW w:type="dxa" w:w="1248"/>
            <w:vAlign w:val="center"/>
            <w:shd w:fill="E9EDF2"/>
            <w:tcMar>
              <w:top w:w="45" w:type="dxa"/>
              <w:left w:w="65" w:type="dxa"/>
              <w:bottom w:w="45" w:type="dxa"/>
              <w:right w:w="65" w:type="dxa"/>
              <w:start w:w="60" w:type="dxa"/>
              <w:end w:w="60" w:type="dxa"/>
            </w:tcMar>
            <w:tcBorders>
              <w:top w:val="single" w:sz="3" w:color="D5DFE5"/>
              <w:left w:val="single" w:sz="3" w:color="D5DFE5"/>
              <w:bottom w:val="single" w:sz="3" w:color="D5DFE5"/>
              <w:right w:val="single" w:sz="3" w:color="D5DFE5"/>
            </w:tcBorders>
            <w:tcMar>
              <w:top w:w="65" w:type="dxa"/>
              <w:left w:w="65" w:type="dxa"/>
              <w:bottom w:w="65" w:type="dxa"/>
              <w:right w:w="65" w:type="dxa"/>
            </w:tcMar>
            <w:shd w:fill="E8ECF0"/>
          </w:tcPr>
          <w:p>
            <w:pPr>
              <w:keepNext w:val="0"/>
              <w:spacing w:after="20" w:before="0" w:line="240" w:lineRule="auto"/>
              <w:jc w:val="center"/>
            </w:pPr>
            <w:r>
              <w:rPr>
                <w:rFonts w:ascii="Times New Roman" w:hAnsi="Times New Roman"/>
                <w:b/>
                <w:color w:val="000000"/>
                <w:sz w:val="17"/>
              </w:rPr>
              <w:t>Saving / US$k</w:t>
            </w:r>
          </w:p>
        </w:tc>
        <w:tc>
          <w:tcPr>
            <w:tcW w:type="dxa" w:w="1248"/>
            <w:vAlign w:val="center"/>
            <w:shd w:fill="E9EDF2"/>
            <w:tcMar>
              <w:top w:w="45" w:type="dxa"/>
              <w:left w:w="65" w:type="dxa"/>
              <w:bottom w:w="45" w:type="dxa"/>
              <w:right w:w="65" w:type="dxa"/>
              <w:start w:w="60" w:type="dxa"/>
              <w:end w:w="60" w:type="dxa"/>
            </w:tcMar>
            <w:tcBorders>
              <w:top w:val="single" w:sz="3" w:color="D5DFE5"/>
              <w:left w:val="single" w:sz="3" w:color="D5DFE5"/>
              <w:bottom w:val="single" w:sz="3" w:color="D5DFE5"/>
              <w:right w:val="single" w:sz="3" w:color="D5DFE5"/>
            </w:tcBorders>
            <w:tcMar>
              <w:top w:w="65" w:type="dxa"/>
              <w:left w:w="65" w:type="dxa"/>
              <w:bottom w:w="65" w:type="dxa"/>
              <w:right w:w="65" w:type="dxa"/>
            </w:tcMar>
            <w:shd w:fill="E8ECF0"/>
          </w:tcPr>
          <w:p>
            <w:pPr>
              <w:keepNext w:val="0"/>
              <w:spacing w:after="20" w:before="0" w:line="240" w:lineRule="auto"/>
              <w:jc w:val="center"/>
            </w:pPr>
            <w:r>
              <w:rPr>
                <w:rFonts w:ascii="Times New Roman" w:hAnsi="Times New Roman"/>
                <w:b/>
                <w:color w:val="000000"/>
                <w:sz w:val="17"/>
              </w:rPr>
              <w:t>Saving / %</w:t>
            </w:r>
          </w:p>
        </w:tc>
        <w:tc>
          <w:tcPr>
            <w:tcW w:type="dxa" w:w="1248"/>
            <w:vAlign w:val="center"/>
            <w:shd w:fill="E9EDF2"/>
            <w:tcMar>
              <w:top w:w="45" w:type="dxa"/>
              <w:left w:w="65" w:type="dxa"/>
              <w:bottom w:w="45" w:type="dxa"/>
              <w:right w:w="65" w:type="dxa"/>
              <w:start w:w="60" w:type="dxa"/>
              <w:end w:w="60" w:type="dxa"/>
            </w:tcMar>
            <w:tcBorders>
              <w:top w:val="single" w:sz="3" w:color="D5DFE5"/>
              <w:left w:val="single" w:sz="3" w:color="D5DFE5"/>
              <w:bottom w:val="single" w:sz="3" w:color="D5DFE5"/>
              <w:right w:val="single" w:sz="3" w:color="D5DFE5"/>
            </w:tcBorders>
            <w:tcMar>
              <w:top w:w="65" w:type="dxa"/>
              <w:left w:w="65" w:type="dxa"/>
              <w:bottom w:w="65" w:type="dxa"/>
              <w:right w:w="65" w:type="dxa"/>
            </w:tcMar>
            <w:shd w:fill="E8ECF0"/>
          </w:tcPr>
          <w:p>
            <w:pPr>
              <w:keepNext w:val="0"/>
              <w:spacing w:after="20" w:before="0" w:line="240" w:lineRule="auto"/>
              <w:jc w:val="center"/>
            </w:pPr>
            <w:r>
              <w:rPr>
                <w:rFonts w:ascii="Times New Roman" w:hAnsi="Times New Roman"/>
                <w:b/>
                <w:color w:val="000000"/>
                <w:sz w:val="17"/>
              </w:rPr>
              <w:t>Shifted IT / MWh</w:t>
            </w:r>
          </w:p>
        </w:tc>
        <w:tc>
          <w:tcPr>
            <w:tcW w:type="dxa" w:w="1248"/>
            <w:vAlign w:val="center"/>
            <w:shd w:fill="E9EDF2"/>
            <w:tcMar>
              <w:top w:w="45" w:type="dxa"/>
              <w:left w:w="65" w:type="dxa"/>
              <w:bottom w:w="45" w:type="dxa"/>
              <w:right w:w="65" w:type="dxa"/>
              <w:start w:w="60" w:type="dxa"/>
              <w:end w:w="60" w:type="dxa"/>
            </w:tcMar>
            <w:tcBorders>
              <w:top w:val="single" w:sz="3" w:color="D5DFE5"/>
              <w:left w:val="single" w:sz="3" w:color="D5DFE5"/>
              <w:bottom w:val="single" w:sz="3" w:color="D5DFE5"/>
              <w:right w:val="single" w:sz="3" w:color="D5DFE5"/>
            </w:tcBorders>
            <w:tcMar>
              <w:top w:w="65" w:type="dxa"/>
              <w:left w:w="65" w:type="dxa"/>
              <w:bottom w:w="65" w:type="dxa"/>
              <w:right w:w="65" w:type="dxa"/>
            </w:tcMar>
            <w:shd w:fill="E8ECF0"/>
          </w:tcPr>
          <w:p>
            <w:pPr>
              <w:keepNext w:val="0"/>
              <w:spacing w:after="20" w:before="0" w:line="240" w:lineRule="auto"/>
              <w:jc w:val="center"/>
            </w:pPr>
            <w:r>
              <w:rPr>
                <w:rFonts w:ascii="Times New Roman" w:hAnsi="Times New Roman"/>
                <w:b/>
                <w:color w:val="000000"/>
                <w:sz w:val="17"/>
              </w:rPr>
              <w:t>CVaR95 / US$</w:t>
            </w:r>
          </w:p>
        </w:tc>
        <w:tc>
          <w:tcPr>
            <w:tcW w:type="dxa" w:w="1248"/>
            <w:vAlign w:val="center"/>
            <w:shd w:fill="E9EDF2"/>
            <w:tcMar>
              <w:top w:w="45" w:type="dxa"/>
              <w:left w:w="65" w:type="dxa"/>
              <w:bottom w:w="45" w:type="dxa"/>
              <w:right w:w="65" w:type="dxa"/>
              <w:start w:w="60" w:type="dxa"/>
              <w:end w:w="60" w:type="dxa"/>
            </w:tcMar>
            <w:tcBorders>
              <w:top w:val="single" w:sz="3" w:color="D5DFE5"/>
              <w:left w:val="single" w:sz="3" w:color="D5DFE5"/>
              <w:bottom w:val="single" w:sz="3" w:color="D5DFE5"/>
              <w:right w:val="single" w:sz="3" w:color="D5DFE5"/>
            </w:tcBorders>
            <w:tcMar>
              <w:top w:w="65" w:type="dxa"/>
              <w:left w:w="65" w:type="dxa"/>
              <w:bottom w:w="65" w:type="dxa"/>
              <w:right w:w="65" w:type="dxa"/>
            </w:tcMar>
            <w:shd w:fill="E8ECF0"/>
          </w:tcPr>
          <w:p>
            <w:pPr>
              <w:keepNext w:val="0"/>
              <w:spacing w:after="20" w:before="0" w:line="240" w:lineRule="auto"/>
              <w:jc w:val="center"/>
            </w:pPr>
            <w:r>
              <w:rPr>
                <w:rFonts w:ascii="Times New Roman" w:hAnsi="Times New Roman"/>
                <w:b/>
                <w:color w:val="000000"/>
                <w:sz w:val="17"/>
              </w:rPr>
              <w:t>Late IT / MWh</w:t>
            </w:r>
          </w:p>
        </w:tc>
        <w:tc>
          <w:tcPr>
            <w:tcW w:type="dxa" w:w="1248"/>
            <w:vAlign w:val="center"/>
            <w:shd w:fill="E9EDF2"/>
            <w:tcMar>
              <w:top w:w="45" w:type="dxa"/>
              <w:left w:w="65" w:type="dxa"/>
              <w:bottom w:w="45" w:type="dxa"/>
              <w:right w:w="65" w:type="dxa"/>
              <w:start w:w="60" w:type="dxa"/>
              <w:end w:w="60" w:type="dxa"/>
            </w:tcMar>
            <w:tcBorders>
              <w:top w:val="single" w:sz="3" w:color="D5DFE5"/>
              <w:left w:val="single" w:sz="3" w:color="D5DFE5"/>
              <w:bottom w:val="single" w:sz="3" w:color="D5DFE5"/>
              <w:right w:val="single" w:sz="3" w:color="D5DFE5"/>
            </w:tcBorders>
            <w:tcMar>
              <w:top w:w="65" w:type="dxa"/>
              <w:left w:w="65" w:type="dxa"/>
              <w:bottom w:w="65" w:type="dxa"/>
              <w:right w:w="65" w:type="dxa"/>
            </w:tcMar>
            <w:shd w:fill="E8ECF0"/>
          </w:tcPr>
          <w:p>
            <w:pPr>
              <w:keepNext w:val="0"/>
              <w:spacing w:after="20" w:before="0" w:line="240" w:lineRule="auto"/>
              <w:jc w:val="center"/>
            </w:pPr>
            <w:r>
              <w:rPr>
                <w:rFonts w:ascii="Times New Roman" w:hAnsi="Times New Roman"/>
                <w:b/>
                <w:color w:val="000000"/>
                <w:sz w:val="17"/>
              </w:rPr>
              <w:t>Closing IT / MWh</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Immediate execution</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WorldMoE (3 refinements)</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105.27</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18.96</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2,097.1</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313.38</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Previous WorldMoE / P</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78.17</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14.08</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2,160.3</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424.58</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7.772</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LightGBM recent / P</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75.55</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13.61</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2,157.3</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434.67</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7.677</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LightGBM no-state / P</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75.15</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13.54</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2,160.1</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439.34</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7.712</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RASC-ME / P</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75.02</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13.51</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2,144.0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425.75</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7.718</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Seasonal-ME / P</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75.00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13.51</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2,175.1</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446.08</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7.770</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Global calibration / P</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74.92</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13.50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2,154.1</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428.62</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7.714</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LightGBM full / P</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74.77</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13.47</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2,157.3</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437.42</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7.720</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Ridge-ME / P</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74.59</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13.44</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2,169.0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417.96</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7.815</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Previous WorldMoE / I</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71.97</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12.96</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1,607.8</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264.67</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Seasonal-ME / I</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66.99</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12.07</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1,536.0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307.34</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Ridge-ME / I</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66.28</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11.94</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1,479.2</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318.39</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LightGBM recent / I</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65.87</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11.86</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1,515.9</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277.59</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LightGBM no-state / I</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63.59</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11.45</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1,434.9</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296.18</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LightGBM full / I</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62.42</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11.24</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1,424.7</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263.06</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Global calibration / I</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62.41</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11.24</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1,419.6</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262.42</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RASC-ME / I</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62.36</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11.23</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1,429.1</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263.14</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Price-only head / P</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47.03</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8.47</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2,470.2</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530.28</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8.633</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Previous price head / P</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46.24</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8.33</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2,462.9</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522.80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8.633</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Published DA myopic / P</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44.23</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7.97</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2,568.1</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567.59</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8.633</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Price-only head / I</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43.40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7.82</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1,244.8</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414.11</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RASC-direct / P</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43.04</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7.75</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2,424.9</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553.20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8.633</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Previous price head / I</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42.72</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7.69</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1,319.5</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376.17</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Published DA persistent / P</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42.40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7.64</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2,511.0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582.09</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8.633</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RASC-direct / I</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36.79</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6.63</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1,074.5</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344.41</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Lagged RT / P</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27.51</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4.96</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2,435.7</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822.25</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8.534</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DAC / direct</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0.40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0.07</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14.5</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2.64</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r>
    </w:tbl>
    <w:p>
      <w:pPr>
        <w:widowControl/>
        <w:spacing w:after="120"/>
      </w:pPr>
      <w:r>
        <w:t>Source: the historical benchmark table retained in the 16 October 2026 manuscript. All 26 comparison rows and both references are preserved; source manuscripts and release v1.3.0 remain unchanged.</w:t>
      </w:r>
    </w:p>
    <w:p>
      <w:pPr>
        <w:pStyle w:val="Heading1"/>
        <w:keepNext/>
        <w:widowControl/>
        <w:spacing w:before="280"/>
        <w:pageBreakBefore w:val="0"/>
      </w:pPr>
      <w:r>
        <w:t xml:space="preserve">Source job CPU efficiency</w:t>
      </w:r>
    </w:p>
    <w:p>
      <w:pPr>
        <w:widowControl/>
      </w:pPr>
      <w:r>
        <w:t>CPU efficiency describes the historical Eagle source jobs, independently of replayed service feasibility and economic performance. It is computed once for the common population supplying all four workload partitions. Source: Clark, Selensky and Menear, NLR HPC Eagle Jobs Data and Additional Energy Metrics (2025), https://doi.org/10.7799/3023273.</w:t>
      </w:r>
    </w:p>
    <w:p>
      <w:pPr>
        <w:widowControl/>
      </w:pPr>
      <w:r>
        <w:t>Selected jobs have UTC submission dates within the 366 source days used in the 2025 replay, spanning 25 November 2018–28 November 2019. Each retains its full recorded runtime. The source fields cpu_eff, processors_used and wallclock_used supply efficiency, allocated processors and elapsed hours, respectively.</w:t>
      </w:r>
    </w:p>
    <w:p>
      <w:pPr>
        <w:widowControl/>
      </w:pPr>
      <w:r>
        <w:t xml:space="preserve">For source job </w:t>
      </w:r>
      <m:oMath>
        <m:r>
          <w:rPr>
            <w:rFonts w:ascii="Cambria Math" w:hAnsi="Cambria Math"/>
            <w:sz w:val="22"/>
          </w:rPr>
          <m:t>j</m:t>
        </m:r>
      </m:oMath>
      <w:r>
        <w:t xml:space="preserve">, denote these values by </w:t>
      </w:r>
      <m:oMath>
        <m:sSub>
          <m:e>
            <m:r>
              <w:rPr>
                <w:rFonts w:ascii="Cambria Math" w:hAnsi="Cambria Math"/>
                <w:sz w:val="22"/>
              </w:rPr>
              <m:t>e</m:t>
            </m:r>
          </m:e>
          <m:sub>
            <m:r>
              <w:rPr>
                <w:rFonts w:ascii="Cambria Math" w:hAnsi="Cambria Math"/>
                <w:sz w:val="22"/>
              </w:rPr>
              <m:t>j</m:t>
            </m:r>
          </m:sub>
        </m:sSub>
      </m:oMath>
      <w:r>
        <w:t xml:space="preserve">, </w:t>
      </w:r>
      <m:oMath>
        <m:sSub>
          <m:e>
            <m:r>
              <w:rPr>
                <w:rFonts w:ascii="Cambria Math" w:hAnsi="Cambria Math"/>
                <w:sz w:val="22"/>
              </w:rPr>
              <m:t>p</m:t>
            </m:r>
          </m:e>
          <m:sub>
            <m:r>
              <w:rPr>
                <w:rFonts w:ascii="Cambria Math" w:hAnsi="Cambria Math"/>
                <w:sz w:val="22"/>
              </w:rPr>
              <m:t>j</m:t>
            </m:r>
          </m:sub>
        </m:sSub>
      </m:oMath>
      <w:r>
        <w:t xml:space="preserve"> and </w:t>
      </w:r>
      <m:oMath>
        <m:sSub>
          <m:e>
            <m:r>
              <w:rPr>
                <w:rFonts w:ascii="Cambria Math" w:hAnsi="Cambria Math"/>
                <w:sz w:val="22"/>
              </w:rPr>
              <m:t>h</m:t>
            </m:r>
          </m:e>
          <m:sub>
            <m:r>
              <w:rPr>
                <w:rFonts w:ascii="Cambria Math" w:hAnsi="Cambria Math"/>
                <w:sz w:val="22"/>
              </w:rPr>
              <m:t>j</m:t>
            </m:r>
          </m:sub>
        </m:sSub>
      </m:oMath>
      <w:r>
        <w:t xml:space="preserve">, respectively. The set </w:t>
      </w:r>
      <m:oMath>
        <m:r>
          <m:rPr>
            <m:scr m:val="script"/>
          </m:rPr>
          <w:rPr>
            <w:rFonts w:ascii="Cambria Math" w:hAnsi="Cambria Math"/>
            <w:sz w:val="22"/>
          </w:rPr>
          <m:t>J</m:t>
        </m:r>
      </m:oMath>
      <w:r>
        <w:t xml:space="preserve"> contains records with positive allocated CPUs and elapsed time and finite </w:t>
      </w:r>
      <m:oMath>
        <m:sSub>
          <m:e>
            <m:r>
              <w:rPr>
                <w:rFonts w:ascii="Cambria Math" w:hAnsi="Cambria Math"/>
                <w:sz w:val="22"/>
              </w:rPr>
              <m:t>e</m:t>
            </m:r>
          </m:e>
          <m:sub>
            <m:r>
              <w:rPr>
                <w:rFonts w:ascii="Cambria Math" w:hAnsi="Cambria Math"/>
                <w:sz w:val="22"/>
              </w:rPr>
              <m:t>j</m:t>
            </m:r>
          </m:sub>
        </m:sSub>
      </m:oMath>
      <w:r>
        <w:t xml:space="preserve"> in the closed interval from zero to one. The same rule is applied to all valid executed states and to the normally completed subset:</w:t>
      </w:r>
    </w:p>
    <w:p>
      <w:pPr>
        <w:keepLines/>
        <w:widowControl/>
        <w:spacing w:before="40" w:after="60"/>
      </w:pPr>
      <m:oMathPara>
        <m:oMathParaPr>
          <m:jc m:val="center"/>
        </m:oMathParaPr>
        <m:oMath>
          <m:sSub>
            <m:e>
              <m:r>
                <w:rPr>
                  <w:rFonts w:ascii="Cambria Math" w:hAnsi="Cambria Math"/>
                  <w:sz w:val="22"/>
                </w:rPr>
                <m:t>U</m:t>
              </m:r>
            </m:e>
            <m:sub>
              <m:r>
                <m:rPr>
                  <m:sty m:val="p"/>
                </m:rPr>
                <w:rPr>
                  <w:rFonts w:ascii="Cambria Math" w:hAnsi="Cambria Math"/>
                  <w:sz w:val="22"/>
                </w:rPr>
                <m:t>CPU,alloc</m:t>
              </m:r>
            </m:sub>
          </m:sSub>
          <m:r>
            <m:rPr>
              <m:sty m:val="p"/>
            </m:rPr>
            <w:rPr>
              <w:rFonts w:ascii="Cambria Math" w:hAnsi="Cambria Math"/>
              <w:sz w:val="22"/>
            </w:rPr>
            <m:t>=</m:t>
          </m:r>
          <m:f>
            <m:fPr>
              <m:type m:val="bar"/>
            </m:fPr>
            <m:num>
              <m:nary>
                <m:naryPr>
                  <m:chr m:val="∑"/>
                  <m:limLoc m:val="undOvr"/>
                  <m:subHide m:val="off"/>
                  <m:supHide m:val="on"/>
                </m:naryPr>
                <m:sub>
                  <m:r>
                    <w:rPr>
                      <w:rFonts w:ascii="Cambria Math" w:hAnsi="Cambria Math"/>
                      <w:sz w:val="22"/>
                    </w:rPr>
                    <m:t>j</m:t>
                  </m:r>
                  <m:r>
                    <m:rPr>
                      <m:sty m:val="p"/>
                    </m:rPr>
                    <w:rPr>
                      <w:rFonts w:ascii="Cambria Math" w:hAnsi="Cambria Math"/>
                      <w:sz w:val="22"/>
                    </w:rPr>
                    <m:t>∈</m:t>
                  </m:r>
                  <m:r>
                    <m:rPr>
                      <m:scr m:val="script"/>
                    </m:rPr>
                    <w:rPr>
                      <w:rFonts w:ascii="Cambria Math" w:hAnsi="Cambria Math"/>
                      <w:sz w:val="22"/>
                    </w:rPr>
                    <m:t>J</m:t>
                  </m:r>
                </m:sub>
                <m:sup/>
                <m:e>
                  <m:sSub>
                    <m:e>
                      <m:r>
                        <w:rPr>
                          <w:rFonts w:ascii="Cambria Math" w:hAnsi="Cambria Math"/>
                          <w:sz w:val="22"/>
                        </w:rPr>
                        <m:t>e</m:t>
                      </m:r>
                    </m:e>
                    <m:sub>
                      <m:r>
                        <w:rPr>
                          <w:rFonts w:ascii="Cambria Math" w:hAnsi="Cambria Math"/>
                          <w:sz w:val="22"/>
                        </w:rPr>
                        <m:t>j</m:t>
                      </m:r>
                    </m:sub>
                  </m:sSub>
                  <m:sSub>
                    <m:e>
                      <m:r>
                        <w:rPr>
                          <w:rFonts w:ascii="Cambria Math" w:hAnsi="Cambria Math"/>
                          <w:sz w:val="22"/>
                        </w:rPr>
                        <m:t>p</m:t>
                      </m:r>
                    </m:e>
                    <m:sub>
                      <m:r>
                        <w:rPr>
                          <w:rFonts w:ascii="Cambria Math" w:hAnsi="Cambria Math"/>
                          <w:sz w:val="22"/>
                        </w:rPr>
                        <m:t>j</m:t>
                      </m:r>
                    </m:sub>
                  </m:sSub>
                  <m:sSub>
                    <m:e>
                      <m:r>
                        <w:rPr>
                          <w:rFonts w:ascii="Cambria Math" w:hAnsi="Cambria Math"/>
                          <w:sz w:val="22"/>
                        </w:rPr>
                        <m:t>h</m:t>
                      </m:r>
                    </m:e>
                    <m:sub>
                      <m:r>
                        <w:rPr>
                          <w:rFonts w:ascii="Cambria Math" w:hAnsi="Cambria Math"/>
                          <w:sz w:val="22"/>
                        </w:rPr>
                        <m:t>j</m:t>
                      </m:r>
                    </m:sub>
                  </m:sSub>
                </m:e>
              </m:nary>
            </m:num>
            <m:den>
              <m:nary>
                <m:naryPr>
                  <m:chr m:val="∑"/>
                  <m:limLoc m:val="undOvr"/>
                  <m:subHide m:val="off"/>
                  <m:supHide m:val="on"/>
                </m:naryPr>
                <m:sub>
                  <m:r>
                    <w:rPr>
                      <w:rFonts w:ascii="Cambria Math" w:hAnsi="Cambria Math"/>
                      <w:sz w:val="22"/>
                    </w:rPr>
                    <m:t>j</m:t>
                  </m:r>
                  <m:r>
                    <m:rPr>
                      <m:sty m:val="p"/>
                    </m:rPr>
                    <w:rPr>
                      <w:rFonts w:ascii="Cambria Math" w:hAnsi="Cambria Math"/>
                      <w:sz w:val="22"/>
                    </w:rPr>
                    <m:t>∈</m:t>
                  </m:r>
                  <m:r>
                    <m:rPr>
                      <m:scr m:val="script"/>
                    </m:rPr>
                    <w:rPr>
                      <w:rFonts w:ascii="Cambria Math" w:hAnsi="Cambria Math"/>
                      <w:sz w:val="22"/>
                    </w:rPr>
                    <m:t>J</m:t>
                  </m:r>
                </m:sub>
                <m:sup/>
                <m:e>
                  <m:sSub>
                    <m:e>
                      <m:r>
                        <w:rPr>
                          <w:rFonts w:ascii="Cambria Math" w:hAnsi="Cambria Math"/>
                          <w:sz w:val="22"/>
                        </w:rPr>
                        <m:t>p</m:t>
                      </m:r>
                    </m:e>
                    <m:sub>
                      <m:r>
                        <w:rPr>
                          <w:rFonts w:ascii="Cambria Math" w:hAnsi="Cambria Math"/>
                          <w:sz w:val="22"/>
                        </w:rPr>
                        <m:t>j</m:t>
                      </m:r>
                    </m:sub>
                  </m:sSub>
                  <m:sSub>
                    <m:e>
                      <m:r>
                        <w:rPr>
                          <w:rFonts w:ascii="Cambria Math" w:hAnsi="Cambria Math"/>
                          <w:sz w:val="22"/>
                        </w:rPr>
                        <m:t>h</m:t>
                      </m:r>
                    </m:e>
                    <m:sub>
                      <m:r>
                        <w:rPr>
                          <w:rFonts w:ascii="Cambria Math" w:hAnsi="Cambria Math"/>
                          <w:sz w:val="22"/>
                        </w:rPr>
                        <m:t>j</m:t>
                      </m:r>
                    </m:sub>
                  </m:sSub>
                </m:e>
              </m:nary>
            </m:den>
          </m:f>
          <m:r>
            <m:rPr>
              <m:sty m:val="p"/>
            </m:rPr>
            <w:rPr>
              <w:rFonts w:ascii="Cambria Math" w:hAnsi="Cambria Math"/>
              <w:sz w:val="22"/>
            </w:rPr>
            <m:t>×100%</m:t>
          </m:r>
        </m:oMath>
      </m:oMathPara>
    </w:p>
    <w:p>
      <w:pPr>
        <w:pStyle w:val="Caption"/>
        <w:keepNext/>
        <w:widowControl/>
      </w:pPr>
      <w:r>
        <w:t>Supplementary Table 30. Allocation-time-weighted CPU efficiency of Eagle source jobs selected by the replay mapping.</w:t>
      </w:r>
    </w:p>
    <w:tbl>
      <w:tblPr>
        <w:tblW w:type="dxa" w:w="1008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2250"/>
        <w:gridCol w:w="1150"/>
        <w:gridCol w:w="2400"/>
        <w:gridCol w:w="2600"/>
        <w:gridCol w:w="1680"/>
      </w:tblGrid>
      <w:tr>
        <w:trPr>
          <w:cantSplit/>
          <w:tblHeader/>
        </w:trPr>
        <w:tc>
          <w:tcPr>
            <w:tcW w:type="dxa" w:w="2250"/>
            <w:vAlign w:val="center"/>
            <w:shd w:fill="E9EDF2"/>
            <w:tcMar>
              <w:top w:w="65" w:type="dxa"/>
              <w:left w:w="65" w:type="dxa"/>
              <w:bottom w:w="65" w:type="dxa"/>
              <w:right w:w="65" w:type="dxa"/>
            </w:tcMar>
            <w:tcBorders>
              <w:top w:val="single" w:sz="3" w:color="D9D9D9"/>
              <w:left w:val="single" w:sz="3" w:color="D9D9D9"/>
              <w:bottom w:val="single" w:sz="3" w:color="D9D9D9"/>
              <w:right w:val="single" w:sz="3" w:color="D9D9D9"/>
            </w:tcBorders>
          </w:tcPr>
          <w:p>
            <w:pPr>
              <w:keepNext w:val="0"/>
              <w:spacing w:after="20" w:before="0" w:line="240" w:lineRule="auto"/>
              <w:jc w:val="left"/>
            </w:pPr>
            <w:r>
              <w:rPr>
                <w:rFonts w:ascii="Times New Roman" w:hAnsi="Times New Roman"/>
                <w:b/>
                <w:color w:val="000000"/>
                <w:sz w:val="18"/>
              </w:rPr>
              <w:t xml:space="preserve">Population</w:t>
            </w:r>
          </w:p>
        </w:tc>
        <w:tc>
          <w:tcPr>
            <w:tcW w:type="dxa" w:w="1150"/>
            <w:vAlign w:val="center"/>
            <w:shd w:fill="E9EDF2"/>
            <w:tcMar>
              <w:top w:w="65" w:type="dxa"/>
              <w:left w:w="65" w:type="dxa"/>
              <w:bottom w:w="65" w:type="dxa"/>
              <w:right w:w="65" w:type="dxa"/>
            </w:tcMar>
            <w:tcBorders>
              <w:top w:val="single" w:sz="3" w:color="D9D9D9"/>
              <w:left w:val="single" w:sz="3" w:color="D9D9D9"/>
              <w:bottom w:val="single" w:sz="3" w:color="D9D9D9"/>
              <w:right w:val="single" w:sz="3" w:color="D9D9D9"/>
            </w:tcBorders>
          </w:tcPr>
          <w:p>
            <w:pPr>
              <w:keepNext w:val="0"/>
              <w:spacing w:after="20" w:before="0" w:line="240" w:lineRule="auto"/>
              <w:jc w:val="center"/>
            </w:pPr>
            <w:r>
              <w:rPr>
                <w:rFonts w:ascii="Times New Roman" w:hAnsi="Times New Roman"/>
                <w:b/>
                <w:color w:val="000000"/>
                <w:sz w:val="18"/>
              </w:rPr>
              <w:t xml:space="preserve">Valid jobs</w:t>
            </w:r>
          </w:p>
        </w:tc>
        <w:tc>
          <w:tcPr>
            <w:tcW w:type="dxa" w:w="2400"/>
            <w:vAlign w:val="center"/>
            <w:shd w:fill="E9EDF2"/>
            <w:tcMar>
              <w:top w:w="65" w:type="dxa"/>
              <w:left w:w="65" w:type="dxa"/>
              <w:bottom w:w="65" w:type="dxa"/>
              <w:right w:w="65" w:type="dxa"/>
            </w:tcMar>
            <w:tcBorders>
              <w:top w:val="single" w:sz="3" w:color="D9D9D9"/>
              <w:left w:val="single" w:sz="3" w:color="D9D9D9"/>
              <w:bottom w:val="single" w:sz="3" w:color="D9D9D9"/>
              <w:right w:val="single" w:sz="3" w:color="D9D9D9"/>
            </w:tcBorders>
          </w:tcPr>
          <w:p>
            <w:pPr>
              <w:keepNext w:val="0"/>
              <w:spacing w:after="20" w:before="0" w:line="240" w:lineRule="auto"/>
              <w:jc w:val="center"/>
            </w:pPr>
            <w:r>
              <w:rPr>
                <w:rFonts w:ascii="Times New Roman" w:hAnsi="Times New Roman"/>
                <w:b/>
                <w:color w:val="000000"/>
                <w:sz w:val="18"/>
              </w:rPr>
              <w:t xml:space="preserve">Allocated CPU time (CPU h)</w:t>
            </w:r>
          </w:p>
        </w:tc>
        <w:tc>
          <w:tcPr>
            <w:tcW w:type="dxa" w:w="2600"/>
            <w:vAlign w:val="center"/>
            <w:shd w:fill="E9EDF2"/>
            <w:tcMar>
              <w:top w:w="65" w:type="dxa"/>
              <w:left w:w="65" w:type="dxa"/>
              <w:bottom w:w="65" w:type="dxa"/>
              <w:right w:w="65" w:type="dxa"/>
            </w:tcMar>
            <w:tcBorders>
              <w:top w:val="single" w:sz="3" w:color="D9D9D9"/>
              <w:left w:val="single" w:sz="3" w:color="D9D9D9"/>
              <w:bottom w:val="single" w:sz="3" w:color="D9D9D9"/>
              <w:right w:val="single" w:sz="3" w:color="D9D9D9"/>
            </w:tcBorders>
          </w:tcPr>
          <w:p>
            <w:pPr>
              <w:keepNext w:val="0"/>
              <w:spacing w:after="20" w:before="0" w:line="240" w:lineRule="auto"/>
              <w:jc w:val="center"/>
            </w:pPr>
            <w:r>
              <w:rPr>
                <w:rFonts w:ascii="Times New Roman" w:hAnsi="Times New Roman"/>
                <w:b/>
                <w:color w:val="000000"/>
                <w:sz w:val="18"/>
              </w:rPr>
              <w:t xml:space="preserve">Efficiency-weighted CPU time (CPU h)</w:t>
            </w:r>
          </w:p>
        </w:tc>
        <w:tc>
          <w:tcPr>
            <w:tcW w:type="dxa" w:w="1680"/>
            <w:vAlign w:val="center"/>
            <w:shd w:fill="E9EDF2"/>
            <w:tcMar>
              <w:top w:w="65" w:type="dxa"/>
              <w:left w:w="65" w:type="dxa"/>
              <w:bottom w:w="65" w:type="dxa"/>
              <w:right w:w="65" w:type="dxa"/>
            </w:tcMar>
            <w:tcBorders>
              <w:top w:val="single" w:sz="3" w:color="D9D9D9"/>
              <w:left w:val="single" w:sz="3" w:color="D9D9D9"/>
              <w:bottom w:val="single" w:sz="3" w:color="D9D9D9"/>
              <w:right w:val="single" w:sz="3" w:color="D9D9D9"/>
            </w:tcBorders>
          </w:tcPr>
          <w:p>
            <w:pPr>
              <w:keepNext w:val="0"/>
              <w:spacing w:after="20" w:before="0" w:line="240" w:lineRule="auto"/>
              <w:jc w:val="center"/>
            </w:pPr>
            <w:r>
              <w:rPr>
                <w:rFonts w:ascii="Times New Roman" w:hAnsi="Times New Roman"/>
                <w:b/>
                <w:color w:val="000000"/>
                <w:sz w:val="18"/>
              </w:rPr>
              <w:t xml:space="preserve">CPU efficiency (%)</w:t>
            </w:r>
          </w:p>
        </w:tc>
      </w:tr>
      <w:tr>
        <w:trPr>
          <w:cantSplit/>
        </w:trPr>
        <w:tc>
          <w:tcPr>
            <w:tcW w:type="dxa" w:w="2250"/>
            <w:vAlign w:val="center"/>
            <w:shd w:fill="FFFFFF"/>
            <w:tcMar>
              <w:top w:w="65" w:type="dxa"/>
              <w:left w:w="65" w:type="dxa"/>
              <w:bottom w:w="65" w:type="dxa"/>
              <w:right w:w="65" w:type="dxa"/>
            </w:tcMar>
            <w:tcBorders>
              <w:top w:val="single" w:sz="3" w:color="D9D9D9"/>
              <w:left w:val="single" w:sz="3" w:color="D9D9D9"/>
              <w:bottom w:val="single" w:sz="3" w:color="D9D9D9"/>
              <w:right w:val="single" w:sz="3" w:color="D9D9D9"/>
            </w:tcBorders>
          </w:tcPr>
          <w:p>
            <w:pPr>
              <w:keepNext w:val="0"/>
              <w:spacing w:after="20" w:before="0" w:line="240" w:lineRule="auto"/>
              <w:jc w:val="left"/>
            </w:pPr>
            <w:r>
              <w:rPr>
                <w:rFonts w:ascii="Times New Roman" w:hAnsi="Times New Roman"/>
                <w:b w:val="0"/>
                <w:color w:val="000000"/>
                <w:sz w:val="18"/>
              </w:rPr>
              <w:t xml:space="preserve">All valid executed states</w:t>
            </w:r>
          </w:p>
        </w:tc>
        <w:tc>
          <w:tcPr>
            <w:tcW w:type="dxa" w:w="1150"/>
            <w:vAlign w:val="center"/>
            <w:shd w:fill="FFFFFF"/>
            <w:tcMar>
              <w:top w:w="65" w:type="dxa"/>
              <w:left w:w="65" w:type="dxa"/>
              <w:bottom w:w="65" w:type="dxa"/>
              <w:right w:w="65" w:type="dxa"/>
            </w:tcMar>
            <w:tcBorders>
              <w:top w:val="single" w:sz="3" w:color="D9D9D9"/>
              <w:left w:val="single" w:sz="3" w:color="D9D9D9"/>
              <w:bottom w:val="single" w:sz="3" w:color="D9D9D9"/>
              <w:right w:val="single" w:sz="3" w:color="D9D9D9"/>
            </w:tcBorders>
          </w:tcPr>
          <w:p>
            <w:pPr>
              <w:keepNext w:val="0"/>
              <w:spacing w:after="20" w:before="0" w:line="240" w:lineRule="auto"/>
              <w:jc w:val="center"/>
            </w:pPr>
            <w:r>
              <w:rPr>
                <w:rFonts w:ascii="Times New Roman" w:hAnsi="Times New Roman"/>
                <w:b w:val="0"/>
                <w:color w:val="000000"/>
                <w:sz w:val="18"/>
              </w:rPr>
              <w:t xml:space="preserve">1,175,631</w:t>
            </w:r>
          </w:p>
        </w:tc>
        <w:tc>
          <w:tcPr>
            <w:tcW w:type="dxa" w:w="2400"/>
            <w:vAlign w:val="center"/>
            <w:shd w:fill="FFFFFF"/>
            <w:tcMar>
              <w:top w:w="65" w:type="dxa"/>
              <w:left w:w="65" w:type="dxa"/>
              <w:bottom w:w="65" w:type="dxa"/>
              <w:right w:w="65" w:type="dxa"/>
            </w:tcMar>
            <w:tcBorders>
              <w:top w:val="single" w:sz="3" w:color="D9D9D9"/>
              <w:left w:val="single" w:sz="3" w:color="D9D9D9"/>
              <w:bottom w:val="single" w:sz="3" w:color="D9D9D9"/>
              <w:right w:val="single" w:sz="3" w:color="D9D9D9"/>
            </w:tcBorders>
          </w:tcPr>
          <w:p>
            <w:pPr>
              <w:keepNext w:val="0"/>
              <w:spacing w:after="20" w:before="0" w:line="240" w:lineRule="auto"/>
              <w:jc w:val="center"/>
            </w:pPr>
            <w:r>
              <w:rPr>
                <w:rFonts w:ascii="Times New Roman" w:hAnsi="Times New Roman"/>
                <w:b w:val="0"/>
                <w:color w:val="000000"/>
                <w:sz w:val="18"/>
              </w:rPr>
              <w:t xml:space="preserve">452,152,366.56</w:t>
            </w:r>
          </w:p>
        </w:tc>
        <w:tc>
          <w:tcPr>
            <w:tcW w:type="dxa" w:w="2600"/>
            <w:vAlign w:val="center"/>
            <w:shd w:fill="FFFFFF"/>
            <w:tcMar>
              <w:top w:w="65" w:type="dxa"/>
              <w:left w:w="65" w:type="dxa"/>
              <w:bottom w:w="65" w:type="dxa"/>
              <w:right w:w="65" w:type="dxa"/>
            </w:tcMar>
            <w:tcBorders>
              <w:top w:val="single" w:sz="3" w:color="D9D9D9"/>
              <w:left w:val="single" w:sz="3" w:color="D9D9D9"/>
              <w:bottom w:val="single" w:sz="3" w:color="D9D9D9"/>
              <w:right w:val="single" w:sz="3" w:color="D9D9D9"/>
            </w:tcBorders>
          </w:tcPr>
          <w:p>
            <w:pPr>
              <w:keepNext w:val="0"/>
              <w:spacing w:after="20" w:before="0" w:line="240" w:lineRule="auto"/>
              <w:jc w:val="center"/>
            </w:pPr>
            <w:r>
              <w:rPr>
                <w:rFonts w:ascii="Times New Roman" w:hAnsi="Times New Roman"/>
                <w:b w:val="0"/>
                <w:color w:val="000000"/>
                <w:sz w:val="18"/>
              </w:rPr>
              <w:t xml:space="preserve">315,542,015.80</w:t>
            </w:r>
          </w:p>
        </w:tc>
        <w:tc>
          <w:tcPr>
            <w:tcW w:type="dxa" w:w="1680"/>
            <w:vAlign w:val="center"/>
            <w:shd w:fill="FFFFFF"/>
            <w:tcMar>
              <w:top w:w="65" w:type="dxa"/>
              <w:left w:w="65" w:type="dxa"/>
              <w:bottom w:w="65" w:type="dxa"/>
              <w:right w:w="65" w:type="dxa"/>
            </w:tcMar>
            <w:tcBorders>
              <w:top w:val="single" w:sz="3" w:color="D9D9D9"/>
              <w:left w:val="single" w:sz="3" w:color="D9D9D9"/>
              <w:bottom w:val="single" w:sz="3" w:color="D9D9D9"/>
              <w:right w:val="single" w:sz="3" w:color="D9D9D9"/>
            </w:tcBorders>
          </w:tcPr>
          <w:p>
            <w:pPr>
              <w:keepNext w:val="0"/>
              <w:spacing w:after="20" w:before="0" w:line="240" w:lineRule="auto"/>
              <w:jc w:val="center"/>
            </w:pPr>
            <w:r>
              <w:rPr>
                <w:rFonts w:ascii="Times New Roman" w:hAnsi="Times New Roman"/>
                <w:b w:val="0"/>
                <w:color w:val="000000"/>
                <w:sz w:val="18"/>
              </w:rPr>
              <w:t xml:space="preserve">69.7867</w:t>
            </w:r>
          </w:p>
        </w:tc>
      </w:tr>
      <w:tr>
        <w:trPr>
          <w:cantSplit/>
        </w:trPr>
        <w:tc>
          <w:tcPr>
            <w:tcW w:type="dxa" w:w="2250"/>
            <w:vAlign w:val="center"/>
            <w:shd w:fill="FFFFFF"/>
            <w:tcMar>
              <w:top w:w="65" w:type="dxa"/>
              <w:left w:w="65" w:type="dxa"/>
              <w:bottom w:w="65" w:type="dxa"/>
              <w:right w:w="65" w:type="dxa"/>
            </w:tcMar>
            <w:tcBorders>
              <w:top w:val="single" w:sz="3" w:color="D9D9D9"/>
              <w:left w:val="single" w:sz="3" w:color="D9D9D9"/>
              <w:bottom w:val="single" w:sz="3" w:color="D9D9D9"/>
              <w:right w:val="single" w:sz="3" w:color="D9D9D9"/>
            </w:tcBorders>
          </w:tcPr>
          <w:p>
            <w:pPr>
              <w:keepNext w:val="0"/>
              <w:spacing w:after="20" w:before="0" w:line="240" w:lineRule="auto"/>
              <w:jc w:val="left"/>
            </w:pPr>
            <w:r>
              <w:rPr>
                <w:rFonts w:ascii="Times New Roman" w:hAnsi="Times New Roman"/>
                <w:b w:val="0"/>
                <w:color w:val="000000"/>
                <w:sz w:val="18"/>
              </w:rPr>
              <w:t xml:space="preserve">Normally completed subset</w:t>
            </w:r>
          </w:p>
        </w:tc>
        <w:tc>
          <w:tcPr>
            <w:tcW w:type="dxa" w:w="1150"/>
            <w:vAlign w:val="center"/>
            <w:shd w:fill="FFFFFF"/>
            <w:tcMar>
              <w:top w:w="65" w:type="dxa"/>
              <w:left w:w="65" w:type="dxa"/>
              <w:bottom w:w="65" w:type="dxa"/>
              <w:right w:w="65" w:type="dxa"/>
            </w:tcMar>
            <w:tcBorders>
              <w:top w:val="single" w:sz="3" w:color="D9D9D9"/>
              <w:left w:val="single" w:sz="3" w:color="D9D9D9"/>
              <w:bottom w:val="single" w:sz="3" w:color="D9D9D9"/>
              <w:right w:val="single" w:sz="3" w:color="D9D9D9"/>
            </w:tcBorders>
          </w:tcPr>
          <w:p>
            <w:pPr>
              <w:keepNext w:val="0"/>
              <w:spacing w:after="20" w:before="0" w:line="240" w:lineRule="auto"/>
              <w:jc w:val="center"/>
            </w:pPr>
            <w:r>
              <w:rPr>
                <w:rFonts w:ascii="Times New Roman" w:hAnsi="Times New Roman"/>
                <w:b w:val="0"/>
                <w:color w:val="000000"/>
                <w:sz w:val="18"/>
              </w:rPr>
              <w:t xml:space="preserve">935,994</w:t>
            </w:r>
          </w:p>
        </w:tc>
        <w:tc>
          <w:tcPr>
            <w:tcW w:type="dxa" w:w="2400"/>
            <w:vAlign w:val="center"/>
            <w:shd w:fill="FFFFFF"/>
            <w:tcMar>
              <w:top w:w="65" w:type="dxa"/>
              <w:left w:w="65" w:type="dxa"/>
              <w:bottom w:w="65" w:type="dxa"/>
              <w:right w:w="65" w:type="dxa"/>
            </w:tcMar>
            <w:tcBorders>
              <w:top w:val="single" w:sz="3" w:color="D9D9D9"/>
              <w:left w:val="single" w:sz="3" w:color="D9D9D9"/>
              <w:bottom w:val="single" w:sz="3" w:color="D9D9D9"/>
              <w:right w:val="single" w:sz="3" w:color="D9D9D9"/>
            </w:tcBorders>
          </w:tcPr>
          <w:p>
            <w:pPr>
              <w:keepNext w:val="0"/>
              <w:spacing w:after="20" w:before="0" w:line="240" w:lineRule="auto"/>
              <w:jc w:val="center"/>
            </w:pPr>
            <w:r>
              <w:rPr>
                <w:rFonts w:ascii="Times New Roman" w:hAnsi="Times New Roman"/>
                <w:b w:val="0"/>
                <w:color w:val="000000"/>
                <w:sz w:val="18"/>
              </w:rPr>
              <w:t xml:space="preserve">200,047,405.19</w:t>
            </w:r>
          </w:p>
        </w:tc>
        <w:tc>
          <w:tcPr>
            <w:tcW w:type="dxa" w:w="2600"/>
            <w:vAlign w:val="center"/>
            <w:shd w:fill="FFFFFF"/>
            <w:tcMar>
              <w:top w:w="65" w:type="dxa"/>
              <w:left w:w="65" w:type="dxa"/>
              <w:bottom w:w="65" w:type="dxa"/>
              <w:right w:w="65" w:type="dxa"/>
            </w:tcMar>
            <w:tcBorders>
              <w:top w:val="single" w:sz="3" w:color="D9D9D9"/>
              <w:left w:val="single" w:sz="3" w:color="D9D9D9"/>
              <w:bottom w:val="single" w:sz="3" w:color="D9D9D9"/>
              <w:right w:val="single" w:sz="3" w:color="D9D9D9"/>
            </w:tcBorders>
          </w:tcPr>
          <w:p>
            <w:pPr>
              <w:keepNext w:val="0"/>
              <w:spacing w:after="20" w:before="0" w:line="240" w:lineRule="auto"/>
              <w:jc w:val="center"/>
            </w:pPr>
            <w:r>
              <w:rPr>
                <w:rFonts w:ascii="Times New Roman" w:hAnsi="Times New Roman"/>
                <w:b w:val="0"/>
                <w:color w:val="000000"/>
                <w:sz w:val="18"/>
              </w:rPr>
              <w:t xml:space="preserve">148,150,377.40</w:t>
            </w:r>
          </w:p>
        </w:tc>
        <w:tc>
          <w:tcPr>
            <w:tcW w:type="dxa" w:w="1680"/>
            <w:vAlign w:val="center"/>
            <w:shd w:fill="FFFFFF"/>
            <w:tcMar>
              <w:top w:w="65" w:type="dxa"/>
              <w:left w:w="65" w:type="dxa"/>
              <w:bottom w:w="65" w:type="dxa"/>
              <w:right w:w="65" w:type="dxa"/>
            </w:tcMar>
            <w:tcBorders>
              <w:top w:val="single" w:sz="3" w:color="D9D9D9"/>
              <w:left w:val="single" w:sz="3" w:color="D9D9D9"/>
              <w:bottom w:val="single" w:sz="3" w:color="D9D9D9"/>
              <w:right w:val="single" w:sz="3" w:color="D9D9D9"/>
            </w:tcBorders>
          </w:tcPr>
          <w:p>
            <w:pPr>
              <w:keepNext w:val="0"/>
              <w:spacing w:after="20" w:before="0" w:line="240" w:lineRule="auto"/>
              <w:jc w:val="center"/>
            </w:pPr>
            <w:r>
              <w:rPr>
                <w:rFonts w:ascii="Times New Roman" w:hAnsi="Times New Roman"/>
                <w:b w:val="0"/>
                <w:color w:val="000000"/>
                <w:sz w:val="18"/>
              </w:rPr>
              <w:t xml:space="preserve">74.0576</w:t>
            </w:r>
          </w:p>
        </w:tc>
      </w:tr>
    </w:tbl>
    <w:p>
      <w:pPr>
        <w:widowControl/>
      </w:pPr>
      <w:r>
        <w:t>CPU h denotes processor-hours. Efficiency-weighted time sums source-reported efficiency multiplied by allocated processor-hours. Displayed CPU hours are rounded to two decimals; percentages are calculated before rounding. Normally completed jobs form a subset of all executed states, so rows are not additive.</w:t>
      </w:r>
    </w:p>
    <w:p>
      <w:pPr>
        <w:widowControl/>
      </w:pPr>
      <w:r>
        <w:t>The selected source days contain 1,304,753 unique jobs without duplicate identifiers. Of these, 1,175,943 have positive allocated processors and elapsed time. Excluding 312 records with missing or out-of-range efficiency leaves 1,175,631 valid records, including 60,821 with zero efficiency. Valid records cover 99.4318% of allocated CPU time in the executed population. Efficiency uses the archive’s cpu_eff field; cpu_used is not substituted.</w:t>
      </w:r>
    </w:p>
    <w:p>
      <w:pPr>
        <w:pStyle w:val="Heading1"/>
        <w:keepNext/>
        <w:widowControl/>
      </w:pPr>
      <w:r>
        <w:t>Additional methods and supporting results</w:t>
      </w:r>
    </w:p>
    <w:p>
      <w:pPr>
        <w:pStyle w:val="Heading2"/>
        <w:keepNext/>
        <w:widowControl/>
      </w:pPr>
      <w:r>
        <w:t>Probabilistic price representation and publication conditioning</w:t>
      </w:r>
    </w:p>
    <w:p w14:paraId="55776CE4" w14:textId="77777777" w:rsidR="00644F1E" w:rsidRDefault="00000000">
      <w:pPr>
        <w:widowControl/>
      </w:pPr>
      <w:r>
        <w:t xml:space="preserve">Sequential market pretraining fits one 59,156,961-parameter sparse mixture-of-experts backbone. Its fixed representation feeds the probabilistic price module and integrated decision learning. In the price parameterization, an issue-derived DA anchor </w:t>
      </w:r>
      <m:oMath>
        <m:sSup>
          <m:e>
            <m:r>
              <w:rPr>
                <w:rFonts w:ascii="Cambria Math" w:hAnsi="Cambria Math"/>
              </w:rPr>
              <m:t xml:space="preserve">a</m:t>
            </m:r>
          </m:e>
          <m:sup>
            <m:box>
              <m:e>
                <m:r>
                  <w:rPr>
                    <w:rFonts w:ascii="Cambria Math" w:hAnsi="Cambria Math"/>
                  </w:rPr>
                  <m:rPr>
                    <m:sty m:val="p"/>
                  </m:rPr>
                  <m:t xml:space="preserve">D</m:t>
                </m:r>
                <m:r>
                  <w:rPr>
                    <w:rFonts w:ascii="Cambria Math" w:hAnsi="Cambria Math"/>
                  </w:rPr>
                  <m:rPr>
                    <m:sty m:val="p"/>
                  </m:rPr>
                  <m:t xml:space="preserve">A</m:t>
                </m:r>
              </m:e>
            </m:box>
          </m:sup>
        </m:sSup>
      </m:oMath>
      <w:r>
        <w:t xml:space="preserve"> and training-fitted zonal envelope </w:t>
      </w:r>
      <m:oMath>
        <m:sSub>
          <m:e>
            <m:r>
              <w:rPr>
                <w:rFonts w:ascii="Cambria Math" w:hAnsi="Cambria Math"/>
              </w:rPr>
              <m:t xml:space="preserve">c</m:t>
            </m:r>
          </m:e>
          <m:sub>
            <m:r>
              <w:rPr>
                <w:rFonts w:ascii="Cambria Math" w:hAnsi="Cambria Math"/>
              </w:rPr>
              <m:t xml:space="preserve">z</m:t>
            </m:r>
          </m:sub>
        </m:sSub>
      </m:oMath>
      <w:r>
        <w:t xml:space="preserve"> define a bounded DA residual. A direct spread head completes the coupled system:</w:t>
      </w:r>
    </w:p>
    <w:p w14:paraId="619939FF" w14:textId="77777777" w:rsidR="00644F1E" w:rsidRDefault="00000000">
      <w:pPr>
        <w:keepLines/>
        <w:widowControl/>
        <w:spacing w:before="100" w:after="180" w:line="288" w:lineRule="auto"/>
      </w:pPr>
      <m:oMath>
        <m:acc>
          <m:accPr>
            <m:chr m:val="̂"/>
          </m:accPr>
          <m:e>
            <m:r>
              <w:rPr>
                <w:rFonts w:ascii="Cambria Math" w:hAnsi="Cambria Math"/>
              </w:rPr>
              <m:t xml:space="preserve">A</m:t>
            </m:r>
          </m:e>
        </m:acc>
        <m:r>
          <w:rPr>
            <w:rFonts w:ascii="Cambria Math" w:hAnsi="Cambria Math"/>
          </w:rPr>
          <m:t xml:space="preserve">=</m:t>
        </m:r>
        <m:sSup>
          <m:e>
            <m:r>
              <w:rPr>
                <w:rFonts w:ascii="Cambria Math" w:hAnsi="Cambria Math"/>
              </w:rPr>
              <m:t xml:space="preserve">a</m:t>
            </m:r>
          </m:e>
          <m:sup>
            <m:box>
              <m:e>
                <m:r>
                  <w:rPr>
                    <w:rFonts w:ascii="Cambria Math" w:hAnsi="Cambria Math"/>
                  </w:rPr>
                  <m:rPr>
                    <m:sty m:val="p"/>
                  </m:rPr>
                  <m:t xml:space="preserve">D</m:t>
                </m:r>
                <m:r>
                  <w:rPr>
                    <w:rFonts w:ascii="Cambria Math" w:hAnsi="Cambria Math"/>
                  </w:rPr>
                  <m:rPr>
                    <m:sty m:val="p"/>
                  </m:rPr>
                  <m:t xml:space="preserve">A</m:t>
                </m:r>
              </m:e>
            </m:box>
          </m:sup>
        </m:sSup>
        <m:r>
          <w:rPr>
            <w:rFonts w:ascii="Cambria Math" w:hAnsi="Cambria Math"/>
          </w:rPr>
          <m:t xml:space="preserve">+</m:t>
        </m:r>
        <m:sSub>
          <m:e>
            <m:r>
              <w:rPr>
                <w:rFonts w:ascii="Cambria Math" w:hAnsi="Cambria Math"/>
              </w:rPr>
              <m:t xml:space="preserve">c</m:t>
            </m:r>
          </m:e>
          <m:sub>
            <m:r>
              <w:rPr>
                <w:rFonts w:ascii="Cambria Math" w:hAnsi="Cambria Math"/>
              </w:rPr>
              <m:t xml:space="preserve">z</m:t>
            </m:r>
          </m:sub>
        </m:sSub>
        <m:r>
          <w:rPr>
            <w:rFonts w:ascii="Cambria Math" w:hAnsi="Cambria Math"/>
          </w:rPr>
          <m:rPr>
            <m:sty m:val="p"/>
          </m:rPr>
          <m:t xml:space="preserve">tanh</m:t>
        </m:r>
        <m:r>
          <w:rPr>
            <w:rFonts w:ascii="Cambria Math" w:hAnsi="Cambria Math"/>
          </w:rPr>
          <m:t xml:space="preserve">(</m:t>
        </m:r>
        <m:sSup>
          <m:e>
            <m:r>
              <w:rPr>
                <w:rFonts w:ascii="Cambria Math" w:hAnsi="Cambria Math"/>
              </w:rPr>
              <m:t xml:space="preserve">r</m:t>
            </m:r>
          </m:e>
          <m:sup>
            <m:box>
              <m:e>
                <m:r>
                  <w:rPr>
                    <w:rFonts w:ascii="Cambria Math" w:hAnsi="Cambria Math"/>
                  </w:rPr>
                  <m:rPr>
                    <m:sty m:val="p"/>
                  </m:rPr>
                  <m:t xml:space="preserve">D</m:t>
                </m:r>
                <m:r>
                  <w:rPr>
                    <w:rFonts w:ascii="Cambria Math" w:hAnsi="Cambria Math"/>
                  </w:rPr>
                  <m:rPr>
                    <m:sty m:val="p"/>
                  </m:rPr>
                  <m:t xml:space="preserve">A</m:t>
                </m:r>
              </m:e>
            </m:box>
          </m:sup>
        </m:sSup>
        <m:r>
          <w:rPr>
            <w:rFonts w:ascii="Cambria Math" w:hAnsi="Cambria Math"/>
          </w:rPr>
          <m:t xml:space="preserve">)</m:t>
        </m:r>
        <m:r>
          <w:rPr>
            <w:rFonts w:ascii="Cambria Math" w:hAnsi="Cambria Math"/>
          </w:rPr>
          <m:t xml:space="preserve">,</m:t>
        </m:r>
        <m:r>
          <w:rPr>
            <w:rFonts w:ascii="Cambria Math" w:hAnsi="Cambria Math"/>
          </w:rPr>
          <m:t xml:space="preserve">  </m:t>
        </m:r>
        <m:acc>
          <m:accPr>
            <m:chr m:val="̂"/>
          </m:accPr>
          <m:e>
            <m:r>
              <w:rPr>
                <w:rFonts w:ascii="Cambria Math" w:hAnsi="Cambria Math"/>
              </w:rPr>
              <m:t xml:space="preserve">Δ</m:t>
            </m:r>
            <m:r>
              <w:rPr>
                <w:rFonts w:ascii="Cambria Math" w:hAnsi="Cambria Math"/>
              </w:rPr>
              <m:t xml:space="preserve">p</m:t>
            </m:r>
          </m:e>
        </m:acc>
        <m:r>
          <w:rPr>
            <w:rFonts w:ascii="Cambria Math" w:hAnsi="Cambria Math"/>
          </w:rPr>
          <m:t xml:space="preserve">=</m:t>
        </m:r>
        <m:sSub>
          <m:e>
            <m:r>
              <w:rPr>
                <w:rFonts w:ascii="Cambria Math" w:hAnsi="Cambria Math"/>
              </w:rPr>
              <m:t xml:space="preserve">h</m:t>
            </m:r>
          </m:e>
          <m:sub>
            <m:r>
              <w:rPr>
                <w:rFonts w:ascii="Cambria Math" w:hAnsi="Cambria Math"/>
              </w:rPr>
              <m:t xml:space="preserve">Δ</m:t>
            </m:r>
            <m:r>
              <w:rPr>
                <w:rFonts w:ascii="Cambria Math" w:hAnsi="Cambria Math"/>
              </w:rPr>
              <m:t xml:space="preserve">p</m:t>
            </m:r>
          </m:sub>
        </m:sSub>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m:t>
        </m:r>
        <m:r>
          <w:rPr>
            <w:rFonts w:ascii="Cambria Math" w:hAnsi="Cambria Math"/>
          </w:rPr>
          <m:t xml:space="preserve">  </m:t>
        </m:r>
        <m:acc>
          <m:accPr>
            <m:chr m:val="̂"/>
          </m:accPr>
          <m:e>
            <m:r>
              <w:rPr>
                <w:rFonts w:ascii="Cambria Math" w:hAnsi="Cambria Math"/>
              </w:rPr>
              <m:t xml:space="preserve">r</m:t>
            </m:r>
          </m:e>
        </m:acc>
        <m:r>
          <w:rPr>
            <w:rFonts w:ascii="Cambria Math" w:hAnsi="Cambria Math"/>
          </w:rPr>
          <m:t xml:space="preserve">=</m:t>
        </m:r>
        <m:acc>
          <m:accPr>
            <m:chr m:val="̂"/>
          </m:accPr>
          <m:e>
            <m:r>
              <w:rPr>
                <w:rFonts w:ascii="Cambria Math" w:hAnsi="Cambria Math"/>
              </w:rPr>
              <m:t xml:space="preserve">A</m:t>
            </m:r>
          </m:e>
        </m:acc>
        <m:r>
          <w:rPr>
            <w:rFonts w:ascii="Cambria Math" w:hAnsi="Cambria Math"/>
          </w:rPr>
          <m:t xml:space="preserve">−</m:t>
        </m:r>
        <m:acc>
          <m:accPr>
            <m:chr m:val="̂"/>
          </m:accPr>
          <m:e>
            <m:r>
              <w:rPr>
                <w:rFonts w:ascii="Cambria Math" w:hAnsi="Cambria Math"/>
              </w:rPr>
              <m:t xml:space="preserve">Δ</m:t>
            </m:r>
            <m:r>
              <w:rPr>
                <w:rFonts w:ascii="Cambria Math" w:hAnsi="Cambria Math"/>
              </w:rPr>
              <m:t xml:space="preserve">p</m:t>
            </m:r>
          </m:e>
        </m:acc>
        <m:r>
          <w:rPr>
            <w:rFonts w:ascii="Cambria Math" w:hAnsi="Cambria Math"/>
          </w:rPr>
          <m:t xml:space="preserve">.</m:t>
        </m:r>
      </m:oMath>
      <w:r>
        <w:t xml:space="preserve"/>
      </w:r>
    </w:p>
    <w:p w14:paraId="4E52DD4D" w14:textId="77777777" w:rsidR="00644F1E" w:rsidRDefault="00000000">
      <w:pPr>
        <w:widowControl/>
      </w:pPr>
      <w:r>
        <w:t xml:space="preserve">Here </w:t>
      </w:r>
      <m:oMath>
        <m:r>
          <w:rPr>
            <w:rFonts w:ascii="Cambria Math" w:hAnsi="Cambria Math"/>
          </w:rPr>
          <m:t xml:space="preserve">H</m:t>
        </m:r>
      </m:oMath>
      <w:r>
        <w:t xml:space="preserve"> is the gate-indexed market representation, </w:t>
      </w:r>
      <m:oMath>
        <m:sSup>
          <m:e>
            <m:r>
              <w:rPr>
                <w:rFonts w:ascii="Cambria Math" w:hAnsi="Cambria Math"/>
              </w:rPr>
              <m:t xml:space="preserve">r</m:t>
            </m:r>
          </m:e>
          <m:sup>
            <m:box>
              <m:e>
                <m:r>
                  <w:rPr>
                    <w:rFonts w:ascii="Cambria Math" w:hAnsi="Cambria Math"/>
                  </w:rPr>
                  <m:rPr>
                    <m:sty m:val="p"/>
                  </m:rPr>
                  <m:t xml:space="preserve">D</m:t>
                </m:r>
                <m:r>
                  <w:rPr>
                    <w:rFonts w:ascii="Cambria Math" w:hAnsi="Cambria Math"/>
                  </w:rPr>
                  <m:rPr>
                    <m:sty m:val="p"/>
                  </m:rPr>
                  <m:t xml:space="preserve">A</m:t>
                </m:r>
              </m:e>
            </m:box>
          </m:sup>
        </m:sSup>
      </m:oMath>
      <w:r>
        <w:t xml:space="preserve"> is dimensionless, and the remaining terms have price units. The forward calculation recomputes spread as predicted DA minus predicted RT at the numerical precision used for execution. Pretraining checks target consistency and the pathwise price identity; the probabilistic module expresses the resulting market state through ordered marginals and the publication-conditioned transformation below.</w:t>
      </w:r>
    </w:p>
    <w:p w14:paraId="5C00C1DD" w14:textId="77777777" w:rsidR="00644F1E" w:rsidRDefault="00000000">
      <w:pPr>
        <w:widowControl/>
      </w:pPr>
      <w:r>
        <w:t xml:space="preserve">Before publication, the probabilistic module represents ordered DA and DART quantiles on seven levels. A learned bounded dependence coefficient couples Gaussian ranks; inverse marginal quantile functions generate joint paths (Schefzik et al., 2013, https://doi.org/10.1214/13-STS443; Owen, 1997, https://doi.org/10.1214/aos/1031594731). For each path </w:t>
      </w:r>
      <m:oMath>
        <m:r>
          <w:rPr>
            <w:rFonts w:ascii="Cambria Math" w:hAnsi="Cambria Math"/>
          </w:rPr>
          <m:t xml:space="preserve">j</m:t>
        </m:r>
      </m:oMath>
      <w:r>
        <w:t>,</w:t>
      </w:r>
    </w:p>
    <w:p w14:paraId="241A34E5" w14:textId="77777777" w:rsidR="00644F1E" w:rsidRDefault="00000000">
      <w:pPr>
        <w:keepLines/>
        <w:widowControl/>
        <w:spacing w:before="100" w:after="180" w:line="288" w:lineRule="auto"/>
      </w:pPr>
      <m:oMath>
        <m:sSup>
          <m:e>
            <m:r>
              <w:rPr>
                <w:rFonts w:ascii="Cambria Math" w:hAnsi="Cambria Math"/>
              </w:rPr>
              <m:t xml:space="preserve">A</m:t>
            </m:r>
          </m:e>
          <m:sup>
            <m:r>
              <w:rPr>
                <w:rFonts w:ascii="Cambria Math" w:hAnsi="Cambria Math"/>
              </w:rPr>
              <m:t xml:space="preserve">(</m:t>
            </m:r>
            <m:r>
              <w:rPr>
                <w:rFonts w:ascii="Cambria Math" w:hAnsi="Cambria Math"/>
              </w:rPr>
              <m:t xml:space="preserve">j</m:t>
            </m:r>
            <m:r>
              <w:rPr>
                <w:rFonts w:ascii="Cambria Math" w:hAnsi="Cambria Math"/>
              </w:rPr>
              <m:t xml:space="preserve">)</m:t>
            </m:r>
          </m:sup>
        </m:sSup>
        <m:r>
          <w:rPr>
            <w:rFonts w:ascii="Cambria Math" w:hAnsi="Cambria Math"/>
          </w:rPr>
          <m:t xml:space="preserve">=</m:t>
        </m:r>
        <m:sSub>
          <m:e>
            <m:r>
              <w:rPr>
                <w:rFonts w:ascii="Cambria Math" w:hAnsi="Cambria Math"/>
              </w:rPr>
              <m:t xml:space="preserve">Q</m:t>
            </m:r>
          </m:e>
          <m:sub>
            <m:r>
              <w:rPr>
                <w:rFonts w:ascii="Cambria Math" w:hAnsi="Cambria Math"/>
              </w:rPr>
              <m:t xml:space="preserve">A</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j</m:t>
            </m:r>
          </m:sub>
        </m:sSub>
        <m:r>
          <w:rPr>
            <w:rFonts w:ascii="Cambria Math" w:hAnsi="Cambria Math"/>
          </w:rPr>
          <m:t xml:space="preserve">)</m:t>
        </m:r>
        <m:r>
          <w:rPr>
            <w:rFonts w:ascii="Cambria Math" w:hAnsi="Cambria Math"/>
          </w:rPr>
          <m:t xml:space="preserve">,</m:t>
        </m:r>
        <m:r>
          <w:rPr>
            <w:rFonts w:ascii="Cambria Math" w:hAnsi="Cambria Math"/>
          </w:rPr>
          <m:t xml:space="preserve">  </m:t>
        </m:r>
        <m:r>
          <w:rPr>
            <w:rFonts w:ascii="Cambria Math" w:hAnsi="Cambria Math"/>
          </w:rPr>
          <m:t xml:space="preserve">Δ</m:t>
        </m:r>
        <m:sSup>
          <m:e>
            <m:r>
              <w:rPr>
                <w:rFonts w:ascii="Cambria Math" w:hAnsi="Cambria Math"/>
              </w:rPr>
              <m:t xml:space="preserve">p</m:t>
            </m:r>
          </m:e>
          <m:sup>
            <m:r>
              <w:rPr>
                <w:rFonts w:ascii="Cambria Math" w:hAnsi="Cambria Math"/>
              </w:rPr>
              <m:t xml:space="preserve">(</m:t>
            </m:r>
            <m:r>
              <w:rPr>
                <w:rFonts w:ascii="Cambria Math" w:hAnsi="Cambria Math"/>
              </w:rPr>
              <m:t xml:space="preserve">j</m:t>
            </m:r>
            <m:r>
              <w:rPr>
                <w:rFonts w:ascii="Cambria Math" w:hAnsi="Cambria Math"/>
              </w:rPr>
              <m:t xml:space="preserve">)</m:t>
            </m:r>
          </m:sup>
        </m:sSup>
        <m:r>
          <w:rPr>
            <w:rFonts w:ascii="Cambria Math" w:hAnsi="Cambria Math"/>
          </w:rPr>
          <m:t xml:space="preserve">=</m:t>
        </m:r>
        <m:sSub>
          <m:e>
            <m:r>
              <w:rPr>
                <w:rFonts w:ascii="Cambria Math" w:hAnsi="Cambria Math"/>
              </w:rPr>
              <m:t xml:space="preserve">Q</m:t>
            </m:r>
          </m:e>
          <m:sub>
            <m:r>
              <w:rPr>
                <w:rFonts w:ascii="Cambria Math" w:hAnsi="Cambria Math"/>
              </w:rPr>
              <m:t xml:space="preserve">Δ</m:t>
            </m:r>
            <m:r>
              <w:rPr>
                <w:rFonts w:ascii="Cambria Math" w:hAnsi="Cambria Math"/>
              </w:rPr>
              <m:t xml:space="preserve">p</m:t>
            </m:r>
          </m:sub>
        </m:sSub>
        <m:r>
          <w:rPr>
            <w:rFonts w:ascii="Cambria Math" w:hAnsi="Cambria Math"/>
          </w:rPr>
          <m:t xml:space="preserve">(</m:t>
        </m:r>
        <m:sSub>
          <m:e>
            <m:r>
              <w:rPr>
                <w:rFonts w:ascii="Cambria Math" w:hAnsi="Cambria Math"/>
              </w:rPr>
              <m:t xml:space="preserve">V</m:t>
            </m:r>
          </m:e>
          <m:sub>
            <m:r>
              <w:rPr>
                <w:rFonts w:ascii="Cambria Math" w:hAnsi="Cambria Math"/>
              </w:rPr>
              <m:t xml:space="preserve">j</m:t>
            </m:r>
          </m:sub>
        </m:sSub>
        <m:r>
          <w:rPr>
            <w:rFonts w:ascii="Cambria Math" w:hAnsi="Cambria Math"/>
          </w:rPr>
          <m:t xml:space="preserve">)</m:t>
        </m:r>
        <m:r>
          <w:rPr>
            <w:rFonts w:ascii="Cambria Math" w:hAnsi="Cambria Math"/>
          </w:rPr>
          <m:t xml:space="preserve">,</m:t>
        </m:r>
        <m:r>
          <w:rPr>
            <w:rFonts w:ascii="Cambria Math" w:hAnsi="Cambria Math"/>
          </w:rPr>
          <m:t xml:space="preserve">  </m:t>
        </m:r>
        <m:sSup>
          <m:e>
            <m:r>
              <w:rPr>
                <w:rFonts w:ascii="Cambria Math" w:hAnsi="Cambria Math"/>
              </w:rPr>
              <m:t xml:space="preserve">r</m:t>
            </m:r>
          </m:e>
          <m:sup>
            <m:r>
              <w:rPr>
                <w:rFonts w:ascii="Cambria Math" w:hAnsi="Cambria Math"/>
              </w:rPr>
              <m:t xml:space="preserve">(</m:t>
            </m:r>
            <m:r>
              <w:rPr>
                <w:rFonts w:ascii="Cambria Math" w:hAnsi="Cambria Math"/>
              </w:rPr>
              <m:t xml:space="preserve">j</m:t>
            </m:r>
            <m:r>
              <w:rPr>
                <w:rFonts w:ascii="Cambria Math" w:hAnsi="Cambria Math"/>
              </w:rPr>
              <m:t xml:space="preserve">)</m:t>
            </m:r>
          </m:sup>
        </m:sSup>
        <m:r>
          <w:rPr>
            <w:rFonts w:ascii="Cambria Math" w:hAnsi="Cambria Math"/>
          </w:rPr>
          <m:t xml:space="preserve">=</m:t>
        </m:r>
        <m:sSup>
          <m:e>
            <m:r>
              <w:rPr>
                <w:rFonts w:ascii="Cambria Math" w:hAnsi="Cambria Math"/>
              </w:rPr>
              <m:t xml:space="preserve">A</m:t>
            </m:r>
          </m:e>
          <m:sup>
            <m:r>
              <w:rPr>
                <w:rFonts w:ascii="Cambria Math" w:hAnsi="Cambria Math"/>
              </w:rPr>
              <m:t xml:space="preserve">(</m:t>
            </m:r>
            <m:r>
              <w:rPr>
                <w:rFonts w:ascii="Cambria Math" w:hAnsi="Cambria Math"/>
              </w:rPr>
              <m:t xml:space="preserve">j</m:t>
            </m:r>
            <m:r>
              <w:rPr>
                <w:rFonts w:ascii="Cambria Math" w:hAnsi="Cambria Math"/>
              </w:rPr>
              <m:t xml:space="preserve">)</m:t>
            </m:r>
          </m:sup>
        </m:sSup>
        <m:r>
          <w:rPr>
            <w:rFonts w:ascii="Cambria Math" w:hAnsi="Cambria Math"/>
          </w:rPr>
          <m:t xml:space="preserve">−</m:t>
        </m:r>
        <m:r>
          <w:rPr>
            <w:rFonts w:ascii="Cambria Math" w:hAnsi="Cambria Math"/>
          </w:rPr>
          <m:t xml:space="preserve">Δ</m:t>
        </m:r>
        <m:sSup>
          <m:e>
            <m:r>
              <w:rPr>
                <w:rFonts w:ascii="Cambria Math" w:hAnsi="Cambria Math"/>
              </w:rPr>
              <m:t xml:space="preserve">p</m:t>
            </m:r>
          </m:e>
          <m:sup>
            <m:r>
              <w:rPr>
                <w:rFonts w:ascii="Cambria Math" w:hAnsi="Cambria Math"/>
              </w:rPr>
              <m:t xml:space="preserve">(</m:t>
            </m:r>
            <m:r>
              <w:rPr>
                <w:rFonts w:ascii="Cambria Math" w:hAnsi="Cambria Math"/>
              </w:rPr>
              <m:t xml:space="preserve">j</m:t>
            </m:r>
            <m:r>
              <w:rPr>
                <w:rFonts w:ascii="Cambria Math" w:hAnsi="Cambria Math"/>
              </w:rPr>
              <m:t xml:space="preserve">)</m:t>
            </m:r>
          </m:sup>
        </m:sSup>
        <m:r>
          <w:rPr>
            <w:rFonts w:ascii="Cambria Math" w:hAnsi="Cambria Math"/>
          </w:rPr>
          <m:t xml:space="preserve">.</m:t>
        </m:r>
      </m:oMath>
      <w:r>
        <w:t xml:space="preserve"/>
      </w:r>
    </w:p>
    <w:p w14:paraId="1C6C0777" w14:textId="77777777" w:rsidR="00644F1E" w:rsidRDefault="00000000">
      <w:pPr>
        <w:widowControl/>
      </w:pPr>
      <w:r>
        <w:t xml:space="preserve">The probabilistic module uses scrambled Sobol draws to generate 64 paired Gaussian samples, with dependence coefficient bounded by </w:t>
      </w:r>
      <m:oMath>
        <m:r>
          <w:rPr>
            <w:rFonts w:ascii="Cambria Math" w:hAnsi="Cambria Math"/>
          </w:rPr>
          <m:t xml:space="preserve">0</m:t>
        </m:r>
        <m:r>
          <w:rPr>
            <w:rFonts w:ascii="Cambria Math" w:hAnsi="Cambria Math"/>
          </w:rPr>
          <m:t xml:space="preserve">.</m:t>
        </m:r>
        <m:r>
          <w:rPr>
            <w:rFonts w:ascii="Cambria Math" w:hAnsi="Cambria Math"/>
          </w:rPr>
          <m:t xml:space="preserve">9</m:t>
        </m:r>
        <m:r>
          <w:rPr>
            <w:rFonts w:ascii="Cambria Math" w:hAnsi="Cambria Math"/>
          </w:rPr>
          <m:t xml:space="preserve">5</m:t>
        </m:r>
        <m:r>
          <w:rPr>
            <w:rFonts w:ascii="Cambria Math" w:hAnsi="Cambria Math"/>
          </w:rPr>
          <m:rPr>
            <m:sty m:val="p"/>
          </m:rPr>
          <m:t xml:space="preserve">tanh</m:t>
        </m:r>
        <m:r>
          <w:rPr>
            <w:rFonts w:ascii="Cambria Math" w:hAnsi="Cambria Math"/>
          </w:rPr>
          <m:t xml:space="preserve">(</m:t>
        </m:r>
        <m:r>
          <w:rPr>
            <w:rFonts w:ascii="Cambria Math" w:hAnsi="Cambria Math"/>
          </w:rPr>
          <m:t xml:space="preserve">·</m:t>
        </m:r>
        <m:r>
          <w:rPr>
            <w:rFonts w:ascii="Cambria Math" w:hAnsi="Cambria Math"/>
          </w:rPr>
          <m:t xml:space="preserve">)</m:t>
        </m:r>
      </m:oMath>
      <w:r>
        <w:t>. Piecewise-linear inverse marginals and linear tail continuation produce joint paths satisfying DART = DA − RT before publication. Thus dependence and price identity are maintained together, rather than inferred from separately sorted uncertain marginals.</w:t>
      </w:r>
    </w:p>
    <w:p w14:paraId="776724A3" w14:textId="77777777" w:rsidR="00644F1E" w:rsidRDefault="00000000">
      <w:pPr>
        <w:widowControl/>
      </w:pPr>
      <w:r>
        <w:t xml:space="preserve">After publication, </w:t>
      </w:r>
      <m:oMath>
        <m:r>
          <w:rPr>
            <w:rFonts w:ascii="Cambria Math" w:hAnsi="Cambria Math"/>
          </w:rPr>
          <m:t xml:space="preserve">A</m:t>
        </m:r>
      </m:oMath>
      <w:r>
        <w:t xml:space="preserve"> is known. Reflection of the spread distribution gives the complementary-quantile identity</w:t>
      </w:r>
    </w:p>
    <w:p w14:paraId="4AF57B33" w14:textId="77777777" w:rsidR="00644F1E" w:rsidRDefault="00000000">
      <w:pPr>
        <w:keepLines/>
        <w:widowControl/>
        <w:spacing w:before="100" w:after="180" w:line="288" w:lineRule="auto"/>
      </w:pPr>
      <m:oMath>
        <m:sSub>
          <m:e>
            <m:r>
              <w:rPr>
                <w:rFonts w:ascii="Cambria Math" w:hAnsi="Cambria Math"/>
              </w:rPr>
              <m:t xml:space="preserve">q</m:t>
            </m:r>
          </m:e>
          <m:sub>
            <m:box>
              <m:e>
                <m:r>
                  <w:rPr>
                    <w:rFonts w:ascii="Cambria Math" w:hAnsi="Cambria Math"/>
                  </w:rPr>
                  <m:rPr>
                    <m:sty m:val="p"/>
                  </m:rPr>
                  <m:t xml:space="preserve">R</m:t>
                </m:r>
                <m:r>
                  <w:rPr>
                    <w:rFonts w:ascii="Cambria Math" w:hAnsi="Cambria Math"/>
                  </w:rPr>
                  <m:rPr>
                    <m:sty m:val="p"/>
                  </m:rPr>
                  <m:t xml:space="preserve">T</m:t>
                </m:r>
              </m:e>
            </m:box>
          </m:sub>
        </m:sSub>
        <m:r>
          <w:rPr>
            <w:rFonts w:ascii="Cambria Math" w:hAnsi="Cambria Math"/>
          </w:rPr>
          <m:t xml:space="preserve">(</m:t>
        </m:r>
        <m:r>
          <w:rPr>
            <w:rFonts w:ascii="Cambria Math" w:hAnsi="Cambria Math"/>
          </w:rPr>
          <m:t xml:space="preserve">τ</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m:t>
        </m:r>
        <m:r>
          <w:rPr>
            <w:rFonts w:ascii="Cambria Math" w:hAnsi="Cambria Math"/>
          </w:rPr>
          <m:t xml:space="preserve">A</m:t>
        </m:r>
        <m:r>
          <w:rPr>
            <w:rFonts w:ascii="Cambria Math" w:hAnsi="Cambria Math"/>
          </w:rPr>
          <m:t xml:space="preserve">−</m:t>
        </m:r>
        <m:sSub>
          <m:e>
            <m:r>
              <w:rPr>
                <w:rFonts w:ascii="Cambria Math" w:hAnsi="Cambria Math"/>
              </w:rPr>
              <m:t xml:space="preserve">q</m:t>
            </m:r>
          </m:e>
          <m:sub>
            <m:box>
              <m:e>
                <m:r>
                  <w:rPr>
                    <w:rFonts w:ascii="Cambria Math" w:hAnsi="Cambria Math"/>
                  </w:rPr>
                  <m:rPr>
                    <m:sty m:val="p"/>
                  </m:rPr>
                  <m:t xml:space="preserve">D</m:t>
                </m:r>
                <m:r>
                  <w:rPr>
                    <w:rFonts w:ascii="Cambria Math" w:hAnsi="Cambria Math"/>
                  </w:rPr>
                  <m:rPr>
                    <m:sty m:val="p"/>
                  </m:rPr>
                  <m:t xml:space="preserve">A</m:t>
                </m:r>
                <m:r>
                  <w:rPr>
                    <w:rFonts w:ascii="Cambria Math" w:hAnsi="Cambria Math"/>
                  </w:rPr>
                  <m:rPr>
                    <m:sty m:val="p"/>
                  </m:rPr>
                  <m:t xml:space="preserve">R</m:t>
                </m:r>
                <m:r>
                  <w:rPr>
                    <w:rFonts w:ascii="Cambria Math" w:hAnsi="Cambria Math"/>
                  </w:rPr>
                  <m:rPr>
                    <m:sty m:val="p"/>
                  </m:rPr>
                  <m:t xml:space="preserve">T</m:t>
                </m:r>
              </m:e>
            </m:box>
          </m:sub>
        </m:sSub>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τ</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m:t>
        </m:r>
      </m:oMath>
      <w:r>
        <w:t xml:space="preserve"/>
      </w:r>
    </w:p>
    <w:p w14:paraId="46842247" w14:textId="77777777" w:rsidR="00644F1E" w:rsidRDefault="00000000">
      <w:pPr>
        <w:widowControl/>
      </w:pPr>
      <w:r>
        <w:t xml:space="preserve">At fixed DA, upper RT quantiles correspond to lower spread quantiles, which explains the reversed index and preserves ordering. Across 35,040 zone-hour rows and seven quantiles, the retained post-publication forecasts satisfy the complementary-quantile identity with maximum residual </w:t>
      </w:r>
      <m:oMath>
        <m:r>
          <w:rPr>
            <w:rFonts w:ascii="Cambria Math" w:hAnsi="Cambria Math"/>
          </w:rPr>
          <m:t xml:space="preserve">4</m:t>
        </m:r>
        <m:r>
          <w:rPr>
            <w:rFonts w:ascii="Cambria Math" w:hAnsi="Cambria Math"/>
          </w:rPr>
          <m:t xml:space="preserve">.</m:t>
        </m:r>
        <m:r>
          <w:rPr>
            <w:rFonts w:ascii="Cambria Math" w:hAnsi="Cambria Math"/>
          </w:rPr>
          <m:t xml:space="preserve">3</m:t>
        </m:r>
        <m:r>
          <w:rPr>
            <w:rFonts w:ascii="Cambria Math" w:hAnsi="Cambria Math"/>
          </w:rPr>
          <m:t xml:space="preserve">9</m:t>
        </m:r>
        <m:r>
          <w:rPr>
            <w:rFonts w:ascii="Cambria Math" w:hAnsi="Cambria Math"/>
          </w:rPr>
          <m:t xml:space="preserve">×</m:t>
        </m:r>
        <m:r>
          <w:rPr>
            <w:rFonts w:ascii="Cambria Math" w:hAnsi="Cambria Math"/>
          </w:rPr>
          <m:t xml:space="preserve">1</m:t>
        </m:r>
        <m:sSup>
          <m:e>
            <m:r>
              <w:rPr>
                <w:rFonts w:ascii="Cambria Math" w:hAnsi="Cambria Math"/>
              </w:rPr>
              <m:t xml:space="preserve">0</m:t>
            </m:r>
          </m:e>
          <m:sup>
            <m:r>
              <w:rPr>
                <w:rFonts w:ascii="Cambria Math" w:hAnsi="Cambria Math"/>
              </w:rPr>
              <m:t xml:space="preserve">−</m:t>
            </m:r>
            <m:r>
              <w:rPr>
                <w:rFonts w:ascii="Cambria Math" w:hAnsi="Cambria Math"/>
              </w:rPr>
              <m:t xml:space="preserve">5</m:t>
            </m:r>
          </m:sup>
        </m:sSup>
      </m:oMath>
      <w:r>
        <w:t xml:space="preserve"> US$/MWh and mean residual </w:t>
      </w:r>
      <m:oMath>
        <m:r>
          <w:rPr>
            <w:rFonts w:ascii="Cambria Math" w:hAnsi="Cambria Math"/>
          </w:rPr>
          <m:t xml:space="preserve">1</m:t>
        </m:r>
        <m:r>
          <w:rPr>
            <w:rFonts w:ascii="Cambria Math" w:hAnsi="Cambria Math"/>
          </w:rPr>
          <m:t xml:space="preserve">.</m:t>
        </m:r>
        <m:r>
          <w:rPr>
            <w:rFonts w:ascii="Cambria Math" w:hAnsi="Cambria Math"/>
          </w:rPr>
          <m:t xml:space="preserve">9</m:t>
        </m:r>
        <m:r>
          <w:rPr>
            <w:rFonts w:ascii="Cambria Math" w:hAnsi="Cambria Math"/>
          </w:rPr>
          <m:t xml:space="preserve">0</m:t>
        </m:r>
        <m:r>
          <w:rPr>
            <w:rFonts w:ascii="Cambria Math" w:hAnsi="Cambria Math"/>
          </w:rPr>
          <m:t xml:space="preserve">×</m:t>
        </m:r>
        <m:r>
          <w:rPr>
            <w:rFonts w:ascii="Cambria Math" w:hAnsi="Cambria Math"/>
          </w:rPr>
          <m:t xml:space="preserve">1</m:t>
        </m:r>
        <m:sSup>
          <m:e>
            <m:r>
              <w:rPr>
                <w:rFonts w:ascii="Cambria Math" w:hAnsi="Cambria Math"/>
              </w:rPr>
              <m:t xml:space="preserve">0</m:t>
            </m:r>
          </m:e>
          <m:sup>
            <m:r>
              <w:rPr>
                <w:rFonts w:ascii="Cambria Math" w:hAnsi="Cambria Math"/>
              </w:rPr>
              <m:t xml:space="preserve">−</m:t>
            </m:r>
            <m:r>
              <w:rPr>
                <w:rFonts w:ascii="Cambria Math" w:hAnsi="Cambria Math"/>
              </w:rPr>
              <m:t xml:space="preserve">6</m:t>
            </m:r>
          </m:sup>
        </m:sSup>
      </m:oMath>
      <w:r>
        <w:t xml:space="preserve"> US$/MWh (Table 11). This quantifies numerical price consistency; forecast calibration is assessed separately.</w:t>
      </w:r>
    </w:p>
    <w:p w14:paraId="5623D3F6" w14:textId="77777777" w:rsidR="00644F1E" w:rsidRDefault="00000000">
      <w:pPr>
        <w:widowControl/>
      </w:pPr>
      <w:r>
        <w:t xml:space="preserve">The final 227,527-parameter decision module includes a market-only residual adapter. For fixed pretrained market state </w:t>
      </w:r>
      <m:oMath>
        <m:r>
          <w:rPr>
            <w:rFonts w:ascii="Cambria Math" w:hAnsi="Cambria Math"/>
          </w:rPr>
          <m:t xml:space="preserve">h</m:t>
        </m:r>
      </m:oMath>
      <w:r>
        <w:t xml:space="preserve">, it forms </w:t>
      </w:r>
      <m:oMath>
        <m:r>
          <w:rPr>
            <w:rFonts w:ascii="Cambria Math" w:hAnsi="Cambria Math"/>
          </w:rPr>
          <m:t xml:space="preserve">h</m:t>
        </m:r>
        <m:r>
          <w:rPr>
            <w:rFonts w:ascii="Cambria Math" w:hAnsi="Cambria Math"/>
          </w:rPr>
          <m:t xml:space="preserve">′</m:t>
        </m:r>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rPr>
            <m:sty m:val="p"/>
          </m:rPr>
          <m:t xml:space="preserve">tanh</m:t>
        </m:r>
        <m:r>
          <w:rPr>
            <w:rFonts w:ascii="Cambria Math" w:hAnsi="Cambria Math"/>
          </w:rPr>
          <m:t xml:space="preserve">(</m:t>
        </m:r>
        <m:sSub>
          <m:e>
            <m:r>
              <w:rPr>
                <w:rFonts w:ascii="Cambria Math" w:hAnsi="Cambria Math"/>
              </w:rPr>
              <m:t xml:space="preserve">f</m:t>
            </m:r>
          </m:e>
          <m:sub>
            <m:box>
              <m:e>
                <m:r>
                  <w:rPr>
                    <w:rFonts w:ascii="Cambria Math" w:hAnsi="Cambria Math"/>
                  </w:rPr>
                  <m:rPr>
                    <m:sty m:val="p"/>
                  </m:rPr>
                  <m:t xml:space="preserve">a</m:t>
                </m:r>
                <m:r>
                  <w:rPr>
                    <w:rFonts w:ascii="Cambria Math" w:hAnsi="Cambria Math"/>
                  </w:rPr>
                  <m:rPr>
                    <m:sty m:val="p"/>
                  </m:rPr>
                  <m:t xml:space="preserve">d</m:t>
                </m:r>
                <m:r>
                  <w:rPr>
                    <w:rFonts w:ascii="Cambria Math" w:hAnsi="Cambria Math"/>
                  </w:rPr>
                  <m:rPr>
                    <m:sty m:val="p"/>
                  </m:rPr>
                  <m:t xml:space="preserve">a</m:t>
                </m:r>
                <m:r>
                  <w:rPr>
                    <w:rFonts w:ascii="Cambria Math" w:hAnsi="Cambria Math"/>
                  </w:rPr>
                  <m:rPr>
                    <m:sty m:val="p"/>
                  </m:rPr>
                  <m:t xml:space="preserve">p</m:t>
                </m:r>
                <m:r>
                  <w:rPr>
                    <w:rFonts w:ascii="Cambria Math" w:hAnsi="Cambria Math"/>
                  </w:rPr>
                  <m:rPr>
                    <m:sty m:val="p"/>
                  </m:rPr>
                  <m:t xml:space="preserve">t</m:t>
                </m:r>
              </m:e>
            </m:box>
          </m:sub>
        </m:sSub>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m:t>
        </m:r>
      </m:oMath>
      <w:r>
        <w:t xml:space="preserve"> and a shared price shift </w:t>
      </w:r>
      <m:oMath>
        <m:r>
          <w:rPr>
            <w:rFonts w:ascii="Cambria Math" w:hAnsi="Cambria Math"/>
          </w:rPr>
          <m:t xml:space="preserve">δ</m:t>
        </m:r>
        <m:r>
          <w:rPr>
            <w:rFonts w:ascii="Cambria Math" w:hAnsi="Cambria Math"/>
          </w:rPr>
          <m:t xml:space="preserve">=</m:t>
        </m:r>
        <m:r>
          <w:rPr>
            <w:rFonts w:ascii="Cambria Math" w:hAnsi="Cambria Math"/>
          </w:rPr>
          <m:t xml:space="preserve">8</m:t>
        </m:r>
        <m:r>
          <w:rPr>
            <w:rFonts w:ascii="Cambria Math" w:hAnsi="Cambria Math"/>
          </w:rPr>
          <m:rPr>
            <m:sty m:val="p"/>
          </m:rPr>
          <m:t xml:space="preserve">tanh</m:t>
        </m:r>
        <m:r>
          <w:rPr>
            <w:rFonts w:ascii="Cambria Math" w:hAnsi="Cambria Math"/>
          </w:rPr>
          <m:t xml:space="preserve">(</m:t>
        </m:r>
        <m:sSub>
          <m:e>
            <m:r>
              <w:rPr>
                <w:rFonts w:ascii="Cambria Math" w:hAnsi="Cambria Math"/>
              </w:rPr>
              <m:t xml:space="preserve">f</m:t>
            </m:r>
          </m:e>
          <m:sub>
            <m:r>
              <w:rPr>
                <w:rFonts w:ascii="Cambria Math" w:hAnsi="Cambria Math"/>
              </w:rPr>
              <m:t xml:space="preserve">δ</m:t>
            </m:r>
          </m:sub>
        </m:sSub>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m:t>
        </m:r>
        <m:r>
          <w:rPr>
            <w:rFonts w:ascii="Cambria Math" w:hAnsi="Cambria Math"/>
          </w:rPr>
          <m:t xml:space="preserve">)</m:t>
        </m:r>
      </m:oMath>
      <w:r>
        <w:t xml:space="preserve"> US$/MWh. Computed before queue-conditioned attention, this shift translates all RT quantiles together and preserves their order (Chernozhukov et al., 2010, https://doi.org/10.3982/ECTA7880). Its APIC-consistent counterpart is</w:t>
      </w:r>
    </w:p>
    <w:p w14:paraId="378759DC" w14:textId="77777777" w:rsidR="00644F1E" w:rsidRDefault="00000000">
      <w:pPr>
        <w:keepLines/>
        <w:widowControl/>
        <w:spacing w:before="100" w:after="180" w:line="288" w:lineRule="auto"/>
      </w:pPr>
      <m:oMath>
        <m:r>
          <w:rPr>
            <w:rFonts w:ascii="Cambria Math" w:hAnsi="Cambria Math"/>
          </w:rPr>
          <m:t xml:space="preserve">r</m:t>
        </m:r>
        <m:r>
          <w:rPr>
            <w:rFonts w:ascii="Cambria Math" w:hAnsi="Cambria Math"/>
          </w:rPr>
          <m:t xml:space="preserve">′</m:t>
        </m:r>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δ</m:t>
        </m:r>
        <m:r>
          <w:rPr>
            <w:rFonts w:ascii="Cambria Math" w:hAnsi="Cambria Math"/>
          </w:rPr>
          <m:t xml:space="preserve">,</m:t>
        </m:r>
        <m:r>
          <w:rPr>
            <w:rFonts w:ascii="Cambria Math" w:hAnsi="Cambria Math"/>
          </w:rPr>
          <m:t xml:space="preserve">  </m:t>
        </m:r>
        <m:r>
          <w:rPr>
            <w:rFonts w:ascii="Cambria Math" w:hAnsi="Cambria Math"/>
          </w:rPr>
          <m:t xml:space="preserve">Δ</m:t>
        </m:r>
        <m:r>
          <w:rPr>
            <w:rFonts w:ascii="Cambria Math" w:hAnsi="Cambria Math"/>
          </w:rPr>
          <m:t xml:space="preserve">p</m:t>
        </m:r>
        <m:r>
          <w:rPr>
            <w:rFonts w:ascii="Cambria Math" w:hAnsi="Cambria Math"/>
          </w:rPr>
          <m:t xml:space="preserve">′</m:t>
        </m:r>
        <m:r>
          <w:rPr>
            <w:rFonts w:ascii="Cambria Math" w:hAnsi="Cambria Math"/>
          </w:rPr>
          <m:t xml:space="preserve">=</m:t>
        </m:r>
        <m:r>
          <w:rPr>
            <w:rFonts w:ascii="Cambria Math" w:hAnsi="Cambria Math"/>
          </w:rPr>
          <m:t xml:space="preserve">Δ</m:t>
        </m:r>
        <m:r>
          <w:rPr>
            <w:rFonts w:ascii="Cambria Math" w:hAnsi="Cambria Math"/>
          </w:rPr>
          <m:t xml:space="preserve">p</m:t>
        </m:r>
        <m:r>
          <w:rPr>
            <w:rFonts w:ascii="Cambria Math" w:hAnsi="Cambria Math"/>
          </w:rPr>
          <m:t xml:space="preserve">−</m:t>
        </m:r>
        <m:r>
          <w:rPr>
            <w:rFonts w:ascii="Cambria Math" w:hAnsi="Cambria Math"/>
          </w:rPr>
          <m:t xml:space="preserve">δ</m:t>
        </m:r>
        <m:r>
          <w:rPr>
            <w:rFonts w:ascii="Cambria Math" w:hAnsi="Cambria Math"/>
          </w:rPr>
          <m:t xml:space="preserve">,</m:t>
        </m:r>
        <m:r>
          <w:rPr>
            <w:rFonts w:ascii="Cambria Math" w:hAnsi="Cambria Math"/>
          </w:rPr>
          <m:t xml:space="preserve">  </m:t>
        </m:r>
        <m:r>
          <w:rPr>
            <w:rFonts w:ascii="Cambria Math" w:hAnsi="Cambria Math"/>
          </w:rPr>
          <m:t xml:space="preserve">A</m:t>
        </m:r>
        <m:r>
          <w:rPr>
            <w:rFonts w:ascii="Cambria Math" w:hAnsi="Cambria Math"/>
          </w:rPr>
          <m:t xml:space="preserve">′</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  </m:t>
        </m:r>
        <m:r>
          <w:rPr>
            <w:rFonts w:ascii="Cambria Math" w:hAnsi="Cambria Math"/>
          </w:rPr>
          <m:t xml:space="preserve">A</m:t>
        </m:r>
        <m:r>
          <w:rPr>
            <w:rFonts w:ascii="Cambria Math" w:hAnsi="Cambria Math"/>
          </w:rPr>
          <m:t xml:space="preserve">′</m:t>
        </m:r>
        <m:r>
          <w:rPr>
            <w:rFonts w:ascii="Cambria Math" w:hAnsi="Cambria Math"/>
          </w:rPr>
          <m:t xml:space="preserve">−</m:t>
        </m:r>
        <m:r>
          <w:rPr>
            <w:rFonts w:ascii="Cambria Math" w:hAnsi="Cambria Math"/>
          </w:rPr>
          <m:t xml:space="preserve">Δ</m:t>
        </m:r>
        <m:r>
          <w:rPr>
            <w:rFonts w:ascii="Cambria Math" w:hAnsi="Cambria Math"/>
          </w:rPr>
          <m:t xml:space="preserve">p</m:t>
        </m:r>
        <m:r>
          <w:rPr>
            <w:rFonts w:ascii="Cambria Math" w:hAnsi="Cambria Math"/>
          </w:rPr>
          <m:t xml:space="preserve">′</m:t>
        </m:r>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m:t>
        </m:r>
      </m:oMath>
      <w:r>
        <w:t xml:space="preserve"/>
      </w:r>
    </w:p>
    <w:p w14:paraId="5E8F306D" w14:textId="77777777" w:rsidR="00644F1E" w:rsidRDefault="00000000">
      <w:pPr>
        <w:widowControl/>
      </w:pPr>
      <w:r>
        <w:t xml:space="preserve">APIC couples market representation to the common economic objective throughout fitting, selection and execution: its conditional price distributions determine the costs faced by both the training allocator and the runtime executor. DA, DART and RT scores accompany the service-cost objective, giving the market residual both predictive and economic supervision. In each 2024 evaluation, the APIC-conditioned distributions feed executable scheduling and annual settlement. A price-score guard limits predictive degradation, while eligible annual savings select the complete policy. The selected parameters then remain fixed in 2025 and ISO-NE transfer.</w:t>
      </w:r>
    </w:p>
    <w:p>
      <w:pPr>
        <w:pStyle w:val="Heading2"/>
        <w:keepNext/>
        <w:widowControl/>
      </w:pPr>
      <w:r>
        <w:t>Analytical physical-cost decoder</w:t>
      </w:r>
    </w:p>
    <w:p w14:paraId="456EBF91" w14:textId="77777777" w:rsidR="00644F1E" w:rsidRDefault="00000000">
      <w:pPr>
        <w:widowControl/>
      </w:pPr>
      <w:r>
        <w:t>The executable value interface contains five effective quantities: PV location and scale, task-cost bias, a time-centred opportunity score and price–PV dependence. Of the five raw decoder outputs, two adjust PV location, one controls dispersion, and one each controls opportunity and cost bias; a separate cross-moment head supplies dependence. These quantities combine with APIC quantiles and PUE to determine the physical breakpoints and analytical import costs used in scheduling.</w:t>
      </w:r>
    </w:p>
    <w:p w14:paraId="44B7EF7F" w14:textId="77777777" w:rsidR="00644F1E" w:rsidRDefault="00000000">
      <w:pPr>
        <w:widowControl/>
      </w:pPr>
      <w:r>
        <w:lastRenderedPageBreak/>
        <w:t xml:space="preserve">PV location </w:t>
      </w:r>
      <m:oMath>
        <m:r>
          <m:t xml:space="preserve">μ</m:t>
        </m:r>
      </m:oMath>
      <w:r>
        <w:t xml:space="preserve"> and scale </w:t>
      </w:r>
      <m:oMath>
        <m:r>
          <m:t xml:space="preserve">σ</m:t>
        </m:r>
      </m:oMath>
      <w:r>
        <w:t xml:space="preserve"> are measured in MW: location is clipped at zero, and scale is positive with a bounded multiplicative adjustment to the issued prior. The dimensionless coefficient </w:t>
      </w:r>
      <m:oMath>
        <m:r>
          <m:t xml:space="preserve">ρ</m:t>
        </m:r>
      </m:oMath>
      <w:r>
        <w:t xml:space="preserve"> lies between −0.95 and 0.95. Task-cost bias is bounded by ±5 US$/MWh. The opportunity head is bounded by ±5 US$/MWh before centring across 96 slots, yielding zero temporal mean and a per-slot absolute bound of 10 US$/MWh. The interface therefore retains explicit physical units and controlled valuation ranges.</w:t>
      </w:r>
    </w:p>
    <w:p w14:paraId="5F6BC276" w14:textId="77777777" w:rsidR="00644F1E" w:rsidRDefault="00000000">
      <w:pPr>
        <w:widowControl/>
      </w:pPr>
      <w:r>
        <w:t xml:space="preserve">For service </w:t>
      </w:r>
      <m:oMath>
        <m:r>
          <w:rPr>
            <w:rFonts w:ascii="Cambria Math" w:hAnsi="Cambria Math"/>
          </w:rPr>
          <m:t xml:space="preserve">x</m:t>
        </m:r>
      </m:oMath>
      <w:r>
        <w:t xml:space="preserve">, facility demand is </w:t>
      </w:r>
      <m:oMath>
        <m:r>
          <w:rPr>
            <w:rFonts w:ascii="Cambria Math" w:hAnsi="Cambria Math"/>
          </w:rPr>
          <m:t xml:space="preserve">L</m:t>
        </m:r>
        <m:r>
          <w:rPr>
            <w:rFonts w:ascii="Cambria Math" w:hAnsi="Cambria Math"/>
          </w:rPr>
          <m:t xml:space="preserve">=</m:t>
        </m:r>
        <m:box>
          <m:e>
            <m:r>
              <w:rPr>
                <w:rFonts w:ascii="Cambria Math" w:hAnsi="Cambria Math"/>
              </w:rPr>
              <m:rPr>
                <m:sty m:val="p"/>
              </m:rPr>
              <m:t xml:space="preserve">P</m:t>
            </m:r>
            <m:r>
              <w:rPr>
                <w:rFonts w:ascii="Cambria Math" w:hAnsi="Cambria Math"/>
              </w:rPr>
              <m:rPr>
                <m:sty m:val="p"/>
              </m:rPr>
              <m:t xml:space="preserve">U</m:t>
            </m:r>
            <m:r>
              <w:rPr>
                <w:rFonts w:ascii="Cambria Math" w:hAnsi="Cambria Math"/>
              </w:rPr>
              <m:rPr>
                <m:sty m:val="p"/>
              </m:rPr>
              <m:t xml:space="preserve">E</m:t>
            </m:r>
          </m:e>
        </m:box>
        <m:r>
          <w:rPr>
            <w:rFonts w:ascii="Cambria Math" w:hAnsi="Cambria Math"/>
          </w:rPr>
          <m:t xml:space="preserve">(</m:t>
        </m:r>
        <m:sSub>
          <m:e>
            <m:r>
              <w:rPr>
                <w:rFonts w:ascii="Cambria Math" w:hAnsi="Cambria Math"/>
              </w:rPr>
              <m:t xml:space="preserve">P</m:t>
            </m:r>
          </m:e>
          <m:sub>
            <m:box>
              <m:e>
                <m:r>
                  <w:rPr>
                    <w:rFonts w:ascii="Cambria Math" w:hAnsi="Cambria Math"/>
                  </w:rPr>
                  <m:rPr>
                    <m:sty m:val="p"/>
                  </m:rPr>
                  <m:t xml:space="preserve">i</m:t>
                </m:r>
                <m:r>
                  <w:rPr>
                    <w:rFonts w:ascii="Cambria Math" w:hAnsi="Cambria Math"/>
                  </w:rPr>
                  <m:rPr>
                    <m:sty m:val="p"/>
                  </m:rPr>
                  <m:t xml:space="preserve">d</m:t>
                </m:r>
                <m:r>
                  <w:rPr>
                    <w:rFonts w:ascii="Cambria Math" w:hAnsi="Cambria Math"/>
                  </w:rPr>
                  <m:rPr>
                    <m:sty m:val="p"/>
                  </m:rPr>
                  <m:t xml:space="preserve">l</m:t>
                </m:r>
                <m:r>
                  <w:rPr>
                    <w:rFonts w:ascii="Cambria Math" w:hAnsi="Cambria Math"/>
                  </w:rPr>
                  <m:rPr>
                    <m:sty m:val="p"/>
                  </m:rPr>
                  <m:t xml:space="preserve">e</m:t>
                </m:r>
              </m:e>
            </m:box>
          </m:sub>
        </m:sSub>
        <m:r>
          <w:rPr>
            <w:rFonts w:ascii="Cambria Math" w:hAnsi="Cambria Math"/>
          </w:rPr>
          <m:t xml:space="preserve">+</m:t>
        </m:r>
        <m:r>
          <w:rPr>
            <w:rFonts w:ascii="Cambria Math" w:hAnsi="Cambria Math"/>
          </w:rPr>
          <m:t xml:space="preserve">k</m:t>
        </m:r>
        <m:r>
          <w:rPr>
            <w:rFonts w:ascii="Cambria Math" w:hAnsi="Cambria Math"/>
          </w:rPr>
          <m:t xml:space="preserve">x</m:t>
        </m:r>
        <m:r>
          <w:rPr>
            <w:rFonts w:ascii="Cambria Math" w:hAnsi="Cambria Math"/>
          </w:rPr>
          <m:t xml:space="preserve">)</m:t>
        </m:r>
      </m:oMath>
      <w:r>
        <w:t xml:space="preserve">. PV follows </w:t>
      </w:r>
      <m:oMath>
        <m:r>
          <w:rPr>
            <w:rFonts w:ascii="Cambria Math" w:hAnsi="Cambria Math"/>
          </w:rPr>
          <m:t xml:space="preserve">P</m:t>
        </m:r>
        <m:r>
          <w:rPr>
            <w:rFonts w:ascii="Cambria Math" w:hAnsi="Cambria Math"/>
          </w:rPr>
          <m:t xml:space="preserve">=</m:t>
        </m:r>
        <m:r>
          <w:rPr>
            <w:rFonts w:ascii="Cambria Math" w:hAnsi="Cambria Math"/>
          </w:rPr>
          <m:rPr>
            <m:sty m:val="p"/>
          </m:rPr>
          <m:t xml:space="preserve">max</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μ</m:t>
        </m:r>
        <m:r>
          <w:rPr>
            <w:rFonts w:ascii="Cambria Math" w:hAnsi="Cambria Math"/>
          </w:rPr>
          <m:t xml:space="preserve">+</m:t>
        </m:r>
        <m:r>
          <w:rPr>
            <w:rFonts w:ascii="Cambria Math" w:hAnsi="Cambria Math"/>
          </w:rPr>
          <m:t xml:space="preserve">σ</m:t>
        </m:r>
        <m:r>
          <w:rPr>
            <w:rFonts w:ascii="Cambria Math" w:hAnsi="Cambria Math"/>
          </w:rPr>
          <m:t xml:space="preserve">Z</m:t>
        </m:r>
        <m:r>
          <w:rPr>
            <w:rFonts w:ascii="Cambria Math" w:hAnsi="Cambria Math"/>
          </w:rPr>
          <m:t xml:space="preserve">)</m:t>
        </m:r>
      </m:oMath>
      <w:r>
        <w:t xml:space="preserve">, with </w:t>
      </w:r>
      <m:oMath>
        <m:r>
          <w:rPr>
            <w:rFonts w:ascii="Cambria Math" w:hAnsi="Cambria Math"/>
          </w:rPr>
          <m:t xml:space="preserve">Z</m:t>
        </m:r>
      </m:oMath>
      <w:r>
        <w:t xml:space="preserve"> standard normal, and grid imports are </w:t>
      </w:r>
      <m:oMath>
        <m:r>
          <w:rPr>
            <w:rFonts w:ascii="Cambria Math" w:hAnsi="Cambria Math"/>
          </w:rPr>
          <m:t xml:space="preserve">g</m:t>
        </m:r>
        <m:r>
          <w:rPr>
            <w:rFonts w:ascii="Cambria Math" w:hAnsi="Cambria Math"/>
          </w:rPr>
          <m:t xml:space="preserve">=</m:t>
        </m:r>
        <m:r>
          <w:rPr>
            <w:rFonts w:ascii="Cambria Math" w:hAnsi="Cambria Math"/>
          </w:rPr>
          <m:t xml:space="preserve">(</m:t>
        </m:r>
        <m:r>
          <w:rPr>
            <w:rFonts w:ascii="Cambria Math" w:hAnsi="Cambria Math"/>
          </w:rPr>
          <m:t xml:space="preserve">L</m:t>
        </m:r>
        <m:r>
          <w:rPr>
            <w:rFonts w:ascii="Cambria Math" w:hAnsi="Cambria Math"/>
          </w:rPr>
          <m:t xml:space="preserve">−</m:t>
        </m:r>
        <m:r>
          <w:rPr>
            <w:rFonts w:ascii="Cambria Math" w:hAnsi="Cambria Math"/>
          </w:rPr>
          <m:t xml:space="preserve">P</m:t>
        </m:r>
        <m:sSub>
          <m:e>
            <m:r>
              <w:rPr>
                <w:rFonts w:ascii="Cambria Math" w:hAnsi="Cambria Math"/>
              </w:rPr>
              <m:t xml:space="preserve">)</m:t>
            </m:r>
          </m:e>
          <m:sub>
            <m:r>
              <w:rPr>
                <w:rFonts w:ascii="Cambria Math" w:hAnsi="Cambria Math"/>
              </w:rPr>
              <m:t xml:space="preserve">+</m:t>
            </m:r>
          </m:sub>
        </m:sSub>
      </m:oMath>
      <w:r>
        <w:t xml:space="preserve">. This clipped Gaussian includes a zero-output atom. Define </w:t>
      </w:r>
      <m:oMath>
        <m:sSub>
          <m:e>
            <m:r>
              <w:rPr>
                <w:rFonts w:ascii="Cambria Math" w:hAnsi="Cambria Math"/>
              </w:rPr>
              <m:t xml:space="preserve">z</m:t>
            </m:r>
          </m:e>
          <m:sub>
            <m:r>
              <w:rPr>
                <w:rFonts w:ascii="Cambria Math" w:hAnsi="Cambria Math"/>
              </w:rPr>
              <m:t xml:space="preserve">L</m:t>
            </m:r>
          </m:sub>
        </m:sSub>
        <m:r>
          <w:rPr>
            <w:rFonts w:ascii="Cambria Math" w:hAnsi="Cambria Math"/>
          </w:rPr>
          <m:t xml:space="preserve">=</m:t>
        </m:r>
        <m:r>
          <w:rPr>
            <w:rFonts w:ascii="Cambria Math" w:hAnsi="Cambria Math"/>
          </w:rPr>
          <m:t xml:space="preserve">(</m:t>
        </m:r>
        <m:r>
          <w:rPr>
            <w:rFonts w:ascii="Cambria Math" w:hAnsi="Cambria Math"/>
          </w:rPr>
          <m:t xml:space="preserve">L</m:t>
        </m:r>
        <m:r>
          <w:rPr>
            <w:rFonts w:ascii="Cambria Math" w:hAnsi="Cambria Math"/>
          </w:rPr>
          <m:t xml:space="preserve">−</m:t>
        </m:r>
        <m:r>
          <w:rPr>
            <w:rFonts w:ascii="Cambria Math" w:hAnsi="Cambria Math"/>
          </w:rPr>
          <m:t xml:space="preserve">μ</m:t>
        </m:r>
        <m:r>
          <w:rPr>
            <w:rFonts w:ascii="Cambria Math" w:hAnsi="Cambria Math"/>
          </w:rPr>
          <m:t xml:space="preserve">)</m:t>
        </m:r>
        <m:r>
          <w:rPr>
            <w:rFonts w:ascii="Cambria Math" w:hAnsi="Cambria Math"/>
          </w:rPr>
          <m:t xml:space="preserve">/</m:t>
        </m:r>
        <m:r>
          <w:rPr>
            <w:rFonts w:ascii="Cambria Math" w:hAnsi="Cambria Math"/>
          </w:rPr>
          <m:t xml:space="preserve">σ</m:t>
        </m:r>
      </m:oMath>
      <w:r>
        <w:t xml:space="preserve"> and </w:t>
      </w:r>
      <m:oMath>
        <m:sSub>
          <m:e>
            <m:r>
              <w:rPr>
                <w:rFonts w:ascii="Cambria Math" w:hAnsi="Cambria Math"/>
              </w:rPr>
              <m:t xml:space="preserve">z</m:t>
            </m:r>
          </m:e>
          <m:sub>
            <m:r>
              <w:rPr>
                <w:rFonts w:ascii="Cambria Math" w:hAnsi="Cambria Math"/>
              </w:rPr>
              <m:t xml:space="preserve">0</m:t>
            </m:r>
          </m:sub>
        </m:sSub>
        <m:r>
          <w:rPr>
            <w:rFonts w:ascii="Cambria Math" w:hAnsi="Cambria Math"/>
          </w:rPr>
          <m:t xml:space="preserve">=</m:t>
        </m:r>
        <m:r>
          <w:rPr>
            <w:rFonts w:ascii="Cambria Math" w:hAnsi="Cambria Math"/>
          </w:rPr>
          <m:t xml:space="preserve">−</m:t>
        </m:r>
        <m:r>
          <w:rPr>
            <w:rFonts w:ascii="Cambria Math" w:hAnsi="Cambria Math"/>
          </w:rPr>
          <m:t xml:space="preserve">μ</m:t>
        </m:r>
        <m:r>
          <w:rPr>
            <w:rFonts w:ascii="Cambria Math" w:hAnsi="Cambria Math"/>
          </w:rPr>
          <m:t xml:space="preserve">/</m:t>
        </m:r>
        <m:r>
          <w:rPr>
            <w:rFonts w:ascii="Cambria Math" w:hAnsi="Cambria Math"/>
          </w:rPr>
          <m:t xml:space="preserve">σ</m:t>
        </m:r>
      </m:oMath>
      <w:r>
        <w:t xml:space="preserve">, with standard-normal distribution and density </w:t>
      </w:r>
      <m:oMath>
        <m:r>
          <w:rPr>
            <w:rFonts w:ascii="Cambria Math" w:hAnsi="Cambria Math"/>
          </w:rPr>
          <m:t xml:space="preserve">Φ</m:t>
        </m:r>
      </m:oMath>
      <w:r>
        <w:t xml:space="preserve"> and </w:t>
      </w:r>
      <m:oMath>
        <m:r>
          <w:rPr>
            <w:rFonts w:ascii="Cambria Math" w:hAnsi="Cambria Math"/>
          </w:rPr>
          <m:t xml:space="preserve">φ</m:t>
        </m:r>
      </m:oMath>
      <w:r>
        <w:t>. Its first partial moment on positive output below demand is</w:t>
      </w:r>
    </w:p>
    <w:p w14:paraId="44101537" w14:textId="77777777" w:rsidR="00644F1E" w:rsidRDefault="00000000">
      <w:pPr>
        <w:keepLines/>
        <w:widowControl/>
        <w:spacing w:before="100" w:after="180" w:line="288" w:lineRule="auto"/>
      </w:pPr>
      <m:oMath>
        <m:sSub>
          <m:e>
            <m:r>
              <w:rPr>
                <w:rFonts w:ascii="Cambria Math" w:hAnsi="Cambria Math"/>
              </w:rPr>
              <m:t xml:space="preserve">m</m:t>
            </m:r>
          </m:e>
          <m:sub>
            <m:r>
              <w:rPr>
                <w:rFonts w:ascii="Cambria Math" w:hAnsi="Cambria Math"/>
              </w:rPr>
              <m:t xml:space="preserve">1</m:t>
            </m:r>
          </m:sub>
        </m:sSub>
        <m:r>
          <w:rPr>
            <w:rFonts w:ascii="Cambria Math" w:hAnsi="Cambria Math"/>
          </w:rPr>
          <m:t xml:space="preserve">(</m:t>
        </m:r>
        <m:r>
          <w:rPr>
            <w:rFonts w:ascii="Cambria Math" w:hAnsi="Cambria Math"/>
          </w:rPr>
          <m:t xml:space="preserve">L</m:t>
        </m:r>
        <m:r>
          <w:rPr>
            <w:rFonts w:ascii="Cambria Math" w:hAnsi="Cambria Math"/>
          </w:rPr>
          <m:t xml:space="preserve">)</m:t>
        </m:r>
        <m:r>
          <w:rPr>
            <w:rFonts w:ascii="Cambria Math" w:hAnsi="Cambria Math"/>
          </w:rPr>
          <m:t xml:space="preserve">=</m:t>
        </m:r>
        <m:r>
          <w:rPr>
            <w:rFonts w:ascii="Cambria Math" w:hAnsi="Cambria Math"/>
          </w:rPr>
          <m:t xml:space="preserve">μ</m:t>
        </m:r>
        <m:r>
          <w:rPr>
            <w:rFonts w:ascii="Cambria Math" w:hAnsi="Cambria Math"/>
          </w:rPr>
          <m:t xml:space="preserve">[</m:t>
        </m:r>
        <m:r>
          <w:rPr>
            <w:rFonts w:ascii="Cambria Math" w:hAnsi="Cambria Math"/>
          </w:rPr>
          <m:t xml:space="preserve">Φ</m:t>
        </m:r>
        <m:r>
          <w:rPr>
            <w:rFonts w:ascii="Cambria Math" w:hAnsi="Cambria Math"/>
          </w:rPr>
          <m:t xml:space="preserve">(</m:t>
        </m:r>
        <m:sSub>
          <m:e>
            <m:r>
              <w:rPr>
                <w:rFonts w:ascii="Cambria Math" w:hAnsi="Cambria Math"/>
              </w:rPr>
              <m:t xml:space="preserve">z</m:t>
            </m:r>
          </m:e>
          <m:sub>
            <m:r>
              <w:rPr>
                <w:rFonts w:ascii="Cambria Math" w:hAnsi="Cambria Math"/>
              </w:rPr>
              <m:t xml:space="preserve">L</m:t>
            </m:r>
          </m:sub>
        </m:sSub>
        <m:r>
          <w:rPr>
            <w:rFonts w:ascii="Cambria Math" w:hAnsi="Cambria Math"/>
          </w:rPr>
          <m:t xml:space="preserve">)</m:t>
        </m:r>
        <m:r>
          <w:rPr>
            <w:rFonts w:ascii="Cambria Math" w:hAnsi="Cambria Math"/>
          </w:rPr>
          <m:t xml:space="preserve">−</m:t>
        </m:r>
        <m:r>
          <w:rPr>
            <w:rFonts w:ascii="Cambria Math" w:hAnsi="Cambria Math"/>
          </w:rPr>
          <m:t xml:space="preserve">Φ</m:t>
        </m:r>
        <m:r>
          <w:rPr>
            <w:rFonts w:ascii="Cambria Math" w:hAnsi="Cambria Math"/>
          </w:rPr>
          <m:t xml:space="preserve">(</m:t>
        </m:r>
        <m:sSub>
          <m:e>
            <m:r>
              <w:rPr>
                <w:rFonts w:ascii="Cambria Math" w:hAnsi="Cambria Math"/>
              </w:rPr>
              <m:t xml:space="preserve">z</m:t>
            </m:r>
          </m:e>
          <m:sub>
            <m:r>
              <w:rPr>
                <w:rFonts w:ascii="Cambria Math" w:hAnsi="Cambria Math"/>
              </w:rPr>
              <m:t xml:space="preserve">0</m:t>
            </m:r>
          </m:sub>
        </m:sSub>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σ</m:t>
        </m:r>
        <m:r>
          <w:rPr>
            <w:rFonts w:ascii="Cambria Math" w:hAnsi="Cambria Math"/>
          </w:rPr>
          <m:t xml:space="preserve">[</m:t>
        </m:r>
        <m:r>
          <w:rPr>
            <w:rFonts w:ascii="Cambria Math" w:hAnsi="Cambria Math"/>
          </w:rPr>
          <m:t xml:space="preserve">φ</m:t>
        </m:r>
        <m:r>
          <w:rPr>
            <w:rFonts w:ascii="Cambria Math" w:hAnsi="Cambria Math"/>
          </w:rPr>
          <m:t xml:space="preserve">(</m:t>
        </m:r>
        <m:sSub>
          <m:e>
            <m:r>
              <w:rPr>
                <w:rFonts w:ascii="Cambria Math" w:hAnsi="Cambria Math"/>
              </w:rPr>
              <m:t xml:space="preserve">z</m:t>
            </m:r>
          </m:e>
          <m:sub>
            <m:r>
              <w:rPr>
                <w:rFonts w:ascii="Cambria Math" w:hAnsi="Cambria Math"/>
              </w:rPr>
              <m:t xml:space="preserve">0</m:t>
            </m:r>
          </m:sub>
        </m:sSub>
        <m:r>
          <w:rPr>
            <w:rFonts w:ascii="Cambria Math" w:hAnsi="Cambria Math"/>
          </w:rPr>
          <m:t xml:space="preserve">)</m:t>
        </m:r>
        <m:r>
          <w:rPr>
            <w:rFonts w:ascii="Cambria Math" w:hAnsi="Cambria Math"/>
          </w:rPr>
          <m:t xml:space="preserve">−</m:t>
        </m:r>
        <m:r>
          <w:rPr>
            <w:rFonts w:ascii="Cambria Math" w:hAnsi="Cambria Math"/>
          </w:rPr>
          <m:t xml:space="preserve">φ</m:t>
        </m:r>
        <m:r>
          <w:rPr>
            <w:rFonts w:ascii="Cambria Math" w:hAnsi="Cambria Math"/>
          </w:rPr>
          <m:t xml:space="preserve">(</m:t>
        </m:r>
        <m:sSub>
          <m:e>
            <m:r>
              <w:rPr>
                <w:rFonts w:ascii="Cambria Math" w:hAnsi="Cambria Math"/>
              </w:rPr>
              <m:t xml:space="preserve">z</m:t>
            </m:r>
          </m:e>
          <m:sub>
            <m:r>
              <w:rPr>
                <w:rFonts w:ascii="Cambria Math" w:hAnsi="Cambria Math"/>
              </w:rPr>
              <m:t xml:space="preserve">L</m:t>
            </m:r>
          </m:sub>
        </m:sSub>
        <m:r>
          <w:rPr>
            <w:rFonts w:ascii="Cambria Math" w:hAnsi="Cambria Math"/>
          </w:rPr>
          <m:t xml:space="preserve">)</m:t>
        </m:r>
        <m:r>
          <w:rPr>
            <w:rFonts w:ascii="Cambria Math" w:hAnsi="Cambria Math"/>
          </w:rPr>
          <m:t xml:space="preserve">]</m:t>
        </m:r>
        <m:r>
          <w:rPr>
            <w:rFonts w:ascii="Cambria Math" w:hAnsi="Cambria Math"/>
          </w:rPr>
          <m:t xml:space="preserve">.</m:t>
        </m:r>
      </m:oMath>
    </w:p>
    <w:p w14:paraId="380AAB7C" w14:textId="77777777" w:rsidR="00644F1E" w:rsidRDefault="00000000">
      <w:pPr>
        <w:widowControl/>
      </w:pPr>
      <w:r>
        <w:t>The analytical Gaussian partial-moment cost decoder evaluates expected imports directly:</w:t>
      </w:r>
    </w:p>
    <w:p w14:paraId="0C6178FC" w14:textId="77777777" w:rsidR="00644F1E" w:rsidRDefault="00000000">
      <w:pPr>
        <w:keepLines/>
        <w:widowControl/>
        <w:spacing w:before="100" w:after="180" w:line="288" w:lineRule="auto"/>
      </w:pPr>
      <m:oMath>
        <m:r>
          <w:rPr>
            <w:rFonts w:ascii="Cambria Math" w:hAnsi="Cambria Math"/>
          </w:rPr>
          <m:t xml:space="preserve">𝔼</m:t>
        </m:r>
        <m:r>
          <w:rPr>
            <w:rFonts w:ascii="Cambria Math" w:hAnsi="Cambria Math"/>
          </w:rPr>
          <m:t xml:space="preserve">[</m:t>
        </m:r>
        <m:r>
          <w:rPr>
            <w:rFonts w:ascii="Cambria Math" w:hAnsi="Cambria Math"/>
          </w:rPr>
          <m:t xml:space="preserve">(</m:t>
        </m:r>
        <m:r>
          <w:rPr>
            <w:rFonts w:ascii="Cambria Math" w:hAnsi="Cambria Math"/>
          </w:rPr>
          <m:t xml:space="preserve">L</m:t>
        </m:r>
        <m:r>
          <w:rPr>
            <w:rFonts w:ascii="Cambria Math" w:hAnsi="Cambria Math"/>
          </w:rPr>
          <m:t xml:space="preserve">−</m:t>
        </m:r>
        <m:r>
          <w:rPr>
            <w:rFonts w:ascii="Cambria Math" w:hAnsi="Cambria Math"/>
          </w:rPr>
          <m:t xml:space="preserve">P</m:t>
        </m:r>
        <m:sSub>
          <m:e>
            <m:r>
              <w:rPr>
                <w:rFonts w:ascii="Cambria Math" w:hAnsi="Cambria Math"/>
              </w:rPr>
              <m:t xml:space="preserve">)</m:t>
            </m:r>
          </m:e>
          <m:sub>
            <m:r>
              <w:rPr>
                <w:rFonts w:ascii="Cambria Math" w:hAnsi="Cambria Math"/>
              </w:rPr>
              <m:t xml:space="preserve">+</m:t>
            </m:r>
          </m:sub>
        </m:sSub>
        <m:r>
          <w:rPr>
            <w:rFonts w:ascii="Cambria Math" w:hAnsi="Cambria Math"/>
          </w:rPr>
          <m:t xml:space="preserve">]</m:t>
        </m:r>
        <m:r>
          <w:rPr>
            <w:rFonts w:ascii="Cambria Math" w:hAnsi="Cambria Math"/>
          </w:rPr>
          <m:t xml:space="preserve">=</m:t>
        </m:r>
        <m:r>
          <w:rPr>
            <w:rFonts w:ascii="Cambria Math" w:hAnsi="Cambria Math"/>
          </w:rPr>
          <m:t xml:space="preserve">L</m:t>
        </m:r>
        <m:r>
          <w:rPr>
            <w:rFonts w:ascii="Cambria Math" w:hAnsi="Cambria Math"/>
          </w:rPr>
          <m:t xml:space="preserve">Φ</m:t>
        </m:r>
        <m:r>
          <w:rPr>
            <w:rFonts w:ascii="Cambria Math" w:hAnsi="Cambria Math"/>
          </w:rPr>
          <m:t xml:space="preserve">(</m:t>
        </m:r>
        <m:sSub>
          <m:e>
            <m:r>
              <w:rPr>
                <w:rFonts w:ascii="Cambria Math" w:hAnsi="Cambria Math"/>
              </w:rPr>
              <m:t xml:space="preserve">z</m:t>
            </m:r>
          </m:e>
          <m:sub>
            <m:r>
              <w:rPr>
                <w:rFonts w:ascii="Cambria Math" w:hAnsi="Cambria Math"/>
              </w:rPr>
              <m:t xml:space="preserve">L</m:t>
            </m:r>
          </m:sub>
        </m:sSub>
        <m:r>
          <w:rPr>
            <w:rFonts w:ascii="Cambria Math" w:hAnsi="Cambria Math"/>
          </w:rPr>
          <m:t xml:space="preserve">)</m:t>
        </m:r>
        <m:r>
          <w:rPr>
            <w:rFonts w:ascii="Cambria Math" w:hAnsi="Cambria Math"/>
          </w:rPr>
          <m:t xml:space="preserve">−</m:t>
        </m:r>
        <m:sSub>
          <m:e>
            <m:r>
              <w:rPr>
                <w:rFonts w:ascii="Cambria Math" w:hAnsi="Cambria Math"/>
              </w:rPr>
              <m:t xml:space="preserve">m</m:t>
            </m:r>
          </m:e>
          <m:sub>
            <m:r>
              <w:rPr>
                <w:rFonts w:ascii="Cambria Math" w:hAnsi="Cambria Math"/>
              </w:rPr>
              <m:t xml:space="preserve">1</m:t>
            </m:r>
          </m:sub>
        </m:sSub>
        <m:r>
          <w:rPr>
            <w:rFonts w:ascii="Cambria Math" w:hAnsi="Cambria Math"/>
          </w:rPr>
          <m:t xml:space="preserve">(</m:t>
        </m:r>
        <m:r>
          <w:rPr>
            <w:rFonts w:ascii="Cambria Math" w:hAnsi="Cambria Math"/>
          </w:rPr>
          <m:t xml:space="preserve">L</m:t>
        </m:r>
        <m:r>
          <w:rPr>
            <w:rFonts w:ascii="Cambria Math" w:hAnsi="Cambria Math"/>
          </w:rPr>
          <m:t xml:space="preserve">)</m:t>
        </m:r>
        <m:r>
          <w:rPr>
            <w:rFonts w:ascii="Cambria Math" w:hAnsi="Cambria Math"/>
          </w:rPr>
          <m:t xml:space="preserve">.</m:t>
        </m:r>
      </m:oMath>
      <w:r>
        <w:t xml:space="preserve"/>
      </w:r>
    </w:p>
    <w:p w14:paraId="126B1339" w14:textId="77777777" w:rsidR="00644F1E" w:rsidRDefault="00000000">
      <w:pPr>
        <w:widowControl/>
      </w:pPr>
      <w:r>
        <w:t>For clarity, the second partial moment and the associated price–PV cost term are</w:t>
      </w:r>
    </w:p>
    <w:p w14:paraId="30CD239C" w14:textId="77777777" w:rsidR="00644F1E" w:rsidRDefault="00000000">
      <w:pPr>
        <w:keepLines/>
        <w:widowControl/>
        <w:spacing w:before="100" w:after="180" w:line="288" w:lineRule="auto"/>
      </w:pPr>
      <m:oMath>
        <m:sSub>
          <m:e>
            <m:r>
              <w:rPr>
                <w:rFonts w:ascii="Cambria Math" w:hAnsi="Cambria Math"/>
              </w:rPr>
              <m:t xml:space="preserve">m</m:t>
            </m:r>
          </m:e>
          <m:sub>
            <m:r>
              <w:rPr>
                <w:rFonts w:ascii="Cambria Math" w:hAnsi="Cambria Math"/>
              </w:rPr>
              <m:t xml:space="preserve">2</m:t>
            </m:r>
          </m:sub>
        </m:sSub>
        <m:r>
          <w:rPr>
            <w:rFonts w:ascii="Cambria Math" w:hAnsi="Cambria Math"/>
          </w:rPr>
          <m:t xml:space="preserve">(</m:t>
        </m:r>
        <m:r>
          <w:rPr>
            <w:rFonts w:ascii="Cambria Math" w:hAnsi="Cambria Math"/>
          </w:rPr>
          <m:t xml:space="preserve">L</m:t>
        </m:r>
        <m:r>
          <w:rPr>
            <w:rFonts w:ascii="Cambria Math" w:hAnsi="Cambria Math"/>
          </w:rPr>
          <m:t xml:space="preserve">)</m:t>
        </m:r>
        <m:r>
          <w:rPr>
            <w:rFonts w:ascii="Cambria Math" w:hAnsi="Cambria Math"/>
          </w:rPr>
          <m:t xml:space="preserve">=</m:t>
        </m:r>
        <m:r>
          <w:rPr>
            <w:rFonts w:ascii="Cambria Math" w:hAnsi="Cambria Math"/>
          </w:rPr>
          <m:t xml:space="preserve">(</m:t>
        </m:r>
        <m:sSup>
          <m:e>
            <m:r>
              <w:rPr>
                <w:rFonts w:ascii="Cambria Math" w:hAnsi="Cambria Math"/>
              </w:rPr>
              <m:t xml:space="preserve">μ</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σ</m:t>
            </m:r>
          </m:e>
          <m:sup>
            <m:r>
              <w:rPr>
                <w:rFonts w:ascii="Cambria Math" w:hAnsi="Cambria Math"/>
              </w:rPr>
              <m:t xml:space="preserve">2</m:t>
            </m:r>
          </m:sup>
        </m:sSup>
        <m:r>
          <w:rPr>
            <w:rFonts w:ascii="Cambria Math" w:hAnsi="Cambria Math"/>
          </w:rPr>
          <m:t xml:space="preserve">)</m:t>
        </m:r>
        <m:r>
          <w:rPr>
            <w:rFonts w:ascii="Cambria Math" w:hAnsi="Cambria Math"/>
          </w:rPr>
          <m:t xml:space="preserve">[</m:t>
        </m:r>
        <m:r>
          <w:rPr>
            <w:rFonts w:ascii="Cambria Math" w:hAnsi="Cambria Math"/>
          </w:rPr>
          <m:t xml:space="preserve">Φ</m:t>
        </m:r>
        <m:r>
          <w:rPr>
            <w:rFonts w:ascii="Cambria Math" w:hAnsi="Cambria Math"/>
          </w:rPr>
          <m:t xml:space="preserve">(</m:t>
        </m:r>
        <m:sSub>
          <m:e>
            <m:r>
              <w:rPr>
                <w:rFonts w:ascii="Cambria Math" w:hAnsi="Cambria Math"/>
              </w:rPr>
              <m:t xml:space="preserve">z</m:t>
            </m:r>
          </m:e>
          <m:sub>
            <m:r>
              <w:rPr>
                <w:rFonts w:ascii="Cambria Math" w:hAnsi="Cambria Math"/>
              </w:rPr>
              <m:t xml:space="preserve">L</m:t>
            </m:r>
          </m:sub>
        </m:sSub>
        <m:r>
          <w:rPr>
            <w:rFonts w:ascii="Cambria Math" w:hAnsi="Cambria Math"/>
          </w:rPr>
          <m:t xml:space="preserve">)</m:t>
        </m:r>
        <m:r>
          <w:rPr>
            <w:rFonts w:ascii="Cambria Math" w:hAnsi="Cambria Math"/>
          </w:rPr>
          <m:t xml:space="preserve">−</m:t>
        </m:r>
        <m:r>
          <w:rPr>
            <w:rFonts w:ascii="Cambria Math" w:hAnsi="Cambria Math"/>
          </w:rPr>
          <m:t xml:space="preserve">Φ</m:t>
        </m:r>
        <m:r>
          <w:rPr>
            <w:rFonts w:ascii="Cambria Math" w:hAnsi="Cambria Math"/>
          </w:rPr>
          <m:t xml:space="preserve">(</m:t>
        </m:r>
        <m:sSub>
          <m:e>
            <m:r>
              <w:rPr>
                <w:rFonts w:ascii="Cambria Math" w:hAnsi="Cambria Math"/>
              </w:rPr>
              <m:t xml:space="preserve">z</m:t>
            </m:r>
          </m:e>
          <m:sub>
            <m:r>
              <w:rPr>
                <w:rFonts w:ascii="Cambria Math" w:hAnsi="Cambria Math"/>
              </w:rPr>
              <m:t xml:space="preserve">0</m:t>
            </m:r>
          </m:sub>
        </m:sSub>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2</m:t>
        </m:r>
        <m:r>
          <w:rPr>
            <w:rFonts w:ascii="Cambria Math" w:hAnsi="Cambria Math"/>
          </w:rPr>
          <m:t xml:space="preserve">μ</m:t>
        </m:r>
        <m:r>
          <w:rPr>
            <w:rFonts w:ascii="Cambria Math" w:hAnsi="Cambria Math"/>
          </w:rPr>
          <m:t xml:space="preserve">σ</m:t>
        </m:r>
        <m:r>
          <w:rPr>
            <w:rFonts w:ascii="Cambria Math" w:hAnsi="Cambria Math"/>
          </w:rPr>
          <m:t xml:space="preserve">[</m:t>
        </m:r>
        <m:r>
          <w:rPr>
            <w:rFonts w:ascii="Cambria Math" w:hAnsi="Cambria Math"/>
          </w:rPr>
          <m:t xml:space="preserve">φ</m:t>
        </m:r>
        <m:r>
          <w:rPr>
            <w:rFonts w:ascii="Cambria Math" w:hAnsi="Cambria Math"/>
          </w:rPr>
          <m:t xml:space="preserve">(</m:t>
        </m:r>
        <m:sSub>
          <m:e>
            <m:r>
              <w:rPr>
                <w:rFonts w:ascii="Cambria Math" w:hAnsi="Cambria Math"/>
              </w:rPr>
              <m:t xml:space="preserve">z</m:t>
            </m:r>
          </m:e>
          <m:sub>
            <m:r>
              <w:rPr>
                <w:rFonts w:ascii="Cambria Math" w:hAnsi="Cambria Math"/>
              </w:rPr>
              <m:t xml:space="preserve">0</m:t>
            </m:r>
          </m:sub>
        </m:sSub>
        <m:r>
          <w:rPr>
            <w:rFonts w:ascii="Cambria Math" w:hAnsi="Cambria Math"/>
          </w:rPr>
          <m:t xml:space="preserve">)</m:t>
        </m:r>
        <m:r>
          <w:rPr>
            <w:rFonts w:ascii="Cambria Math" w:hAnsi="Cambria Math"/>
          </w:rPr>
          <m:t xml:space="preserve">−</m:t>
        </m:r>
        <m:r>
          <w:rPr>
            <w:rFonts w:ascii="Cambria Math" w:hAnsi="Cambria Math"/>
          </w:rPr>
          <m:t xml:space="preserve">φ</m:t>
        </m:r>
        <m:r>
          <w:rPr>
            <w:rFonts w:ascii="Cambria Math" w:hAnsi="Cambria Math"/>
          </w:rPr>
          <m:t xml:space="preserve">(</m:t>
        </m:r>
        <m:sSub>
          <m:e>
            <m:r>
              <w:rPr>
                <w:rFonts w:ascii="Cambria Math" w:hAnsi="Cambria Math"/>
              </w:rPr>
              <m:t xml:space="preserve">z</m:t>
            </m:r>
          </m:e>
          <m:sub>
            <m:r>
              <w:rPr>
                <w:rFonts w:ascii="Cambria Math" w:hAnsi="Cambria Math"/>
              </w:rPr>
              <m:t xml:space="preserve">L</m:t>
            </m:r>
          </m:sub>
        </m:sSub>
        <m:r>
          <w:rPr>
            <w:rFonts w:ascii="Cambria Math" w:hAnsi="Cambria Math"/>
          </w:rPr>
          <m:t xml:space="preserve">)</m:t>
        </m:r>
        <m:r>
          <w:rPr>
            <w:rFonts w:ascii="Cambria Math" w:hAnsi="Cambria Math"/>
          </w:rPr>
          <m:t xml:space="preserve">]</m:t>
        </m:r>
        <m:r>
          <w:rPr>
            <w:rFonts w:ascii="Cambria Math" w:hAnsi="Cambria Math"/>
          </w:rPr>
          <m:t xml:space="preserve">+</m:t>
        </m:r>
        <m:sSup>
          <m:e>
            <m:r>
              <w:rPr>
                <w:rFonts w:ascii="Cambria Math" w:hAnsi="Cambria Math"/>
              </w:rPr>
              <m:t xml:space="preserve">σ</m:t>
            </m:r>
          </m:e>
          <m:sup>
            <m:r>
              <w:rPr>
                <w:rFonts w:ascii="Cambria Math" w:hAnsi="Cambria Math"/>
              </w:rPr>
              <m:t xml:space="preserve">2</m:t>
            </m:r>
          </m:sup>
        </m:sSup>
        <m:r>
          <w:rPr>
            <w:rFonts w:ascii="Cambria Math" w:hAnsi="Cambria Math"/>
          </w:rPr>
          <m:t xml:space="preserve">[</m:t>
        </m:r>
        <m:sSub>
          <m:e>
            <m:r>
              <w:rPr>
                <w:rFonts w:ascii="Cambria Math" w:hAnsi="Cambria Math"/>
              </w:rPr>
              <m:t xml:space="preserve">z</m:t>
            </m:r>
          </m:e>
          <m:sub>
            <m:r>
              <w:rPr>
                <w:rFonts w:ascii="Cambria Math" w:hAnsi="Cambria Math"/>
              </w:rPr>
              <m:t xml:space="preserve">0</m:t>
            </m:r>
          </m:sub>
        </m:sSub>
        <m:r>
          <w:rPr>
            <w:rFonts w:ascii="Cambria Math" w:hAnsi="Cambria Math"/>
          </w:rPr>
          <m:t xml:space="preserve">φ</m:t>
        </m:r>
        <m:r>
          <w:rPr>
            <w:rFonts w:ascii="Cambria Math" w:hAnsi="Cambria Math"/>
          </w:rPr>
          <m:t xml:space="preserve">(</m:t>
        </m:r>
        <m:sSub>
          <m:e>
            <m:r>
              <w:rPr>
                <w:rFonts w:ascii="Cambria Math" w:hAnsi="Cambria Math"/>
              </w:rPr>
              <m:t xml:space="preserve">z</m:t>
            </m:r>
          </m:e>
          <m:sub>
            <m:r>
              <w:rPr>
                <w:rFonts w:ascii="Cambria Math" w:hAnsi="Cambria Math"/>
              </w:rPr>
              <m:t xml:space="preserve">0</m:t>
            </m:r>
          </m:sub>
        </m:sSub>
        <m:r>
          <w:rPr>
            <w:rFonts w:ascii="Cambria Math" w:hAnsi="Cambria Math"/>
          </w:rPr>
          <m:t xml:space="preserve">)</m:t>
        </m:r>
        <m:r>
          <w:rPr>
            <w:rFonts w:ascii="Cambria Math" w:hAnsi="Cambria Math"/>
          </w:rPr>
          <m:t xml:space="preserve">−</m:t>
        </m:r>
        <m:sSub>
          <m:e>
            <m:r>
              <w:rPr>
                <w:rFonts w:ascii="Cambria Math" w:hAnsi="Cambria Math"/>
              </w:rPr>
              <m:t xml:space="preserve">z</m:t>
            </m:r>
          </m:e>
          <m:sub>
            <m:r>
              <w:rPr>
                <w:rFonts w:ascii="Cambria Math" w:hAnsi="Cambria Math"/>
              </w:rPr>
              <m:t xml:space="preserve">L</m:t>
            </m:r>
          </m:sub>
        </m:sSub>
        <m:r>
          <w:rPr>
            <w:rFonts w:ascii="Cambria Math" w:hAnsi="Cambria Math"/>
          </w:rPr>
          <m:t xml:space="preserve">φ</m:t>
        </m:r>
        <m:r>
          <w:rPr>
            <w:rFonts w:ascii="Cambria Math" w:hAnsi="Cambria Math"/>
          </w:rPr>
          <m:t xml:space="preserve">(</m:t>
        </m:r>
        <m:sSub>
          <m:e>
            <m:r>
              <w:rPr>
                <w:rFonts w:ascii="Cambria Math" w:hAnsi="Cambria Math"/>
              </w:rPr>
              <m:t xml:space="preserve">z</m:t>
            </m:r>
          </m:e>
          <m:sub>
            <m:r>
              <w:rPr>
                <w:rFonts w:ascii="Cambria Math" w:hAnsi="Cambria Math"/>
              </w:rPr>
              <m:t xml:space="preserve">L</m:t>
            </m:r>
          </m:sub>
        </m:sSub>
        <m:r>
          <w:rPr>
            <w:rFonts w:ascii="Cambria Math" w:hAnsi="Cambria Math"/>
          </w:rPr>
          <m:t xml:space="preserve">)</m:t>
        </m:r>
        <m:r>
          <w:rPr>
            <w:rFonts w:ascii="Cambria Math" w:hAnsi="Cambria Math"/>
          </w:rPr>
          <m:t xml:space="preserve">]</m:t>
        </m:r>
        <m:r>
          <w:rPr>
            <w:rFonts w:ascii="Cambria Math" w:hAnsi="Cambria Math"/>
          </w:rPr>
          <m:t xml:space="preserve">,</m:t>
        </m:r>
      </m:oMath>
    </w:p>
    <w:p w14:paraId="48DBF076" w14:textId="77777777" w:rsidR="00644F1E" w:rsidRDefault="00000000">
      <w:pPr>
        <w:keepLines/>
        <w:widowControl/>
        <w:spacing w:before="100" w:after="180" w:line="288" w:lineRule="auto"/>
      </w:pPr>
      <m:oMath>
        <m:r>
          <w:rPr>
            <w:rFonts w:ascii="Cambria Math" w:hAnsi="Cambria Math"/>
          </w:rPr>
          <m:t xml:space="preserve">𝔼</m:t>
        </m:r>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L</m:t>
        </m:r>
        <m:r>
          <w:rPr>
            <w:rFonts w:ascii="Cambria Math" w:hAnsi="Cambria Math"/>
          </w:rPr>
          <m:t xml:space="preserve">−</m:t>
        </m:r>
        <m:r>
          <w:rPr>
            <w:rFonts w:ascii="Cambria Math" w:hAnsi="Cambria Math"/>
          </w:rPr>
          <m:t xml:space="preserve">P</m:t>
        </m:r>
        <m:sSub>
          <m:e>
            <m:r>
              <w:rPr>
                <w:rFonts w:ascii="Cambria Math" w:hAnsi="Cambria Math"/>
              </w:rPr>
              <m:t xml:space="preserve">)</m:t>
            </m:r>
          </m:e>
          <m:sub>
            <m:r>
              <w:rPr>
                <w:rFonts w:ascii="Cambria Math" w:hAnsi="Cambria Math"/>
              </w:rPr>
              <m:t xml:space="preserve">+</m:t>
            </m:r>
          </m:sub>
        </m:sSub>
        <m:r>
          <w:rPr>
            <w:rFonts w:ascii="Cambria Math" w:hAnsi="Cambria Math"/>
          </w:rPr>
          <m:t xml:space="preserve">]</m:t>
        </m:r>
        <m:r>
          <w:rPr>
            <w:rFonts w:ascii="Cambria Math" w:hAnsi="Cambria Math"/>
          </w:rPr>
          <m:t xml:space="preserve">=</m:t>
        </m:r>
        <m:r>
          <w:rPr>
            <w:rFonts w:ascii="Cambria Math" w:hAnsi="Cambria Math"/>
          </w:rPr>
          <m:t xml:space="preserve">L</m:t>
        </m:r>
        <m:sSub>
          <m:e>
            <m:r>
              <w:rPr>
                <w:rFonts w:ascii="Cambria Math" w:hAnsi="Cambria Math"/>
              </w:rPr>
              <m:t xml:space="preserve">m</m:t>
            </m:r>
          </m:e>
          <m:sub>
            <m:r>
              <w:rPr>
                <w:rFonts w:ascii="Cambria Math" w:hAnsi="Cambria Math"/>
              </w:rPr>
              <m:t xml:space="preserve">1</m:t>
            </m:r>
          </m:sub>
        </m:sSub>
        <m:r>
          <w:rPr>
            <w:rFonts w:ascii="Cambria Math" w:hAnsi="Cambria Math"/>
          </w:rPr>
          <m:t xml:space="preserve">(</m:t>
        </m:r>
        <m:r>
          <w:rPr>
            <w:rFonts w:ascii="Cambria Math" w:hAnsi="Cambria Math"/>
          </w:rPr>
          <m:t xml:space="preserve">L</m:t>
        </m:r>
        <m:r>
          <w:rPr>
            <w:rFonts w:ascii="Cambria Math" w:hAnsi="Cambria Math"/>
          </w:rPr>
          <m:t xml:space="preserve">)</m:t>
        </m:r>
        <m:r>
          <w:rPr>
            <w:rFonts w:ascii="Cambria Math" w:hAnsi="Cambria Math"/>
          </w:rPr>
          <m:t xml:space="preserve">−</m:t>
        </m:r>
        <m:sSub>
          <m:e>
            <m:r>
              <w:rPr>
                <w:rFonts w:ascii="Cambria Math" w:hAnsi="Cambria Math"/>
              </w:rPr>
              <m:t xml:space="preserve">m</m:t>
            </m:r>
          </m:e>
          <m:sub>
            <m:r>
              <w:rPr>
                <w:rFonts w:ascii="Cambria Math" w:hAnsi="Cambria Math"/>
              </w:rPr>
              <m:t xml:space="preserve">2</m:t>
            </m:r>
          </m:sub>
        </m:sSub>
        <m:r>
          <w:rPr>
            <w:rFonts w:ascii="Cambria Math" w:hAnsi="Cambria Math"/>
          </w:rPr>
          <m:t xml:space="preserve">(</m:t>
        </m:r>
        <m:r>
          <w:rPr>
            <w:rFonts w:ascii="Cambria Math" w:hAnsi="Cambria Math"/>
          </w:rPr>
          <m:t xml:space="preserve">L</m:t>
        </m:r>
        <m:r>
          <w:rPr>
            <w:rFonts w:ascii="Cambria Math" w:hAnsi="Cambria Math"/>
          </w:rPr>
          <m:t xml:space="preserve">)</m:t>
        </m:r>
        <m:r>
          <w:rPr>
            <w:rFonts w:ascii="Cambria Math" w:hAnsi="Cambria Math"/>
          </w:rPr>
          <m:t xml:space="preserve">.</m:t>
        </m:r>
      </m:oMath>
    </w:p>
    <w:p w14:paraId="38A4C213" w14:textId="77777777" w:rsidR="00644F1E" w:rsidRDefault="00000000">
      <w:pPr>
        <w:widowControl/>
      </w:pPr>
      <w:r>
        <w:t xml:space="preserve">Under the affine conditional-price approximation </w:t>
      </w:r>
      <m:oMath>
        <m:r>
          <w:rPr>
            <w:rFonts w:ascii="Cambria Math" w:hAnsi="Cambria Math"/>
          </w:rPr>
          <m:t xml:space="preserve">𝔼</m:t>
        </m:r>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m:t>
        </m:r>
        <m:r>
          <w:rPr>
            <w:rFonts w:ascii="Cambria Math" w:hAnsi="Cambria Math"/>
          </w:rPr>
          <m:t xml:space="preserve">α</m:t>
        </m:r>
        <m:r>
          <w:rPr>
            <w:rFonts w:ascii="Cambria Math" w:hAnsi="Cambria Math"/>
          </w:rPr>
          <m:t xml:space="preserve">+</m:t>
        </m:r>
        <m:r>
          <w:rPr>
            <w:rFonts w:ascii="Cambria Math" w:hAnsi="Cambria Math"/>
          </w:rPr>
          <m:t xml:space="preserve">β</m:t>
        </m:r>
        <m:r>
          <w:rPr>
            <w:rFonts w:ascii="Cambria Math" w:hAnsi="Cambria Math"/>
          </w:rPr>
          <m:t xml:space="preserve">P</m:t>
        </m:r>
      </m:oMath>
      <w:r>
        <w:t xml:space="preserve">, the expected import-cost term is </w:t>
      </w:r>
      <m:oMath>
        <m:r>
          <w:rPr>
            <w:rFonts w:ascii="Cambria Math" w:hAnsi="Cambria Math"/>
          </w:rPr>
          <m:t xml:space="preserve">α</m:t>
        </m:r>
        <m:r>
          <w:rPr>
            <w:rFonts w:ascii="Cambria Math" w:hAnsi="Cambria Math"/>
          </w:rPr>
          <m:t xml:space="preserve">𝔼</m:t>
        </m:r>
        <m:r>
          <w:rPr>
            <w:rFonts w:ascii="Cambria Math" w:hAnsi="Cambria Math"/>
          </w:rPr>
          <m:t xml:space="preserve">[</m:t>
        </m:r>
        <m:r>
          <w:rPr>
            <w:rFonts w:ascii="Cambria Math" w:hAnsi="Cambria Math"/>
          </w:rPr>
          <m:t xml:space="preserve">(</m:t>
        </m:r>
        <m:r>
          <w:rPr>
            <w:rFonts w:ascii="Cambria Math" w:hAnsi="Cambria Math"/>
          </w:rPr>
          <m:t xml:space="preserve">L</m:t>
        </m:r>
        <m:r>
          <w:rPr>
            <w:rFonts w:ascii="Cambria Math" w:hAnsi="Cambria Math"/>
          </w:rPr>
          <m:t xml:space="preserve">−</m:t>
        </m:r>
        <m:r>
          <w:rPr>
            <w:rFonts w:ascii="Cambria Math" w:hAnsi="Cambria Math"/>
          </w:rPr>
          <m:t xml:space="preserve">P</m:t>
        </m:r>
        <m:sSub>
          <m:e>
            <m:r>
              <w:rPr>
                <w:rFonts w:ascii="Cambria Math" w:hAnsi="Cambria Math"/>
              </w:rPr>
              <m:t xml:space="preserve">)</m:t>
            </m:r>
          </m:e>
          <m:sub>
            <m:r>
              <w:rPr>
                <w:rFonts w:ascii="Cambria Math" w:hAnsi="Cambria Math"/>
              </w:rPr>
              <m:t xml:space="preserve">+</m:t>
            </m:r>
          </m:sub>
        </m:sSub>
        <m:r>
          <w:rPr>
            <w:rFonts w:ascii="Cambria Math" w:hAnsi="Cambria Math"/>
          </w:rPr>
          <m:t xml:space="preserve">]</m:t>
        </m:r>
        <m:r>
          <w:rPr>
            <w:rFonts w:ascii="Cambria Math" w:hAnsi="Cambria Math"/>
          </w:rPr>
          <m:t xml:space="preserve">+</m:t>
        </m:r>
        <m:r>
          <w:rPr>
            <w:rFonts w:ascii="Cambria Math" w:hAnsi="Cambria Math"/>
          </w:rPr>
          <m:t xml:space="preserve">β</m:t>
        </m:r>
        <m:r>
          <w:rPr>
            <w:rFonts w:ascii="Cambria Math" w:hAnsi="Cambria Math"/>
          </w:rPr>
          <m:t xml:space="preserve">𝔼</m:t>
        </m:r>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L</m:t>
        </m:r>
        <m:r>
          <w:rPr>
            <w:rFonts w:ascii="Cambria Math" w:hAnsi="Cambria Math"/>
          </w:rPr>
          <m:t xml:space="preserve">−</m:t>
        </m:r>
        <m:r>
          <w:rPr>
            <w:rFonts w:ascii="Cambria Math" w:hAnsi="Cambria Math"/>
          </w:rPr>
          <m:t xml:space="preserve">P</m:t>
        </m:r>
        <m:sSub>
          <m:e>
            <m:r>
              <w:rPr>
                <w:rFonts w:ascii="Cambria Math" w:hAnsi="Cambria Math"/>
              </w:rPr>
              <m:t xml:space="preserve">)</m:t>
            </m:r>
          </m:e>
          <m:sub>
            <m:r>
              <w:rPr>
                <w:rFonts w:ascii="Cambria Math" w:hAnsi="Cambria Math"/>
              </w:rPr>
              <m:t xml:space="preserve">+</m:t>
            </m:r>
          </m:sub>
        </m:sSub>
        <m:r>
          <w:rPr>
            <w:rFonts w:ascii="Cambria Math" w:hAnsi="Cambria Math"/>
          </w:rPr>
          <m:t xml:space="preserve">]</m:t>
        </m:r>
      </m:oMath>
      <w:r>
        <w:t xml:space="preserve">. A separate </w:t>
      </w:r>
      <m:oMath>
        <m:r>
          <w:rPr>
            <w:rFonts w:ascii="Cambria Math" w:hAnsi="Cambria Math"/>
          </w:rPr>
          <m:t xml:space="preserve">0</m:t>
        </m:r>
        <m:r>
          <w:rPr>
            <w:rFonts w:ascii="Cambria Math" w:hAnsi="Cambria Math"/>
          </w:rPr>
          <m:t xml:space="preserve">.</m:t>
        </m:r>
        <m:r>
          <w:rPr>
            <w:rFonts w:ascii="Cambria Math" w:hAnsi="Cambria Math"/>
          </w:rPr>
          <m:t xml:space="preserve">9</m:t>
        </m:r>
        <m:r>
          <w:rPr>
            <w:rFonts w:ascii="Cambria Math" w:hAnsi="Cambria Math"/>
          </w:rPr>
          <m:t xml:space="preserve">5</m:t>
        </m:r>
        <m:r>
          <w:rPr>
            <w:rFonts w:ascii="Cambria Math" w:hAnsi="Cambria Math"/>
          </w:rPr>
          <m:rPr>
            <m:sty m:val="p"/>
          </m:rPr>
          <m:t xml:space="preserve">tanh</m:t>
        </m:r>
      </m:oMath>
      <w:r>
        <w:t xml:space="preserve"> output bounds price–PV dependence. The decoder consequently evaluates the relevant cross moment and explicitly integrates the clipped Gaussian’s zero-output atom. Realized execution and settlement provide the economic evaluation of this analytical approximation.</w:t>
      </w:r>
    </w:p>
    <w:p>
      <w:pPr>
        <w:pStyle w:val="Heading2"/>
        <w:keepNext/>
        <w:widowControl/>
      </w:pPr>
      <w:r>
        <w:t>Decision-focused objective and regularization</w:t>
      </w:r>
    </w:p>
    <w:p>
      <w:pPr>
        <w:widowControl/>
      </w:pPr>
      <w:r>
        <w:t>The allocation trajectory unrolls 16 consecutively arriving cohorts over 111 quarter-hours. Work assigned to one cohort occupies capacity required by later cohorts, while original deadlines remain attached to every obligation. The shared objective therefore transmits the opportunity cost of future service capacity into model training.</w:t>
      </w:r>
    </w:p>
    <w:p w14:paraId="529A9EA4" w14:textId="77777777" w:rsidR="00644F1E" w:rsidRDefault="00000000">
      <w:pPr>
        <w:widowControl/>
      </w:pPr>
      <w:r>
        <w:lastRenderedPageBreak/>
        <w:t>The hybrid objective aligns the coupled market representation, physical valuation and service allocation through price scoring, realized episode cost, physical learning and regularization:</w:t>
      </w:r>
    </w:p>
    <w:p w14:paraId="10C4DAFD" w14:textId="77777777" w:rsidR="00644F1E" w:rsidRDefault="00000000">
      <w:pPr>
        <w:keepLines/>
        <w:widowControl/>
        <w:spacing w:before="100" w:after="180" w:line="288" w:lineRule="auto"/>
      </w:pPr>
      <m:oMath>
        <m:r>
          <w:rPr>
            <w:rFonts w:ascii="Cambria Math" w:hAnsi="Cambria Math"/>
          </w:rPr>
          <m:t xml:space="preserve">ℒ</m:t>
        </m:r>
        <m:r>
          <w:rPr>
            <w:rFonts w:ascii="Cambria Math" w:hAnsi="Cambria Math"/>
          </w:rPr>
          <m:t xml:space="preserve">=</m:t>
        </m:r>
        <m:sSub>
          <m:e>
            <m:r>
              <w:rPr>
                <w:rFonts w:ascii="Cambria Math" w:hAnsi="Cambria Math"/>
              </w:rPr>
              <m:t xml:space="preserve">ℒ</m:t>
            </m:r>
          </m:e>
          <m:sub>
            <m:box>
              <m:e>
                <m:r>
                  <w:rPr>
                    <w:rFonts w:ascii="Cambria Math" w:hAnsi="Cambria Math"/>
                  </w:rPr>
                  <m:rPr>
                    <m:sty m:val="p"/>
                  </m:rPr>
                  <m:t xml:space="preserve">p</m:t>
                </m:r>
                <m:r>
                  <w:rPr>
                    <w:rFonts w:ascii="Cambria Math" w:hAnsi="Cambria Math"/>
                  </w:rPr>
                  <m:rPr>
                    <m:sty m:val="p"/>
                  </m:rPr>
                  <m:t xml:space="preserve">r</m:t>
                </m:r>
                <m:r>
                  <w:rPr>
                    <w:rFonts w:ascii="Cambria Math" w:hAnsi="Cambria Math"/>
                  </w:rPr>
                  <m:rPr>
                    <m:sty m:val="p"/>
                  </m:rPr>
                  <m:t xml:space="preserve">i</m:t>
                </m:r>
                <m:r>
                  <w:rPr>
                    <w:rFonts w:ascii="Cambria Math" w:hAnsi="Cambria Math"/>
                  </w:rPr>
                  <m:rPr>
                    <m:sty m:val="p"/>
                  </m:rPr>
                  <m:t xml:space="preserve">c</m:t>
                </m:r>
                <m:r>
                  <w:rPr>
                    <w:rFonts w:ascii="Cambria Math" w:hAnsi="Cambria Math"/>
                  </w:rPr>
                  <m:rPr>
                    <m:sty m:val="p"/>
                  </m:rPr>
                  <m:t xml:space="preserve">e</m:t>
                </m:r>
              </m:e>
            </m:box>
          </m:sub>
        </m:sSub>
        <m:r>
          <w:rPr>
            <w:rFonts w:ascii="Cambria Math" w:hAnsi="Cambria Math"/>
          </w:rPr>
          <m:t xml:space="preserve">+</m:t>
        </m:r>
        <m:r>
          <w:rPr>
            <w:rFonts w:ascii="Cambria Math" w:hAnsi="Cambria Math"/>
          </w:rPr>
          <m:t xml:space="preserve">𝔼</m:t>
        </m:r>
        <m:r>
          <w:rPr>
            <w:rFonts w:ascii="Cambria Math" w:hAnsi="Cambria Math"/>
          </w:rPr>
          <m:t xml:space="preserve">[</m:t>
        </m:r>
        <m:r>
          <w:rPr>
            <w:rFonts w:ascii="Cambria Math" w:hAnsi="Cambria Math"/>
          </w:rPr>
          <m:t xml:space="preserve">D</m:t>
        </m:r>
        <m:r>
          <w:rPr>
            <w:rFonts w:ascii="Cambria Math" w:hAnsi="Cambria Math"/>
          </w:rPr>
          <m:t xml:space="preserve">/</m:t>
        </m:r>
        <m:r>
          <w:rPr>
            <w:rFonts w:ascii="Cambria Math" w:hAnsi="Cambria Math"/>
          </w:rPr>
          <m:t xml:space="preserve">Z</m:t>
        </m:r>
        <m:r>
          <w:rPr>
            <w:rFonts w:ascii="Cambria Math" w:hAnsi="Cambria Math"/>
          </w:rPr>
          <m:t xml:space="preserve">]</m:t>
        </m:r>
        <m:r>
          <w:rPr>
            <w:rFonts w:ascii="Cambria Math" w:hAnsi="Cambria Math"/>
          </w:rPr>
          <m:t xml:space="preserve">+</m:t>
        </m:r>
        <m:r>
          <w:rPr>
            <w:rFonts w:ascii="Cambria Math" w:hAnsi="Cambria Math"/>
          </w:rPr>
          <m:t xml:space="preserve">2</m:t>
        </m:r>
        <m:sSub>
          <m:e>
            <m:r>
              <w:rPr>
                <w:rFonts w:ascii="Cambria Math" w:hAnsi="Cambria Math"/>
              </w:rPr>
              <m:t xml:space="preserve">ℒ</m:t>
            </m:r>
          </m:e>
          <m:sub>
            <m:box>
              <m:e>
                <m:r>
                  <w:rPr>
                    <w:rFonts w:ascii="Cambria Math" w:hAnsi="Cambria Math"/>
                  </w:rPr>
                  <m:rPr>
                    <m:sty m:val="p"/>
                  </m:rPr>
                  <m:t xml:space="preserve">P</m:t>
                </m:r>
                <m:r>
                  <w:rPr>
                    <w:rFonts w:ascii="Cambria Math" w:hAnsi="Cambria Math"/>
                  </w:rPr>
                  <m:rPr>
                    <m:sty m:val="p"/>
                  </m:rPr>
                  <m:t xml:space="preserve">V</m:t>
                </m:r>
              </m:e>
            </m:box>
          </m:sub>
        </m:sSub>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2</m:t>
        </m:r>
        <m:sSub>
          <m:e>
            <m:r>
              <w:rPr>
                <w:rFonts w:ascii="Cambria Math" w:hAnsi="Cambria Math"/>
              </w:rPr>
              <m:t xml:space="preserve">ℒ</m:t>
            </m:r>
          </m:e>
          <m:sub>
            <m:box>
              <m:e>
                <m:r>
                  <w:rPr>
                    <w:rFonts w:ascii="Cambria Math" w:hAnsi="Cambria Math"/>
                  </w:rPr>
                  <m:rPr>
                    <m:sty m:val="p"/>
                  </m:rPr>
                  <m:t xml:space="preserve">c</m:t>
                </m:r>
                <m:r>
                  <w:rPr>
                    <w:rFonts w:ascii="Cambria Math" w:hAnsi="Cambria Math"/>
                  </w:rPr>
                  <m:rPr>
                    <m:sty m:val="p"/>
                  </m:rPr>
                  <m:t xml:space="preserve">o</m:t>
                </m:r>
                <m:r>
                  <w:rPr>
                    <w:rFonts w:ascii="Cambria Math" w:hAnsi="Cambria Math"/>
                  </w:rPr>
                  <m:rPr>
                    <m:sty m:val="p"/>
                  </m:rPr>
                  <m:t xml:space="preserve">s</m:t>
                </m:r>
                <m:r>
                  <w:rPr>
                    <w:rFonts w:ascii="Cambria Math" w:hAnsi="Cambria Math"/>
                  </w:rPr>
                  <m:rPr>
                    <m:sty m:val="p"/>
                  </m:rPr>
                  <m:t xml:space="preserve">t</m:t>
                </m:r>
              </m:e>
            </m:box>
          </m:sub>
        </m:sSub>
        <m:r>
          <w:rPr>
            <w:rFonts w:ascii="Cambria Math" w:hAnsi="Cambria Math"/>
          </w:rPr>
          <m:t xml:space="preserve">+</m:t>
        </m:r>
        <m:r>
          <w:rPr>
            <w:rFonts w:ascii="Cambria Math" w:hAnsi="Cambria Math"/>
          </w:rPr>
          <m:t xml:space="preserve">ℛ</m:t>
        </m:r>
        <m:r>
          <w:rPr>
            <w:rFonts w:ascii="Cambria Math" w:hAnsi="Cambria Math"/>
          </w:rPr>
          <m:t xml:space="preserve">.</m:t>
        </m:r>
      </m:oMath>
      <w:r>
        <w:t xml:space="preserve"/>
      </w:r>
    </w:p>
    <w:p w14:paraId="6B11D47B" w14:textId="77777777" w:rsidR="00644F1E" w:rsidRDefault="00000000">
      <w:pPr>
        <w:widowControl/>
      </w:pPr>
      <m:oMath>
        <m:r>
          <w:rPr>
            <w:rFonts w:ascii="Cambria Math" w:hAnsi="Cambria Math"/>
          </w:rPr>
          <m:t xml:space="preserve">D</m:t>
        </m:r>
      </m:oMath>
      <w:r>
        <w:t xml:space="preserve"> is the realized episode dollar difference from earliest service. The training-only normalizer </w:t>
      </w:r>
      <m:oMath>
        <m:r>
          <w:rPr>
            <w:rFonts w:ascii="Cambria Math" w:hAnsi="Cambria Math"/>
          </w:rPr>
          <m:t xml:space="preserve">Z</m:t>
        </m:r>
      </m:oMath>
      <w:r>
        <w:t xml:space="preserve"> is released-work reference electricity energy multiplied by US$50/MWh, with a numerical floor. After training-only scale normalization, the DA, DART and RT pinball terms receive weights 0.5, 1 and 0.5 (Gneiting and Raftery, 2007, https://doi.org/10.1198/016214506000001437; Koenker and Bassett, 1978, https://doi.org/10.2307/1913643). PV loss uses seven quantiles, and marginal-cost regression uses Huber loss. Regularization weights the mean squared opportunity by 0.002, the mean squared cross-moment coefficient by 0.005 and the mean squared price shift divided by 100 by 0.1. Future realized outcomes supply training targets only within the fitting years.</w:t>
      </w:r>
    </w:p>
    <w:p>
      <w:pPr>
        <w:pStyle w:val="Heading2"/>
        <w:keepNext/>
        <w:widowControl/>
      </w:pPr>
      <w:r>
        <w:t>Grid-response metrics and recovery accounting</w:t>
      </w:r>
    </w:p>
    <w:p>
      <w:pPr>
        <w:widowControl/>
      </w:pPr>
      <w:r>
        <w:t>Fleet imports sum the four site balances. Hourly means combine four consecutive physical quarter-hours, and hours are ranked by the arithmetic mean of the four zonal RT prices, with chronological tie-breaking. The highest 10%, 5% and 1% of 8,760 hours have thresholds of US$120.8525, US$151.85 and US$246.7325/MWh. Fleet ramps are adjacent 15 min import differences. Maximum upward site ramps, annual hourly fleet peaks and monthly 30 min site billing demands are separate metrics.</w:t>
      </w:r>
    </w:p>
    <w:p>
      <w:pPr>
        <w:widowControl/>
      </w:pPr>
      <w:r>
        <w:t>WorldMoE avoids 235.6 MWh of imports in the 876 highest-price hours, a 23.82% reduction and a mean fleet-import reduction of 0.269 MW. The historical LightGBM recent / P system avoids 196.9 MWh. The 95th percentile of absolute fleet ramps falls from 1.2432 to 0.7607 MW per 15 min (38.8%), but annual maximum hourly imports remain 8.1737 and 8.1742 MW for immediate execution and WorldMoE. Maximum upward/downward fleet ramps increase from 6.8748/6.9351 to 7.1030/7.4347 MW. Supplementary Fig. 1 shows the retained physical trajectories. Routine smoothing therefore does not establish an extreme-ramp or peak-delivery guarantee.</w:t>
      </w:r>
    </w:p>
    <w:p>
      <w:pPr>
        <w:widowControl/>
      </w:pPr>
      <w:r>
        <w:t>Gross avoided imports are 2,181.36 MWh, valued at US$172,510.11; gross recovery imports are 1,167.40 MWh, costing US$64,971.82. Identical variable-IT service yields 67.57 MWh more facility energy because execution moves across PUE conditions, but 1,081.53 MWh less PV curtailment reduces net imports by 1,013.96 MWh. Recovery is a gross intertemporal import movement, not an annual energy increase. The US$1,081.53 curtailment benefit, US$3,348.76 import-deviation charge and zero terminal difference produce the net US$105,271.06 saving in Table 31. Price-ranked hours describe market exposure; physical scarcity or congestion would require corresponding grid observations.</w:t>
      </w:r>
    </w:p>
    <w:p>
      <w:pPr>
        <w:pStyle w:val="Heading2"/>
        <w:keepNext/>
        <w:widowControl/>
      </w:pPr>
      <w:r>
        <w:t>Native-system risk and concentration of annual savings</w:t>
      </w:r>
    </w:p>
    <w:p>
      <w:pPr>
        <w:widowControl/>
      </w:pPr>
      <w:r>
        <w:t>Daily financial differences in native-system comparisons include changes in marked outstanding-service value. Daily loss is negative saving relative to immediate execution. CVaR95 averages the largest 5% of losses with fractional boundary-day weighting (Rockafellar and Uryasev, Optimization of conditional value-at-risk, 2000, https://doi.org/10.21314/JOR.2000.038). Paired intervals use 2,000 circular seven-day block resamples of refinement-mean daily differences with random seed 20260928 (Künsch, The jackknife and the bootstrap for general stationary observations, 1989, https://doi.org/10.1214/aos/1176347265). Resampling retains the original schedules and describes variation within the observed year; it does not supply inference for the common-executor aggregates.</w:t>
      </w:r>
    </w:p>
    <w:p>
      <w:pPr>
        <w:widowControl/>
      </w:pPr>
      <w:r>
        <w:t>The strongest historical non-WorldMoE system, LightGBM recent / P, saves US$75.55k; previous WorldMoE / P saves US$78.17k. Their respective 7.677 and 7.772 IT MWh closing obligations remain valued. Current WorldMoE improves annual savings by US$29,720 and US$27,100 and closes its nominal account. Its CVaR95 is US$313.38, compared with US$434.67 and US$424.58; the historical paired LightGBM difference has a seven-day-block interval of US$22,446–38,505. Published-DA myopic, the stronger historical price-only neural system and RASC-ME / P save US$44.23k, US$47.03k and US$75.02k. These are complete-system contrasts with the original horizons, calibration and controllers (Table 29; Supplementary Fig. 2).</w:t>
      </w:r>
    </w:p>
    <w:p>
      <w:pPr>
        <w:widowControl/>
      </w:pPr>
      <w:r>
        <w:t>The cross-market event screen uses the daily range of zonal DA-minus-RT spreads across four NYISO or eight ISO-NE zones. Market-specific 2025 95th percentiles are US$395.710/MWh and US$193.046/MWh, selecting 19 dates per market. Daily savings first average the three refinements. Selected dates contribute 28.85%, 13.08% and 12.07% of annual savings in NYISO, ISO-NE SOUTH and NORTH; the remaining dates contribute 71.15%, 86.92% and 87.93%. Monthly totals retain every date (Supplementary Fig. 5).</w:t>
      </w:r>
    </w:p>
    <w:p>
      <w:pPr>
        <w:widowControl/>
      </w:pPr>
      <w:r>
        <w:t>Removing the largest contributing day leaves US$97,368, US$86,006 and US$85,102 in the same three portfolios. Removing the largest contiguous seven-day contribution leaves US$93,352, US$83,600 and US$82,703. These financial exclusions remove observed contributions without rescheduling work. Tables 12–14 retain the separate NYISO analysis using 2024 thresholds and 3-, 7-, 14- and 28-day blocks. Evaluated-calendar percentiles and outcome-selected exclusions characterize concentration rather than predictive event rules.</w:t>
      </w:r>
    </w:p>
    <w:p>
      <w:pPr>
        <w:pStyle w:val="Heading2"/>
        <w:keepNext/>
        <w:widowControl/>
      </w:pPr>
      <w:r>
        <w:t>Reconciliation of wholesale and specified retail accounts</w:t>
      </w:r>
    </w:p>
    <w:p>
      <w:pPr>
        <w:widowControl/>
      </w:pPr>
      <w:r>
        <w:t>The wholesale account prices physical import deviations at RT while holding the DA procurement position common. The NYC retail account instead applies the specified SC-9 charges and DA-indexed, loss-adjusted energy rate from the official Con Edison tariff sources cited above. For month m, the retail subtotal combines Rider M energy, time-of-day and applicable all-hours demand, fixed customer charges, other included delivery adjustments and inherited capacity charges:</w:t>
      </w:r>
    </w:p>
    <w:p w14:paraId="05D49419" w14:textId="77777777" w:rsidR="00644F1E" w:rsidRDefault="00000000">
      <w:pPr>
        <w:keepLines/>
        <w:widowControl/>
        <w:spacing w:before="100" w:after="180" w:line="288" w:lineRule="auto"/>
      </w:pPr>
      <m:oMath>
        <m:sSubSup>
          <m:e>
            <m:r>
              <m:t xml:space="preserve">B</m:t>
            </m:r>
          </m:e>
          <m:sub>
            <m:r>
              <m:t xml:space="preserve">π</m:t>
            </m:r>
          </m:sub>
          <m:sup>
            <m:box>
              <m:e>
                <m:r>
                  <m:rPr>
                    <m:sty m:val="p"/>
                  </m:rPr>
                  <m:t xml:space="preserve">s</m:t>
                </m:r>
                <m:r>
                  <m:rPr>
                    <m:sty m:val="p"/>
                  </m:rPr>
                  <m:t xml:space="preserve">p</m:t>
                </m:r>
                <m:r>
                  <m:rPr>
                    <m:sty m:val="p"/>
                  </m:rPr>
                  <m:t xml:space="preserve">e</m:t>
                </m:r>
                <m:r>
                  <m:rPr>
                    <m:sty m:val="p"/>
                  </m:rPr>
                  <m:t xml:space="preserve">c</m:t>
                </m:r>
              </m:e>
            </m:box>
          </m:sup>
        </m:sSubSup>
        <m:r>
          <m:t xml:space="preserve">(</m:t>
        </m:r>
        <m:r>
          <m:t xml:space="preserve">T</m:t>
        </m:r>
        <m:r>
          <m:t xml:space="preserve">)</m:t>
        </m:r>
        <m:r>
          <m:t xml:space="preserve">=</m:t>
        </m:r>
        <m:sSub>
          <m:e>
            <m:r>
              <m:t xml:space="preserve">∑</m:t>
            </m:r>
          </m:e>
          <m:sub>
            <m:r>
              <m:t xml:space="preserve">m</m:t>
            </m:r>
          </m:sub>
        </m:sSub>
        <m:r>
          <m:t xml:space="preserve">[</m:t>
        </m:r>
        <m:sSubSup>
          <m:e>
            <m:r>
              <m:t xml:space="preserve">E</m:t>
            </m:r>
          </m:e>
          <m:sub>
            <m:r>
              <m:t xml:space="preserve">m</m:t>
            </m:r>
            <m:r>
              <m:t xml:space="preserve">,</m:t>
            </m:r>
            <m:r>
              <m:t xml:space="preserve">π</m:t>
            </m:r>
          </m:sub>
          <m:sup>
            <m:box>
              <m:e>
                <m:r>
                  <m:rPr>
                    <m:sty m:val="p"/>
                  </m:rPr>
                  <m:t xml:space="preserve">R</m:t>
                </m:r>
                <m:r>
                  <m:rPr>
                    <m:sty m:val="p"/>
                  </m:rPr>
                  <m:t xml:space="preserve">M</m:t>
                </m:r>
              </m:e>
            </m:box>
          </m:sup>
        </m:sSubSup>
        <m:r>
          <m:t xml:space="preserve">+</m:t>
        </m:r>
        <m:sSubSup>
          <m:e>
            <m:r>
              <m:t xml:space="preserve">D</m:t>
            </m:r>
          </m:e>
          <m:sub>
            <m:r>
              <m:t xml:space="preserve">m</m:t>
            </m:r>
            <m:r>
              <m:t xml:space="preserve">,</m:t>
            </m:r>
            <m:r>
              <m:t xml:space="preserve">π</m:t>
            </m:r>
          </m:sub>
          <m:sup>
            <m:box>
              <m:e>
                <m:r>
                  <m:rPr>
                    <m:sty m:val="p"/>
                  </m:rPr>
                  <m:t xml:space="preserve">T</m:t>
                </m:r>
                <m:r>
                  <m:rPr>
                    <m:sty m:val="p"/>
                  </m:rPr>
                  <m:t xml:space="preserve">O</m:t>
                </m:r>
                <m:r>
                  <m:rPr>
                    <m:sty m:val="p"/>
                  </m:rPr>
                  <m:t xml:space="preserve">D</m:t>
                </m:r>
              </m:e>
            </m:box>
          </m:sup>
        </m:sSubSup>
        <m:r>
          <m:t xml:space="preserve">+</m:t>
        </m:r>
        <m:sSubSup>
          <m:e>
            <m:r>
              <m:t xml:space="preserve">D</m:t>
            </m:r>
          </m:e>
          <m:sub>
            <m:r>
              <m:t xml:space="preserve">m</m:t>
            </m:r>
            <m:r>
              <m:t xml:space="preserve">,</m:t>
            </m:r>
            <m:r>
              <m:t xml:space="preserve">π</m:t>
            </m:r>
          </m:sub>
          <m:sup>
            <m:box>
              <m:e>
                <m:r>
                  <m:rPr>
                    <m:sty m:val="p"/>
                  </m:rPr>
                  <m:t xml:space="preserve">a</m:t>
                </m:r>
                <m:r>
                  <m:rPr>
                    <m:sty m:val="p"/>
                  </m:rPr>
                  <m:t xml:space="preserve">l</m:t>
                </m:r>
                <m:r>
                  <m:rPr>
                    <m:sty m:val="p"/>
                  </m:rPr>
                  <m:t xml:space="preserve">l</m:t>
                </m:r>
              </m:e>
            </m:box>
          </m:sup>
        </m:sSubSup>
        <m:r>
          <m:t xml:space="preserve">+</m:t>
        </m:r>
        <m:sSub>
          <m:e>
            <m:r>
              <m:t xml:space="preserve">F</m:t>
            </m:r>
          </m:e>
          <m:sub>
            <m:r>
              <m:t xml:space="preserve">m</m:t>
            </m:r>
          </m:sub>
        </m:sSub>
        <m:r>
          <m:t xml:space="preserve">+</m:t>
        </m:r>
        <m:sSub>
          <m:e>
            <m:r>
              <m:t xml:space="preserve">N</m:t>
            </m:r>
          </m:e>
          <m:sub>
            <m:r>
              <m:t xml:space="preserve">m</m:t>
            </m:r>
            <m:r>
              <m:t xml:space="preserve">,</m:t>
            </m:r>
            <m:r>
              <m:t xml:space="preserve">π</m:t>
            </m:r>
          </m:sub>
        </m:sSub>
        <m:r>
          <m:t xml:space="preserve">+</m:t>
        </m:r>
        <m:sSubSup>
          <m:e>
            <m:r>
              <m:t xml:space="preserve">r</m:t>
            </m:r>
          </m:e>
          <m:sub>
            <m:r>
              <m:t xml:space="preserve">m</m:t>
            </m:r>
          </m:sub>
          <m:sup>
            <m:box>
              <m:e>
                <m:r>
                  <m:rPr>
                    <m:sty m:val="p"/>
                  </m:rPr>
                  <m:t xml:space="preserve">C</m:t>
                </m:r>
                <m:r>
                  <m:rPr>
                    <m:sty m:val="p"/>
                  </m:rPr>
                  <m:t xml:space="preserve">A</m:t>
                </m:r>
                <m:r>
                  <m:rPr>
                    <m:sty m:val="p"/>
                  </m:rPr>
                  <m:t xml:space="preserve">P</m:t>
                </m:r>
              </m:e>
            </m:box>
          </m:sup>
        </m:sSubSup>
        <m:sSub>
          <m:e>
            <m:r>
              <m:t xml:space="preserve">T</m:t>
            </m:r>
          </m:e>
          <m:sub>
            <m:r>
              <m:t xml:space="preserve">m</m:t>
            </m:r>
          </m:sub>
        </m:sSub>
        <m:r>
          <m:t xml:space="preserve">]</m:t>
        </m:r>
      </m:oMath>
      <w:r>
        <w:t xml:space="preserve">      (S1)</w:t>
      </w:r>
    </w:p>
    <w:p>
      <w:pPr>
        <w:widowControl/>
      </w:pPr>
      <w:r>
        <w:t>Table 31 uses the illustrative common 1,500 kW capacity tag. The NYC reference and policy stated-account costs are Account B; their net modeled saving is Account C after the listed import-deviation, PV-curtailment and terminal adjustments. High and low tension are alternatives for one site, so they are not added to one another or to the four-site total. Common fixed and capacity charges affect denominators, not marginal savings. Supplier pass-through and tariff eligibility are required for customer-facing interpretation, and unknown account-specific charges remain outside the subtotal.</w:t>
      </w:r>
    </w:p>
    <w:p>
      <w:pPr>
        <w:pStyle w:val="Caption"/>
        <w:keepNext/>
        <w:widowControl/>
      </w:pPr>
      <w:r>
        <w:t>Supplementary Table 31. Economic reconciliation of the four-site wholesale/service account and the NYC specified-tariff alternatives. Values are US dollars, averaged across three refinements and calculated before rounding.</w:t>
      </w:r>
    </w:p>
    <w:tbl>
      <w:tblPr>
        <w:tblW w:w="9650" w:type="dxa"/>
        <w:tblLayout w:type="fixed"/>
        <w:jc w:val="center"/>
        <w:tblCellMar>
          <w:top w:w="55" w:type="dxa"/>
          <w:bottom w:w="55" w:type="dxa"/>
          <w:left w:w="65" w:type="dxa"/>
          <w:right w:w="65"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3500"/>
        <w:gridCol w:w="2050"/>
        <w:gridCol w:w="2050"/>
        <w:gridCol w:w="2050"/>
      </w:tblGrid>
      <w:tr>
        <w:trPr>
          <w:cantSplit/>
          <w:tblHeader/>
        </w:trPr>
        <w:tc>
          <w:tcPr>
            <w:tcW w:w="3500" w:type="dxa"/>
            <w:vAlign w:val="center"/>
            <w:shd w:val="clear" w:fill="E9EDF2"/>
          </w:tcPr>
          <w:p>
            <w:pPr>
              <w:spacing w:after="20" w:line="240" w:lineRule="auto" w:before="0"/>
              <w:keepNext w:val="0"/>
              <w:jc w:val="left"/>
            </w:pPr>
            <w:r>
              <w:rPr>
                <w:color w:val="000000"/>
                <w:sz w:val="18"/>
                <w:rFonts w:ascii="Times New Roman" w:hAnsi="Times New Roman"/>
                <w:b/>
              </w:rPr>
              <w:t xml:space="preserve">Account item</w:t>
            </w:r>
          </w:p>
        </w:tc>
        <w:tc>
          <w:tcPr>
            <w:tcW w:w="2050" w:type="dxa"/>
            <w:vAlign w:val="center"/>
            <w:shd w:val="clear" w:fill="E9EDF2"/>
          </w:tcPr>
          <w:p>
            <w:pPr>
              <w:spacing w:after="20" w:line="240" w:lineRule="auto" w:before="0"/>
              <w:keepNext w:val="0"/>
              <w:jc w:val="center"/>
            </w:pPr>
            <w:r>
              <w:rPr>
                <w:color w:val="000000"/>
                <w:sz w:val="18"/>
                <w:rFonts w:ascii="Times New Roman" w:hAnsi="Times New Roman"/>
                <w:b/>
              </w:rPr>
              <w:t xml:space="preserve">NYISO four-site wholesale/service</w:t>
            </w:r>
          </w:p>
        </w:tc>
        <w:tc>
          <w:tcPr>
            <w:tcW w:w="2050" w:type="dxa"/>
            <w:vAlign w:val="center"/>
            <w:shd w:val="clear" w:fill="E9EDF2"/>
          </w:tcPr>
          <w:p>
            <w:pPr>
              <w:spacing w:after="20" w:line="240" w:lineRule="auto" w:before="0"/>
              <w:keepNext w:val="0"/>
              <w:jc w:val="center"/>
            </w:pPr>
            <w:r>
              <w:rPr>
                <w:color w:val="000000"/>
                <w:sz w:val="18"/>
                <w:rFonts w:ascii="Times New Roman" w:hAnsi="Times New Roman"/>
                <w:b/>
              </w:rPr>
              <w:t xml:space="preserve">NYC high tension, 1,500 kW tag</w:t>
            </w:r>
          </w:p>
        </w:tc>
        <w:tc>
          <w:tcPr>
            <w:tcW w:w="2050" w:type="dxa"/>
            <w:vAlign w:val="center"/>
            <w:shd w:val="clear" w:fill="E9EDF2"/>
          </w:tcPr>
          <w:p>
            <w:pPr>
              <w:spacing w:after="20" w:line="240" w:lineRule="auto" w:before="0"/>
              <w:keepNext w:val="0"/>
              <w:jc w:val="center"/>
            </w:pPr>
            <w:r>
              <w:rPr>
                <w:color w:val="000000"/>
                <w:sz w:val="18"/>
                <w:rFonts w:ascii="Times New Roman" w:hAnsi="Times New Roman"/>
                <w:b/>
              </w:rPr>
              <w:t xml:space="preserve">NYC low tension, 1,500 kW tag</w:t>
            </w:r>
          </w:p>
        </w:tc>
      </w:tr>
      <w:tr>
        <w:trPr>
          <w:cantSplit/>
        </w:trPr>
        <w:tc>
          <w:tcPr>
            <w:tcW w:w="3500" w:type="dxa"/>
            <w:vAlign w:val="center"/>
            <w:shd w:fill="FFFFFF"/>
          </w:tcPr>
          <w:p>
            <w:pPr>
              <w:keepNext w:val="0"/>
              <w:spacing w:after="20" w:line="240" w:lineRule="auto" w:before="0"/>
              <w:jc w:val="left"/>
            </w:pPr>
            <w:r>
              <w:rPr>
                <w:rFonts w:ascii="Times New Roman" w:hAnsi="Times New Roman"/>
                <w:b w:val="0"/>
                <w:color w:val="000000"/>
                <w:sz w:val="18"/>
              </w:rPr>
              <w:t xml:space="preserve">Reference stated-account cost</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555,168.21</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954,758.54</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1,213,670.98</w:t>
            </w:r>
          </w:p>
        </w:tc>
      </w:tr>
      <w:tr>
        <w:trPr>
          <w:cantSplit/>
        </w:trPr>
        <w:tc>
          <w:tcPr>
            <w:tcW w:w="3500" w:type="dxa"/>
            <w:vAlign w:val="center"/>
            <w:shd w:fill="FFFFFF"/>
          </w:tcPr>
          <w:p>
            <w:pPr>
              <w:keepNext w:val="0"/>
              <w:spacing w:after="20" w:line="240" w:lineRule="auto" w:before="0"/>
              <w:jc w:val="left"/>
            </w:pPr>
            <w:r>
              <w:rPr>
                <w:rFonts w:ascii="Times New Roman" w:hAnsi="Times New Roman"/>
                <w:b w:val="0"/>
                <w:color w:val="000000"/>
                <w:sz w:val="18"/>
              </w:rPr>
              <w:t xml:space="preserve">WorldMoE stated-account cost</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449,897.14</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879,797.74</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1,143,474.70</w:t>
            </w:r>
          </w:p>
        </w:tc>
      </w:tr>
      <w:tr>
        <w:trPr>
          <w:cantSplit/>
        </w:trPr>
        <w:tc>
          <w:tcPr>
            <w:tcW w:w="3500" w:type="dxa"/>
            <w:vAlign w:val="center"/>
            <w:shd w:fill="FFFFFF"/>
          </w:tcPr>
          <w:p>
            <w:pPr>
              <w:keepNext w:val="0"/>
              <w:spacing w:after="20" w:line="240" w:lineRule="auto" w:before="0"/>
              <w:jc w:val="left"/>
            </w:pPr>
            <w:r>
              <w:rPr>
                <w:rFonts w:ascii="Times New Roman" w:hAnsi="Times New Roman"/>
                <w:b w:val="0"/>
                <w:color w:val="000000"/>
                <w:sz w:val="18"/>
              </w:rPr>
              <w:t xml:space="preserve">Reduction in stated account</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105,271.06</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74,960.80</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70,196.27</w:t>
            </w:r>
          </w:p>
        </w:tc>
      </w:tr>
      <w:tr>
        <w:trPr>
          <w:cantSplit/>
        </w:trPr>
        <w:tc>
          <w:tcPr>
            <w:tcW w:w="3500" w:type="dxa"/>
            <w:vAlign w:val="center"/>
            <w:shd w:fill="FFFFFF"/>
          </w:tcPr>
          <w:p>
            <w:pPr>
              <w:keepNext w:val="0"/>
              <w:spacing w:after="20" w:line="240" w:lineRule="auto" w:before="0"/>
              <w:jc w:val="left"/>
            </w:pPr>
            <w:r>
              <w:rPr>
                <w:rFonts w:ascii="Times New Roman" w:hAnsi="Times New Roman"/>
                <w:b w:val="0"/>
                <w:color w:val="000000"/>
                <w:sz w:val="18"/>
              </w:rPr>
              <w:t xml:space="preserve">Gross avoided energy cost (benefit)</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172,510.11</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45,660.81</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45,660.81</w:t>
            </w:r>
          </w:p>
        </w:tc>
      </w:tr>
      <w:tr>
        <w:trPr>
          <w:cantSplit/>
        </w:trPr>
        <w:tc>
          <w:tcPr>
            <w:tcW w:w="3500" w:type="dxa"/>
            <w:vAlign w:val="center"/>
            <w:shd w:fill="FFFFFF"/>
          </w:tcPr>
          <w:p>
            <w:pPr>
              <w:keepNext w:val="0"/>
              <w:spacing w:after="20" w:line="240" w:lineRule="auto" w:before="0"/>
              <w:jc w:val="left"/>
            </w:pPr>
            <w:r>
              <w:rPr>
                <w:rFonts w:ascii="Times New Roman" w:hAnsi="Times New Roman"/>
                <w:b w:val="0"/>
                <w:color w:val="000000"/>
                <w:sz w:val="18"/>
              </w:rPr>
              <w:t xml:space="preserve">Gross recovery-import energy cost</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64,971.82</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16,693.20</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16,693.20</w:t>
            </w:r>
          </w:p>
        </w:tc>
      </w:tr>
      <w:tr>
        <w:trPr>
          <w:cantSplit/>
        </w:trPr>
        <w:tc>
          <w:tcPr>
            <w:tcW w:w="3500" w:type="dxa"/>
            <w:vAlign w:val="center"/>
            <w:shd w:fill="FFFFFF"/>
          </w:tcPr>
          <w:p>
            <w:pPr>
              <w:keepNext w:val="0"/>
              <w:spacing w:after="20" w:line="240" w:lineRule="auto" w:before="0"/>
              <w:jc w:val="left"/>
            </w:pPr>
            <w:r>
              <w:rPr>
                <w:rFonts w:ascii="Times New Roman" w:hAnsi="Times New Roman"/>
                <w:b w:val="0"/>
                <w:color w:val="000000"/>
                <w:sz w:val="18"/>
              </w:rPr>
              <w:t xml:space="preserve">Net energy-cost reduction (subtotal)</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107,538.29</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28,967.61</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28,967.61</w:t>
            </w:r>
          </w:p>
        </w:tc>
      </w:tr>
      <w:tr>
        <w:trPr>
          <w:cantSplit/>
        </w:trPr>
        <w:tc>
          <w:tcPr>
            <w:tcW w:w="3500" w:type="dxa"/>
            <w:vAlign w:val="center"/>
            <w:shd w:fill="FFFFFF"/>
          </w:tcPr>
          <w:p>
            <w:pPr>
              <w:keepNext w:val="0"/>
              <w:spacing w:after="20" w:line="240" w:lineRule="auto" w:before="0"/>
              <w:jc w:val="left"/>
            </w:pPr>
            <w:r>
              <w:rPr>
                <w:rFonts w:ascii="Times New Roman" w:hAnsi="Times New Roman"/>
                <w:b w:val="0"/>
                <w:color w:val="000000"/>
                <w:sz w:val="18"/>
              </w:rPr>
              <w:t xml:space="preserve">Net demand-charge reduction</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Not modeled</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41,068.72</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36,304.20</w:t>
            </w:r>
          </w:p>
        </w:tc>
      </w:tr>
      <w:tr>
        <w:trPr>
          <w:cantSplit/>
        </w:trPr>
        <w:tc>
          <w:tcPr>
            <w:tcW w:w="3500" w:type="dxa"/>
            <w:vAlign w:val="center"/>
            <w:shd w:fill="FFFFFF"/>
          </w:tcPr>
          <w:p>
            <w:pPr>
              <w:keepNext w:val="0"/>
              <w:spacing w:after="20" w:line="240" w:lineRule="auto" w:before="0"/>
              <w:jc w:val="left"/>
            </w:pPr>
            <w:r>
              <w:rPr>
                <w:rFonts w:ascii="Times New Roman" w:hAnsi="Times New Roman"/>
                <w:b w:val="0"/>
                <w:color w:val="000000"/>
                <w:sz w:val="18"/>
              </w:rPr>
              <w:t xml:space="preserve">Other volumetric delivery reduction</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Not modeled</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4,924.47</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4,924.47</w:t>
            </w:r>
          </w:p>
        </w:tc>
      </w:tr>
      <w:tr>
        <w:trPr>
          <w:cantSplit/>
        </w:trPr>
        <w:tc>
          <w:tcPr>
            <w:tcW w:w="3500" w:type="dxa"/>
            <w:vAlign w:val="center"/>
            <w:shd w:fill="FFFFFF"/>
          </w:tcPr>
          <w:p>
            <w:pPr>
              <w:keepNext w:val="0"/>
              <w:spacing w:after="20" w:line="240" w:lineRule="auto" w:before="0"/>
              <w:jc w:val="left"/>
            </w:pPr>
            <w:r>
              <w:rPr>
                <w:rFonts w:ascii="Times New Roman" w:hAnsi="Times New Roman"/>
                <w:b w:val="0"/>
                <w:color w:val="000000"/>
                <w:sz w:val="18"/>
              </w:rPr>
              <w:t xml:space="preserve">PV-curtailment valuation benefit</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1,081.53</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287.38</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287.38</w:t>
            </w:r>
          </w:p>
        </w:tc>
      </w:tr>
      <w:tr>
        <w:trPr>
          <w:cantSplit/>
        </w:trPr>
        <w:tc>
          <w:tcPr>
            <w:tcW w:w="3500" w:type="dxa"/>
            <w:vAlign w:val="center"/>
            <w:shd w:fill="FFFFFF"/>
          </w:tcPr>
          <w:p>
            <w:pPr>
              <w:keepNext w:val="0"/>
              <w:spacing w:after="20" w:line="240" w:lineRule="auto" w:before="0"/>
              <w:jc w:val="left"/>
            </w:pPr>
            <w:r>
              <w:rPr>
                <w:rFonts w:ascii="Times New Roman" w:hAnsi="Times New Roman"/>
                <w:b w:val="0"/>
                <w:color w:val="000000"/>
                <w:sz w:val="18"/>
              </w:rPr>
              <w:t xml:space="preserve">Model execution-change charge (cost)</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3,348.76</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814.61</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814.61</w:t>
            </w:r>
          </w:p>
        </w:tc>
      </w:tr>
      <w:tr>
        <w:trPr>
          <w:cantSplit/>
        </w:trPr>
        <w:tc>
          <w:tcPr>
            <w:tcW w:w="3500" w:type="dxa"/>
            <w:vAlign w:val="center"/>
            <w:shd w:fill="FFFFFF"/>
          </w:tcPr>
          <w:p>
            <w:pPr>
              <w:keepNext w:val="0"/>
              <w:spacing w:after="20" w:line="240" w:lineRule="auto" w:before="0"/>
              <w:jc w:val="left"/>
            </w:pPr>
            <w:r>
              <w:rPr>
                <w:rFonts w:ascii="Times New Roman" w:hAnsi="Times New Roman"/>
                <w:b w:val="0"/>
                <w:color w:val="000000"/>
                <w:sz w:val="18"/>
              </w:rPr>
              <w:t xml:space="preserve">Terminal-obligation cost difference</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0.00</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0.00</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0.00</w:t>
            </w:r>
          </w:p>
        </w:tc>
      </w:tr>
      <w:tr>
        <w:trPr>
          <w:cantSplit/>
        </w:trPr>
        <w:tc>
          <w:tcPr>
            <w:tcW w:w="3500" w:type="dxa"/>
            <w:vAlign w:val="center"/>
            <w:shd w:fill="FFFFFF"/>
          </w:tcPr>
          <w:p>
            <w:pPr>
              <w:keepNext w:val="0"/>
              <w:spacing w:after="20" w:line="240" w:lineRule="auto" w:before="0"/>
              <w:jc w:val="left"/>
            </w:pPr>
            <w:r>
              <w:rPr>
                <w:rFonts w:ascii="Times New Roman" w:hAnsi="Times New Roman"/>
                <w:b w:val="0"/>
                <w:color w:val="000000"/>
                <w:sz w:val="18"/>
              </w:rPr>
              <w:t xml:space="preserve">Net modeled economic saving</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105,271.06</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74,433.58</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69,669.05</w:t>
            </w:r>
          </w:p>
        </w:tc>
      </w:tr>
      <w:tr>
        <w:trPr>
          <w:cantSplit/>
        </w:trPr>
        <w:tc>
          <w:tcPr>
            <w:tcW w:w="3500" w:type="dxa"/>
            <w:vAlign w:val="center"/>
            <w:shd w:fill="FFFFFF"/>
          </w:tcPr>
          <w:p>
            <w:pPr>
              <w:keepNext w:val="0"/>
              <w:spacing w:after="20" w:line="240" w:lineRule="auto" w:before="0"/>
              <w:jc w:val="left"/>
            </w:pPr>
            <w:r>
              <w:rPr>
                <w:rFonts w:ascii="Times New Roman" w:hAnsi="Times New Roman"/>
                <w:b w:val="0"/>
                <w:color w:val="000000"/>
                <w:sz w:val="18"/>
              </w:rPr>
              <w:t xml:space="preserve">Common DA component in both accounts</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2,409.78</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Not applicable</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Not applicable</w:t>
            </w:r>
          </w:p>
        </w:tc>
      </w:tr>
      <w:tr>
        <w:trPr>
          <w:cantSplit/>
        </w:trPr>
        <w:tc>
          <w:tcPr>
            <w:tcW w:w="3500" w:type="dxa"/>
            <w:vAlign w:val="center"/>
            <w:shd w:fill="FFFFFF"/>
          </w:tcPr>
          <w:p>
            <w:pPr>
              <w:keepNext w:val="0"/>
              <w:spacing w:after="20" w:line="240" w:lineRule="auto" w:before="0"/>
              <w:jc w:val="left"/>
            </w:pPr>
            <w:r>
              <w:rPr>
                <w:rFonts w:ascii="Times New Roman" w:hAnsi="Times New Roman"/>
                <w:b w:val="0"/>
                <w:color w:val="000000"/>
                <w:sz w:val="18"/>
              </w:rPr>
              <w:t xml:space="preserve">Annual fixed customer charge in both</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Not modeled</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6,083.33</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6,083.33</w:t>
            </w:r>
          </w:p>
        </w:tc>
      </w:tr>
      <w:tr>
        <w:trPr>
          <w:cantSplit/>
        </w:trPr>
        <w:tc>
          <w:tcPr>
            <w:tcW w:w="3500" w:type="dxa"/>
            <w:vAlign w:val="center"/>
            <w:shd w:fill="FFFFFF"/>
          </w:tcPr>
          <w:p>
            <w:pPr>
              <w:keepNext w:val="0"/>
              <w:spacing w:after="20" w:line="240" w:lineRule="auto" w:before="0"/>
              <w:jc w:val="left"/>
            </w:pPr>
            <w:r>
              <w:rPr>
                <w:rFonts w:ascii="Times New Roman" w:hAnsi="Times New Roman"/>
                <w:b w:val="0"/>
                <w:color w:val="000000"/>
                <w:sz w:val="18"/>
              </w:rPr>
              <w:t xml:space="preserve">Common inherited capacity charge in both</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Not modeled</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197,607.00</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197,607.00</w:t>
            </w:r>
          </w:p>
        </w:tc>
      </w:tr>
    </w:tbl>
    <w:p>
      <w:pPr>
        <w:widowControl/>
      </w:pPr>
      <w:r>
        <w:t>Account A is the four-site wholesale/service account. Account B is the NYC specified-charge subtotal. Account C adds the existing model adjustments to Account B. NYC trajectories are re-priced without tariff-aware reoptimization; the calculation does not reconstruct a complete customer invoice.</w:t>
      </w:r>
    </w:p>
    <w:p>
      <w:pPr>
        <w:pStyle w:val="Heading1"/>
        <w:keepNext/>
        <w:pageBreakBefore w:val="0"/>
        <w:widowControl/>
      </w:pPr>
      <w:r>
        <w:t>Supplementary figures</w:t>
      </w:r>
    </w:p>
    <w:p>
      <w:pPr>
        <w:keepNext/>
        <w:widowControl/>
        <w:jc w:val="center"/>
      </w:pPr>
      <w:r>
        <w:drawing>
          <wp:inline xmlns:a="http://schemas.openxmlformats.org/drawingml/2006/main" xmlns:pic="http://schemas.openxmlformats.org/drawingml/2006/picture">
            <wp:extent cx="6309360" cy="2992344"/>
            <wp:docPr id="1" name="Picture 1" descr="Supplementary Fig. 1. High-price import displacement and routine fleet ramps. (a) Net imports avoided during the highest-price 10% of fleet hours (MWh). (b) The 95th percentile of absolute adjacent 15 min fleet-import changes (MW per 15 min). Seven historical model–controller systems and immediate execution use the original nominal trajectories; dotted lines identify the immediate-execution reference. Archive abbreviations identify historical systems. Site ramp constraints and monthly billing demand are assessed separately."/>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309360" cy="2992344"/>
                    </a:xfrm>
                    <a:prstGeom prst="rect"/>
                  </pic:spPr>
                </pic:pic>
              </a:graphicData>
            </a:graphic>
          </wp:inline>
        </w:drawing>
      </w:r>
    </w:p>
    <w:p>
      <w:pPr>
        <w:pStyle w:val="Caption"/>
        <w:keepNext w:val="0"/>
        <w:widowControl/>
      </w:pPr>
      <w:r>
        <w:t>Supplementary Fig. 1. High-price import displacement and routine fleet ramps. (a) Net imports avoided during the highest-price 10% of fleet hours (MWh). (b) The 95th percentile of absolute adjacent 15 min fleet-import changes (MW per 15 min). Seven historical model–controller systems and immediate execution use the original nominal trajectories; dotted lines identify the immediate-execution reference. Archive abbreviations identify historical systems. Site ramp constraints and monthly billing demand are assessed separately.</w:t>
      </w:r>
    </w:p>
    <w:p>
      <w:pPr>
        <w:keepNext/>
        <w:widowControl/>
        <w:jc w:val="center"/>
      </w:pPr>
      <w:r>
        <w:drawing>
          <wp:inline xmlns:a="http://schemas.openxmlformats.org/drawingml/2006/main" xmlns:pic="http://schemas.openxmlformats.org/drawingml/2006/picture">
            <wp:extent cx="6309360" cy="2582652"/>
            <wp:docPr id="2" name="Picture 2" descr="Supplementary Fig. 2. Native-system financial differences and concentration of annual savings. (a) WorldMoE savings relative to six historical systems, with paired 95% intervals from seven-day block resampling. Labels retain original archive identifiers. (b) Savings remaining after removal of the largest daily or contiguous seven-day contribution, without rescheduling. Table 29 contains the full historical comparison; Table 28 separately reports common-executor annual aggregates."/>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309360" cy="2582652"/>
                    </a:xfrm>
                    <a:prstGeom prst="rect"/>
                  </pic:spPr>
                </pic:pic>
              </a:graphicData>
            </a:graphic>
          </wp:inline>
        </w:drawing>
      </w:r>
    </w:p>
    <w:p>
      <w:pPr>
        <w:pStyle w:val="Caption"/>
        <w:keepNext w:val="0"/>
        <w:widowControl/>
      </w:pPr>
      <w:r>
        <w:t>Supplementary Fig. 2. Native-system financial differences and concentration of annual savings. (a) WorldMoE savings relative to six historical systems, with paired 95% intervals from seven-day block resampling. Labels retain original archive identifiers. (b) Savings remaining after removal of the largest daily or contiguous seven-day contribution, without rescheduling. Table 29 contains the full historical comparison; Table 28 separately reports common-executor annual aggregates.</w:t>
      </w:r>
    </w:p>
    <w:p>
      <w:pPr>
        <w:keepNext/>
        <w:widowControl/>
        <w:jc w:val="center"/>
      </w:pPr>
      <w:r>
        <w:drawing>
          <wp:inline xmlns:a="http://schemas.openxmlformats.org/drawingml/2006/main" xmlns:pic="http://schemas.openxmlformats.org/drawingml/2006/picture">
            <wp:extent cx="6309360" cy="2630682"/>
            <wp:docPr id="3" name="Picture 3" descr="Supplementary Fig. 3. Service-window sensitivity and nonpreemptive job feasibility. (a) Eagle fluid-work savings under different service windows, with WorldMoE refinement means and ranges and historical native-system curves. (b) Overdue Frontier jobs under contiguous, fixed-site execution. The reported 30 h counts for current and previous WorldMoE are zero; current WorldMoE also reports zero at 48 h. Table 15 retains counts of unfinished jobs and the provenance of the author-supplied 30 h correction."/>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6309360" cy="2630682"/>
                    </a:xfrm>
                    <a:prstGeom prst="rect"/>
                  </pic:spPr>
                </pic:pic>
              </a:graphicData>
            </a:graphic>
          </wp:inline>
        </w:drawing>
      </w:r>
    </w:p>
    <w:p>
      <w:pPr>
        <w:pStyle w:val="Caption"/>
        <w:keepNext w:val="0"/>
        <w:widowControl/>
      </w:pPr>
      <w:r>
        <w:t>Supplementary Fig. 3. Retained historical rendering of service-window sensitivity and nonpreemptive job outcomes. (a) Eagle fluid-work savings under different service windows, with original means, ranges and historical native-system curves. (b) The graphic retains the earlier 30 h zero display. The source-reconciled current-WorldMoE count is 27 in Table 15 and Section S23; that corrected table governs the deadline interpretation. No figure pixels or ablation values were changed.</w:t>
      </w:r>
    </w:p>
    <w:p>
      <w:pPr>
        <w:keepNext/>
        <w:widowControl/>
        <w:jc w:val="center"/>
      </w:pPr>
      <w:r>
        <w:drawing>
          <wp:inline xmlns:a="http://schemas.openxmlformats.org/drawingml/2006/main" xmlns:pic="http://schemas.openxmlformats.org/drawingml/2006/picture">
            <wp:extent cx="6309360" cy="2155697"/>
            <wp:docPr id="4" name="Picture 4" descr="Supplementary Fig. 4. Monthly savings in specified NYC SC-9 Rate II charges. Billing demand uses adjacent 15 min observations to form 30 min windows, evaluated separately for each refinement before averaging. High- and low-tension cases retain fixed customer charges and equal inherited capacity tags. Increased demand charges in February, October and November coexist with positive annual subtotal savings. Tables 23, 24 and 31 define the included charges and model adjustments."/>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6309360" cy="2155697"/>
                    </a:xfrm>
                    <a:prstGeom prst="rect"/>
                  </pic:spPr>
                </pic:pic>
              </a:graphicData>
            </a:graphic>
          </wp:inline>
        </w:drawing>
      </w:r>
    </w:p>
    <w:p>
      <w:pPr>
        <w:pStyle w:val="Caption"/>
        <w:keepNext w:val="0"/>
        <w:widowControl/>
      </w:pPr>
      <w:r>
        <w:t>Supplementary Fig. 4. Monthly savings in specified NYC SC-9 Rate II charges. Billing demand uses adjacent 15 min observations to form 30 min windows, evaluated separately for each refinement before averaging. High- and low-tension cases retain fixed customer charges and equal inherited capacity tags. Increased demand charges in February, October and November coexist with positive annual subtotal savings. Tables 23, 24 and 31 define the included charges and model adjustments.</w:t>
      </w:r>
    </w:p>
    <w:p>
      <w:pPr>
        <w:keepNext/>
        <w:widowControl/>
        <w:jc w:val="center"/>
      </w:pPr>
      <w:r>
        <w:drawing>
          <wp:inline xmlns:a="http://schemas.openxmlformats.org/drawingml/2006/main" xmlns:pic="http://schemas.openxmlformats.org/drawingml/2006/picture">
            <wp:extent cx="6309360" cy="2610875"/>
            <wp:docPr id="5" name="Picture 5" descr="Supplementary Fig. 5. Monthly service-adjusted savings for NYISO and the two ISO-NE price portfolios. Each monthly value averages three refinements relative to its matched immediate-execution reference and includes every calendar date. ISO-NE changes regional prices while retaining the facility and workload structure; transfer involves no retraining or recalibration."/>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309360" cy="2610875"/>
                    </a:xfrm>
                    <a:prstGeom prst="rect"/>
                  </pic:spPr>
                </pic:pic>
              </a:graphicData>
            </a:graphic>
          </wp:inline>
        </w:drawing>
      </w:r>
    </w:p>
    <w:p>
      <w:pPr>
        <w:pStyle w:val="Caption"/>
        <w:keepNext w:val="0"/>
        <w:widowControl/>
      </w:pPr>
      <w:r>
        <w:t>Supplementary Fig. 5. Monthly service-adjusted savings for NYISO and the two ISO-NE price portfolios. Each monthly value averages three refinements relative to its matched immediate-execution reference and includes every calendar date. ISO-NE changes regional prices while retaining the facility and workload structure; transfer involves no retraining or recalibration.</w:t>
      </w:r>
    </w:p>
    <w:p>
      <w:pPr>
        <w:pageBreakBefore/>
        <w:widowControl/>
        <w:spacing w:after="0" w:before="0" w:line="24" w:lineRule="auto"/>
      </w:pPr>
      <w:r>
        <w:rPr>
          <w:sz w:val="2"/>
        </w:rPr>
      </w:r>
    </w:p>
    <w:p>
      <w:pPr>
        <w:keepNext/>
        <w:widowControl/>
        <w:jc w:val="center"/>
      </w:pPr>
      <w:r>
        <w:drawing>
          <wp:inline xmlns:a="http://schemas.openxmlformats.org/drawingml/2006/main" xmlns:pic="http://schemas.openxmlformats.org/drawingml/2006/picture">
            <wp:extent cx="5852160" cy="6460498"/>
            <wp:docPr id="6" name="Picture 6" descr="Supplementary Fig. 6. Detailed implementation of WorldMoE. (a) A common Eagle release stream is divided among four simulated sites with independent service and physical constraints. (b) W0 and W1 denote successive pretraining stages of one backbone; R2 denotes the probabilistic price module and APIC enforces consistency among DA, RT and spread prices. “Frozen” indicates parameters held fixed. Dashed paths show the 16-cohort training surrogate and gradients; solid paths show current-action commitment, physical realization, service accounting and ex-post settlement. Electrical projection precedes observation of current physical forcing. (c) Historical native-system outcomes retain their original controllers and account for closing obligations. Labels are implementation identifiers; the main text uses their functional descriptions."/>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852160" cy="6460498"/>
                    </a:xfrm>
                    <a:prstGeom prst="rect"/>
                  </pic:spPr>
                </pic:pic>
              </a:graphicData>
            </a:graphic>
          </wp:inline>
        </w:drawing>
      </w:r>
    </w:p>
    <w:p>
      <w:pPr>
        <w:pStyle w:val="Caption"/>
        <w:keepNext w:val="0"/>
        <w:widowControl/>
      </w:pPr>
      <w:r>
        <w:t>Supplementary Fig. 6. Detailed implementation of WorldMoE. (a) The Eagle release stream is divided among four simulated sites with independent service and physical constraints. (b) W0/W1 denote successive pretraining stages of one backbone; R2 is the probabilistic price module and APIC couples DA, RT and spread prices. Dashed paths show the training surrogate and gradients; solid paths show execution and settlement. The diagram represents the declared commitment-time architecture; Section S23 distinguishes it from the archived contemporaneous-physics stress projection. (c) Historical native-system outcomes retain their original controllers and closing obligations. The image and all original model results are preserved.</w:t>
      </w:r>
    </w:p>
    <w:p>
      <w:r>
        <w:br w:type="page"/>
      </w:r>
    </w:p>
    <w:bookmarkStart w:id="22" w:name="X3291358a70dd7adfdf25e825dbac150c97abfbf"/>
    <w:p>
      <w:pPr>
        <w:pStyle w:val="Heading1"/>
        <w:keepNext/>
        <w:widowControl/>
        <w:spacing w:after="100"/>
      </w:pPr>
      <w:r>
        <w:rPr>
          <w:color w:val="000000"/>
        </w:rPr>
        <w:t xml:space="preserve">S19 Contract intervals and service feasibility</w:t>
      </w:r>
    </w:p>
    <w:bookmarkStart w:id="20" w:name="admission-and-deadline-conventions"/>
    <w:p>
      <w:pPr>
        <w:pStyle w:val="Heading2"/>
        <w:keepNext/>
        <w:widowControl/>
        <w:spacing w:after="100"/>
      </w:pPr>
      <w:r>
        <w:rPr>
          <w:color w:val="000000"/>
        </w:rPr>
        <w:t xml:space="preserve">Admission and deadline conventions</w:t>
      </w:r>
    </w:p>
    <w:p>
      <w:pPr>
        <w:widowControl/>
        <w:spacing w:after="100"/>
      </w:pPr>
      <w:r>
        <w:t xml:space="preserve">A service right specifies a release slot and the first slot in which execution is no longer permitted. With quarter-hour intervals, a cohort admitted at the beginning of slot</w:t>
      </w:r>
      <w:r>
        <w:t xml:space="preserve"> </w:t>
      </w:r>
      <m:oMath>
        <m:sSub>
          <m:e>
            <m:r>
              <m:t>r</m:t>
            </m:r>
          </m:e>
          <m:sub>
            <m:r>
              <m:t>j</m:t>
            </m:r>
          </m:sub>
        </m:sSub>
      </m:oMath>
      <w:r>
        <w:t xml:space="preserve"> </w:t>
      </w:r>
      <w:r>
        <w:t xml:space="preserve">under a</w:t>
      </w:r>
      <w:r>
        <w:t xml:space="preserve"> </w:t>
      </w:r>
      <m:oMath>
        <m:sSub>
          <m:e>
            <m:r>
              <m:t>W</m:t>
            </m:r>
          </m:e>
          <m:sub>
            <m:r>
              <m:t>j</m:t>
            </m:r>
          </m:sub>
        </m:sSub>
      </m:oMath>
      <w:r>
        <w:t xml:space="preserve">-hour right has</w:t>
      </w:r>
      <w:r>
        <w:t xml:space="preserve"> </w:t>
      </w:r>
      <m:oMath>
        <m:sSub>
          <m:e>
            <m:r>
              <m:t>D</m:t>
            </m:r>
          </m:e>
          <m:sub>
            <m:r>
              <m:t>j</m:t>
            </m:r>
          </m:sub>
        </m:sSub>
        <m:r>
          <m:rPr>
            <m:sty m:val="p"/>
          </m:rPr>
          <m:t>=</m:t>
        </m:r>
        <m:r>
          <m:t>4</m:t>
        </m:r>
        <m:sSub>
          <m:e>
            <m:r>
              <m:t>W</m:t>
            </m:r>
          </m:e>
          <m:sub>
            <m:r>
              <m:t>j</m:t>
            </m:r>
          </m:sub>
        </m:sSub>
      </m:oMath>
      <w:r>
        <w:t xml:space="preserve"> </w:t>
      </w:r>
      <w:r>
        <w:t xml:space="preserve">eligible slots. The exclusive deadline and execution set are</w:t>
      </w:r>
    </w:p>
    <w:p>
      <w:pPr>
        <w:keepLines/>
        <w:widowControl/>
        <w:spacing w:after="120" w:before="80"/>
        <w:jc w:val="center"/>
      </w:pPr>
      <m:oMathPara>
        <m:oMathParaPr>
          <m:jc m:val="center"/>
        </m:oMathParaPr>
        <m:oMath>
          <m:sSub>
            <m:e>
              <m:r>
                <m:t>D</m:t>
              </m:r>
            </m:e>
            <m:sub>
              <m:r>
                <m:t>j</m:t>
              </m:r>
            </m:sub>
          </m:sSub>
          <m:r>
            <m:rPr>
              <m:sty m:val="p"/>
            </m:rPr>
            <m:t>=</m:t>
          </m:r>
          <m:r>
            <m:t>4</m:t>
          </m:r>
          <m:sSub>
            <m:e>
              <m:r>
                <m:t>W</m:t>
              </m:r>
            </m:e>
            <m:sub>
              <m:r>
                <m:t>j</m:t>
              </m:r>
            </m:sub>
          </m:sSub>
          <m:r>
            <m:rPr>
              <m:sty m:val="p"/>
            </m:rPr>
            <m:t>,</m:t>
          </m:r>
          <m:r>
            <m:t>  </m:t>
          </m:r>
          <m:sSub>
            <m:e>
              <m:r>
                <m:t>d</m:t>
              </m:r>
            </m:e>
            <m:sub>
              <m:r>
                <m:t>j</m:t>
              </m:r>
            </m:sub>
          </m:sSub>
          <m:r>
            <m:rPr>
              <m:sty m:val="p"/>
            </m:rPr>
            <m:t>=</m:t>
          </m:r>
          <m:sSub>
            <m:e>
              <m:r>
                <m:t>r</m:t>
              </m:r>
            </m:e>
            <m:sub>
              <m:r>
                <m:t>j</m:t>
              </m:r>
            </m:sub>
          </m:sSub>
          <m:r>
            <m:rPr>
              <m:sty m:val="p"/>
            </m:rPr>
            <m:t>+</m:t>
          </m:r>
          <m:sSub>
            <m:e>
              <m:r>
                <m:t>D</m:t>
              </m:r>
            </m:e>
            <m:sub>
              <m:r>
                <m:t>j</m:t>
              </m:r>
            </m:sub>
          </m:sSub>
          <m:r>
            <m:rPr>
              <m:sty m:val="p"/>
            </m:rPr>
            <m:t>,</m:t>
          </m:r>
          <m:r>
            <m:t>  </m:t>
          </m:r>
          <m:sSub>
            <m:e>
              <m:r>
                <m:rPr>
                  <m:sty m:val="p"/>
                  <m:scr m:val="script"/>
                </m:rPr>
                <m:t>I</m:t>
              </m:r>
            </m:e>
            <m:sub>
              <m:r>
                <m:t>j</m:t>
              </m:r>
            </m:sub>
          </m:sSub>
          <m:r>
            <m:rPr>
              <m:sty m:val="p"/>
            </m:rPr>
            <m:t>=</m:t>
          </m:r>
          <m:r>
            <m:rPr>
              <m:sty m:val="p"/>
            </m:rPr>
            <m:t>{</m:t>
          </m:r>
          <m:sSub>
            <m:e>
              <m:r>
                <m:t>r</m:t>
              </m:r>
            </m:e>
            <m:sub>
              <m:r>
                <m:t>j</m:t>
              </m:r>
            </m:sub>
          </m:sSub>
          <m:r>
            <m:rPr>
              <m:sty m:val="p"/>
            </m:rPr>
            <m:t>,</m:t>
          </m:r>
          <m:r>
            <m:rPr>
              <m:sty m:val="p"/>
            </m:rPr>
            <m:t>…</m:t>
          </m:r>
          <m:r>
            <m:rPr>
              <m:sty m:val="p"/>
            </m:rPr>
            <m:t>,</m:t>
          </m:r>
          <m:sSub>
            <m:e>
              <m:r>
                <m:t>d</m:t>
              </m:r>
            </m:e>
            <m:sub>
              <m:r>
                <m:t>j</m:t>
              </m:r>
            </m:sub>
          </m:sSub>
          <m:r>
            <m:rPr>
              <m:sty m:val="p"/>
            </m:rPr>
            <m:t>−</m:t>
          </m:r>
          <m:r>
            <m:t>1</m:t>
          </m:r>
          <m:r>
            <m:rPr>
              <m:sty m:val="p"/>
            </m:rPr>
            <m:t>}</m:t>
          </m:r>
          <m:r>
            <m:rPr>
              <m:sty m:val="p"/>
            </m:rPr>
            <m:t>.</m:t>
          </m:r>
          <m:r>
            <m:t>  </m:t>
          </m:r>
          <m:r>
            <m:rPr>
              <m:nor/>
              <m:sty m:val="p"/>
            </m:rPr>
            <m:t>(S19.1)</m:t>
          </m:r>
        </m:oMath>
      </m:oMathPara>
    </w:p>
    <w:p>
      <w:pPr>
        <w:widowControl/>
        <w:spacing w:after="100"/>
      </w:pPr>
      <w:r>
        <w:t xml:space="preserve">The admission slot is included. A cohort with a 24 h right may use 96 slots; including slot</w:t>
      </w:r>
      <w:r>
        <w:t xml:space="preserve"> </w:t>
      </w:r>
      <m:oMath>
        <m:sSub>
          <m:e>
            <m:r>
              <m:t>r</m:t>
            </m:r>
          </m:e>
          <m:sub>
            <m:r>
              <m:t>j</m:t>
            </m:r>
          </m:sub>
        </m:sSub>
        <m:r>
          <m:rPr>
            <m:sty m:val="p"/>
          </m:rPr>
          <m:t>+</m:t>
        </m:r>
        <m:r>
          <m:t>96</m:t>
        </m:r>
      </m:oMath>
      <w:r>
        <w:t xml:space="preserve"> </w:t>
      </w:r>
      <w:r>
        <w:t xml:space="preserve">would grant 97. These definitions restore main-text Eq. (1b). They apply unchanged when a deadline falls beyond the reporting year. Initial unfinished cohorts retain their original releases, remaining work and deadlines.</w:t>
      </w:r>
    </w:p>
    <w:p>
      <w:pPr>
        <w:widowControl/>
        <w:spacing w:after="100"/>
      </w:pPr>
      <w:r>
        <w:t xml:space="preserve">Let</w:t>
      </w:r>
      <w:r>
        <w:t xml:space="preserve"> </w:t>
      </w:r>
      <m:oMath>
        <m:sSub>
          <m:e>
            <m:r>
              <m:t>v</m:t>
            </m:r>
          </m:e>
          <m:sub>
            <m:r>
              <m:t>j</m:t>
            </m:r>
            <m:r>
              <m:t>t</m:t>
            </m:r>
          </m:sub>
        </m:sSub>
      </m:oMath>
      <w:r>
        <w:t xml:space="preserve"> </w:t>
      </w:r>
      <w:r>
        <w:t xml:space="preserve">be work from cohort</w:t>
      </w:r>
      <w:r>
        <w:t xml:space="preserve"> </w:t>
      </w:r>
      <m:oMath>
        <m:r>
          <m:t>j</m:t>
        </m:r>
      </m:oMath>
      <w:r>
        <w:t xml:space="preserve"> </w:t>
      </w:r>
      <w:r>
        <w:t xml:space="preserve">executed in slot</w:t>
      </w:r>
      <w:r>
        <w:t xml:space="preserve"> </w:t>
      </w:r>
      <m:oMath>
        <m:r>
          <m:t>t</m:t>
        </m:r>
      </m:oMath>
      <w:r>
        <w:t xml:space="preserve">,</w:t>
      </w:r>
      <w:r>
        <w:t xml:space="preserve"> </w:t>
      </w:r>
      <m:oMath>
        <m:sSub>
          <m:e>
            <m:r>
              <m:t>a</m:t>
            </m:r>
          </m:e>
          <m:sub>
            <m:r>
              <m:t>j</m:t>
            </m:r>
          </m:sub>
        </m:sSub>
      </m:oMath>
      <w:r>
        <w:t xml:space="preserve"> </w:t>
      </w:r>
      <w:r>
        <w:t xml:space="preserve">its admitted amount and</w:t>
      </w:r>
      <w:r>
        <w:t xml:space="preserve"> </w:t>
      </w:r>
      <m:oMath>
        <m:sSub>
          <m:e>
            <m:r>
              <m:t>c</m:t>
            </m:r>
          </m:e>
          <m:sub>
            <m:r>
              <m:t>t</m:t>
            </m:r>
          </m:sub>
        </m:sSub>
      </m:oMath>
      <w:r>
        <w:t xml:space="preserve"> </w:t>
      </w:r>
      <w:r>
        <w:t xml:space="preserve">shared service capacity. The complete divisible-service representation is</w:t>
      </w:r>
    </w:p>
    <w:p>
      <w:pPr>
        <w:keepLines/>
        <w:widowControl/>
        <w:spacing w:after="120" w:before="80"/>
        <w:jc w:val="center"/>
      </w:pPr>
      <m:oMathPara>
        <m:oMathParaPr>
          <m:jc m:val="center"/>
        </m:oMathParaPr>
        <m:oMath>
          <m:sSub>
            <m:e>
              <m:r>
                <m:t>v</m:t>
              </m:r>
            </m:e>
            <m:sub>
              <m:r>
                <m:t>j</m:t>
              </m:r>
              <m:r>
                <m:t>t</m:t>
              </m:r>
            </m:sub>
          </m:sSub>
          <m:r>
            <m:rPr>
              <m:sty m:val="p"/>
            </m:rPr>
            <m:t>≥</m:t>
          </m:r>
          <m:r>
            <m:t>0</m:t>
          </m:r>
          <m:r>
            <m:rPr>
              <m:sty m:val="p"/>
            </m:rPr>
            <m:t>,</m:t>
          </m:r>
          <m:r>
            <m:t> </m:t>
          </m:r>
          <m:sSub>
            <m:e>
              <m:r>
                <m:t>v</m:t>
              </m:r>
            </m:e>
            <m:sub>
              <m:r>
                <m:t>j</m:t>
              </m:r>
              <m:r>
                <m:t>t</m:t>
              </m:r>
            </m:sub>
          </m:sSub>
          <m:r>
            <m:rPr>
              <m:sty m:val="p"/>
            </m:rPr>
            <m:t>=</m:t>
          </m:r>
          <m:r>
            <m:t>0</m:t>
          </m:r>
          <m:r>
            <m:t> </m:t>
          </m:r>
          <m:d>
            <m:dPr>
              <m:begChr m:val="("/>
              <m:endChr m:val=")"/>
              <m:sepChr m:val=""/>
              <m:grow/>
            </m:dPr>
            <m:e>
              <m:r>
                <m:t>t</m:t>
              </m:r>
              <m:r>
                <m:rPr>
                  <m:sty m:val="p"/>
                </m:rPr>
                <m:t>∉</m:t>
              </m:r>
              <m:sSub>
                <m:e>
                  <m:r>
                    <m:rPr>
                      <m:sty m:val="p"/>
                      <m:scr m:val="script"/>
                    </m:rPr>
                    <m:t>I</m:t>
                  </m:r>
                </m:e>
                <m:sub>
                  <m:r>
                    <m:t>j</m:t>
                  </m:r>
                </m:sub>
              </m:sSub>
            </m:e>
          </m:d>
          <m:r>
            <m:rPr>
              <m:sty m:val="p"/>
            </m:rPr>
            <m:t>,</m:t>
          </m:r>
          <m:r>
            <m:t> </m:t>
          </m:r>
          <m:nary>
            <m:naryPr>
              <m:chr m:val="∑"/>
              <m:limLoc m:val="undOvr"/>
              <m:subHide m:val="off"/>
              <m:supHide m:val="on"/>
            </m:naryPr>
            <m:sub>
              <m:r>
                <m:t>t</m:t>
              </m:r>
              <m:r>
                <m:rPr>
                  <m:sty m:val="p"/>
                </m:rPr>
                <m:t>∈</m:t>
              </m:r>
              <m:sSub>
                <m:e>
                  <m:r>
                    <m:rPr>
                      <m:sty m:val="p"/>
                      <m:scr m:val="script"/>
                    </m:rPr>
                    <m:t>I</m:t>
                  </m:r>
                </m:e>
                <m:sub>
                  <m:r>
                    <m:t>j</m:t>
                  </m:r>
                </m:sub>
              </m:sSub>
            </m:sub>
            <m:sup>
              <m:r>
                <m:t>​</m:t>
              </m:r>
            </m:sup>
            <m:e>
              <m:sSub>
                <m:e>
                  <m:r>
                    <m:t>v</m:t>
                  </m:r>
                </m:e>
                <m:sub>
                  <m:r>
                    <m:t>j</m:t>
                  </m:r>
                  <m:r>
                    <m:t>t</m:t>
                  </m:r>
                </m:sub>
              </m:sSub>
            </m:e>
          </m:nary>
          <m:r>
            <m:rPr>
              <m:sty m:val="p"/>
            </m:rPr>
            <m:t>=</m:t>
          </m:r>
          <m:sSub>
            <m:e>
              <m:r>
                <m:t>a</m:t>
              </m:r>
            </m:e>
            <m:sub>
              <m:r>
                <m:t>j</m:t>
              </m:r>
            </m:sub>
          </m:sSub>
          <m:r>
            <m:rPr>
              <m:sty m:val="p"/>
            </m:rPr>
            <m:t>,</m:t>
          </m:r>
          <m:r>
            <m:t> </m:t>
          </m:r>
          <m:sSub>
            <m:e>
              <m:r>
                <m:t>x</m:t>
              </m:r>
            </m:e>
            <m:sub>
              <m:r>
                <m:t>t</m:t>
              </m:r>
            </m:sub>
          </m:sSub>
          <m:r>
            <m:rPr>
              <m:sty m:val="p"/>
            </m:rPr>
            <m:t>=</m:t>
          </m:r>
          <m:nary>
            <m:naryPr>
              <m:chr m:val="∑"/>
              <m:limLoc m:val="undOvr"/>
              <m:subHide m:val="off"/>
              <m:supHide m:val="on"/>
            </m:naryPr>
            <m:sub>
              <m:r>
                <m:t>j</m:t>
              </m:r>
            </m:sub>
            <m:sup>
              <m:r>
                <m:t>​</m:t>
              </m:r>
            </m:sup>
            <m:e>
              <m:sSub>
                <m:e>
                  <m:r>
                    <m:t>v</m:t>
                  </m:r>
                </m:e>
                <m:sub>
                  <m:r>
                    <m:t>j</m:t>
                  </m:r>
                  <m:r>
                    <m:t>t</m:t>
                  </m:r>
                </m:sub>
              </m:sSub>
            </m:e>
          </m:nary>
          <m:r>
            <m:rPr>
              <m:sty m:val="p"/>
            </m:rPr>
            <m:t>≤</m:t>
          </m:r>
          <m:sSub>
            <m:e>
              <m:r>
                <m:t>c</m:t>
              </m:r>
            </m:e>
            <m:sub>
              <m:r>
                <m:t>t</m:t>
              </m:r>
            </m:sub>
          </m:sSub>
          <m:r>
            <m:rPr>
              <m:sty m:val="p"/>
            </m:rPr>
            <m:t>.</m:t>
          </m:r>
          <m:r>
            <m:t>  </m:t>
          </m:r>
          <m:r>
            <m:rPr>
              <m:nor/>
              <m:sty m:val="p"/>
            </m:rPr>
            <m:t>(S19.2)</m:t>
          </m:r>
        </m:oMath>
      </m:oMathPara>
    </w:p>
    <w:p>
      <w:pPr>
        <w:widowControl/>
        <w:spacing w:after="100"/>
      </w:pPr>
      <w:r>
        <w:t xml:space="preserve">Every physical and accounting constraint applies to the resulting execution, not separately to overlapping cohort reservations. The finite horizon must either include the complete recovery assignment or specify the surviving cohort obligations and terminal valuation. Extending a cohort’s deadline while preserving all other constraints gives a nested feasible set. Comparing heterogeneous menus requires checking that extension separately for every cohort.</w:t>
      </w:r>
    </w:p>
    <w:bookmarkEnd w:id="20"/>
    <w:bookmarkStart w:id="21" w:name="exact-homogeneous-deadline-prefixes"/>
    <w:p>
      <w:pPr>
        <w:pStyle w:val="Heading2"/>
        <w:keepNext/>
        <w:widowControl/>
        <w:spacing w:after="100"/>
      </w:pPr>
      <w:r>
        <w:rPr>
          <w:color w:val="000000"/>
        </w:rPr>
        <w:t xml:space="preserve">Exact homogeneous deadline prefixes</w:t>
      </w:r>
    </w:p>
    <w:p>
      <w:pPr>
        <w:widowControl/>
        <w:spacing w:after="100"/>
      </w:pPr>
      <w:r>
        <w:t xml:space="preserve">For the cumulative representation, number slots from 1 and set</w:t>
      </w:r>
      <w:r>
        <w:t xml:space="preserve"> </w:t>
      </w:r>
      <m:oMath>
        <m:sSub>
          <m:e>
            <m:r>
              <m:t>A</m:t>
            </m:r>
          </m:e>
          <m:sub>
            <m:r>
              <m:t>t</m:t>
            </m:r>
          </m:sub>
        </m:sSub>
        <m:r>
          <m:rPr>
            <m:sty m:val="p"/>
          </m:rPr>
          <m:t>=</m:t>
        </m:r>
        <m:nary>
          <m:naryPr>
            <m:chr m:val="∑"/>
            <m:limLoc m:val="undOvr"/>
            <m:subHide m:val="off"/>
            <m:supHide m:val="off"/>
          </m:naryPr>
          <m:sub>
            <m:r>
              <m:t>s</m:t>
            </m:r>
            <m:r>
              <m:rPr>
                <m:sty m:val="p"/>
              </m:rPr>
              <m:t>=</m:t>
            </m:r>
            <m:r>
              <m:t>1</m:t>
            </m:r>
          </m:sub>
          <m:sup>
            <m:r>
              <m:t>t</m:t>
            </m:r>
          </m:sup>
          <m:e>
            <m:sSub>
              <m:e>
                <m:r>
                  <m:t>a</m:t>
                </m:r>
              </m:e>
              <m:sub>
                <m:r>
                  <m:t>s</m:t>
                </m:r>
              </m:sub>
            </m:sSub>
          </m:e>
        </m:nary>
      </m:oMath>
      <w:r>
        <w:t xml:space="preserve">,</w:t>
      </w:r>
      <w:r>
        <w:t xml:space="preserve"> </w:t>
      </w:r>
      <m:oMath>
        <m:sSub>
          <m:e>
            <m:r>
              <m:t>X</m:t>
            </m:r>
          </m:e>
          <m:sub>
            <m:r>
              <m:t>t</m:t>
            </m:r>
          </m:sub>
        </m:sSub>
        <m:r>
          <m:rPr>
            <m:sty m:val="p"/>
          </m:rPr>
          <m:t>=</m:t>
        </m:r>
        <m:nary>
          <m:naryPr>
            <m:chr m:val="∑"/>
            <m:limLoc m:val="undOvr"/>
            <m:subHide m:val="off"/>
            <m:supHide m:val="off"/>
          </m:naryPr>
          <m:sub>
            <m:r>
              <m:t>s</m:t>
            </m:r>
            <m:r>
              <m:rPr>
                <m:sty m:val="p"/>
              </m:rPr>
              <m:t>=</m:t>
            </m:r>
            <m:r>
              <m:t>1</m:t>
            </m:r>
          </m:sub>
          <m:sup>
            <m:r>
              <m:t>t</m:t>
            </m:r>
          </m:sup>
          <m:e>
            <m:sSub>
              <m:e>
                <m:r>
                  <m:t>x</m:t>
                </m:r>
              </m:e>
              <m:sub>
                <m:r>
                  <m:t>s</m:t>
                </m:r>
              </m:sub>
            </m:sSub>
          </m:e>
        </m:nary>
      </m:oMath>
      <w:r>
        <w:t xml:space="preserve">, with</w:t>
      </w:r>
      <w:r>
        <w:t xml:space="preserve"> </w:t>
      </w:r>
      <m:oMath>
        <m:sSub>
          <m:e>
            <m:r>
              <m:t>A</m:t>
            </m:r>
          </m:e>
          <m:sub>
            <m:r>
              <m:t>s</m:t>
            </m:r>
          </m:sub>
        </m:sSub>
        <m:r>
          <m:rPr>
            <m:sty m:val="p"/>
          </m:rPr>
          <m:t>=</m:t>
        </m:r>
        <m:r>
          <m:t>0</m:t>
        </m:r>
      </m:oMath>
      <w:r>
        <w:t xml:space="preserve"> </w:t>
      </w:r>
      <w:r>
        <w:t xml:space="preserve">for</w:t>
      </w:r>
      <w:r>
        <w:t xml:space="preserve"> </w:t>
      </w:r>
      <m:oMath>
        <m:r>
          <m:t>s</m:t>
        </m:r>
        <m:r>
          <m:rPr>
            <m:sty m:val="p"/>
          </m:rPr>
          <m:t>≤</m:t>
        </m:r>
        <m:r>
          <m:t>0</m:t>
        </m:r>
      </m:oMath>
      <w:r>
        <w:t xml:space="preserve">. For an initially empty, homogeneous</w:t>
      </w:r>
      <w:r>
        <w:t xml:space="preserve"> </w:t>
      </w:r>
      <m:oMath>
        <m:r>
          <m:t>D</m:t>
        </m:r>
      </m:oMath>
      <w:r>
        <w:t xml:space="preserve">-slot service system,</w:t>
      </w:r>
    </w:p>
    <w:p>
      <w:pPr>
        <w:keepLines/>
        <w:widowControl/>
        <w:spacing w:after="120" w:before="80"/>
        <w:jc w:val="center"/>
      </w:pPr>
      <m:oMathPara>
        <m:oMathParaPr>
          <m:jc m:val="center"/>
        </m:oMathParaPr>
        <m:oMath>
          <m:sSub>
            <m:e>
              <m:r>
                <m:t>A</m:t>
              </m:r>
            </m:e>
            <m:sub>
              <m:r>
                <m:t>t</m:t>
              </m:r>
              <m:r>
                <m:rPr>
                  <m:sty m:val="p"/>
                </m:rPr>
                <m:t>−</m:t>
              </m:r>
              <m:r>
                <m:t>D</m:t>
              </m:r>
              <m:r>
                <m:rPr>
                  <m:sty m:val="p"/>
                </m:rPr>
                <m:t>+</m:t>
              </m:r>
              <m:r>
                <m:t>1</m:t>
              </m:r>
            </m:sub>
          </m:sSub>
          <m:r>
            <m:rPr>
              <m:sty m:val="p"/>
            </m:rPr>
            <m:t>≤</m:t>
          </m:r>
          <m:sSub>
            <m:e>
              <m:r>
                <m:t>X</m:t>
              </m:r>
            </m:e>
            <m:sub>
              <m:r>
                <m:t>t</m:t>
              </m:r>
            </m:sub>
          </m:sSub>
          <m:r>
            <m:rPr>
              <m:sty m:val="p"/>
            </m:rPr>
            <m:t>≤</m:t>
          </m:r>
          <m:sSub>
            <m:e>
              <m:r>
                <m:t>A</m:t>
              </m:r>
            </m:e>
            <m:sub>
              <m:r>
                <m:t>t</m:t>
              </m:r>
            </m:sub>
          </m:sSub>
          <m:r>
            <m:rPr>
              <m:sty m:val="p"/>
            </m:rPr>
            <m:t>,</m:t>
          </m:r>
          <m:r>
            <m:t>  </m:t>
          </m:r>
          <m:r>
            <m:t>0</m:t>
          </m:r>
          <m:r>
            <m:rPr>
              <m:sty m:val="p"/>
            </m:rPr>
            <m:t>≤</m:t>
          </m:r>
          <m:sSub>
            <m:e>
              <m:r>
                <m:t>x</m:t>
              </m:r>
            </m:e>
            <m:sub>
              <m:r>
                <m:t>t</m:t>
              </m:r>
            </m:sub>
          </m:sSub>
          <m:r>
            <m:rPr>
              <m:sty m:val="p"/>
            </m:rPr>
            <m:t>≤</m:t>
          </m:r>
          <m:sSub>
            <m:e>
              <m:r>
                <m:t>c</m:t>
              </m:r>
            </m:e>
            <m:sub>
              <m:r>
                <m:t>t</m:t>
              </m:r>
            </m:sub>
          </m:sSub>
          <m:r>
            <m:rPr>
              <m:sty m:val="p"/>
            </m:rPr>
            <m:t>.</m:t>
          </m:r>
          <m:r>
            <m:t>  </m:t>
          </m:r>
          <m:r>
            <m:rPr>
              <m:nor/>
              <m:sty m:val="p"/>
            </m:rPr>
            <m:t>(S19.3)</m:t>
          </m:r>
        </m:oMath>
      </m:oMathPara>
    </w:p>
    <w:p>
      <w:pPr>
        <w:widowControl/>
        <w:spacing w:after="100"/>
      </w:pPr>
      <w:r>
        <w:t xml:space="preserve">Necessity follows because no service can precede admission and all cohorts released by</w:t>
      </w:r>
      <w:r>
        <w:t xml:space="preserve"> </w:t>
      </w:r>
      <m:oMath>
        <m:r>
          <m:t>t</m:t>
        </m:r>
        <m:r>
          <m:rPr>
            <m:sty m:val="p"/>
          </m:rPr>
          <m:t>−</m:t>
        </m:r>
        <m:r>
          <m:t>D</m:t>
        </m:r>
        <m:r>
          <m:rPr>
            <m:sty m:val="p"/>
          </m:rPr>
          <m:t>+</m:t>
        </m:r>
        <m:r>
          <m:t>1</m:t>
        </m:r>
      </m:oMath>
      <w:r>
        <w:t xml:space="preserve"> </w:t>
      </w:r>
      <w:r>
        <w:t xml:space="preserve">are due by the end of slot</w:t>
      </w:r>
      <w:r>
        <w:t xml:space="preserve"> </w:t>
      </w:r>
      <m:oMath>
        <m:r>
          <m:t>t</m:t>
        </m:r>
      </m:oMath>
      <w:r>
        <w:t xml:space="preserve">. For sufficiency, assign aggregate service to the oldest outstanding cohort. The upper prefix prevents execution before release. At cohort</w:t>
      </w:r>
      <w:r>
        <w:t xml:space="preserve"> </w:t>
      </w:r>
      <m:oMath>
        <m:r>
          <m:t>r</m:t>
        </m:r>
      </m:oMath>
      <w:r>
        <w:t xml:space="preserve">’s last eligible slot</w:t>
      </w:r>
      <w:r>
        <w:t xml:space="preserve"> </w:t>
      </w:r>
      <m:oMath>
        <m:r>
          <m:t>r</m:t>
        </m:r>
        <m:r>
          <m:rPr>
            <m:sty m:val="p"/>
          </m:rPr>
          <m:t>+</m:t>
        </m:r>
        <m:r>
          <m:t>D</m:t>
        </m:r>
        <m:r>
          <m:rPr>
            <m:sty m:val="p"/>
          </m:rPr>
          <m:t>−</m:t>
        </m:r>
        <m:r>
          <m:t>1</m:t>
        </m:r>
      </m:oMath>
      <w:r>
        <w:t xml:space="preserve">, the lower prefix gives</w:t>
      </w:r>
      <w:r>
        <w:t xml:space="preserve"> </w:t>
      </w:r>
      <m:oMath>
        <m:sSub>
          <m:e>
            <m:r>
              <m:t>X</m:t>
            </m:r>
          </m:e>
          <m:sub>
            <m:r>
              <m:t>r</m:t>
            </m:r>
            <m:r>
              <m:rPr>
                <m:sty m:val="p"/>
              </m:rPr>
              <m:t>+</m:t>
            </m:r>
            <m:r>
              <m:t>D</m:t>
            </m:r>
            <m:r>
              <m:rPr>
                <m:sty m:val="p"/>
              </m:rPr>
              <m:t>−</m:t>
            </m:r>
            <m:r>
              <m:t>1</m:t>
            </m:r>
          </m:sub>
        </m:sSub>
        <m:r>
          <m:rPr>
            <m:sty m:val="p"/>
          </m:rPr>
          <m:t>≥</m:t>
        </m:r>
        <m:sSub>
          <m:e>
            <m:r>
              <m:t>A</m:t>
            </m:r>
          </m:e>
          <m:sub>
            <m:r>
              <m:t>r</m:t>
            </m:r>
          </m:sub>
        </m:sSub>
      </m:oMath>
      <w:r>
        <w:t xml:space="preserve">, so FIFO assignment has completed that cohort and every earlier one. The slot-capacity constraint is unchanged. This establishes the equivalence used in main-text Eq. (1d), including exact completion boundaries. Initial cohorts enter the prefix requirements through their retained deadlines.</w:t>
      </w:r>
    </w:p>
    <w:p>
      <w:pPr>
        <w:widowControl/>
        <w:spacing w:after="100"/>
      </w:pPr>
      <w:r>
        <w:t xml:space="preserve">The same two total prefixes are not sufficient for arbitrary mixed deadlines. Consider unit cohorts released in slots 1 and 5, with last eligible slots 10 and 5. Executing one unit in slot 1 and another in slot 10 satisfies aggregate release and due totals but misses the second cohort. Cohort-to-slot flow in Eq. (S19.2), or an equivalent complete interval-demand formulation, resolves this ambiguity. The mixed 4/12/24 h audit therefore retains each class’s release and deadline and assigns execution by EDF.</w:t>
      </w:r>
    </w:p>
    <w:p>
      <w:pPr>
        <w:widowControl/>
        <w:spacing w:after="100"/>
      </w:pPr>
      <w:r>
        <w:t xml:space="preserve">For an inclusive last-eligible slot</w:t>
      </w:r>
      <w:r>
        <w:t xml:space="preserve"> </w:t>
      </w:r>
      <m:oMath>
        <m:r>
          <m:t>u</m:t>
        </m:r>
      </m:oMath>
      <w:r>
        <w:t xml:space="preserve">, let</w:t>
      </w:r>
      <w:r>
        <w:t xml:space="preserve"> </w:t>
      </w:r>
      <m:oMath>
        <m:sSub>
          <m:e>
            <m:r>
              <m:t>B</m:t>
            </m:r>
          </m:e>
          <m:sub>
            <m:r>
              <m:t>t</m:t>
            </m:r>
          </m:sub>
        </m:sSub>
        <m:d>
          <m:dPr>
            <m:begChr m:val="("/>
            <m:endChr m:val=")"/>
            <m:sepChr m:val=""/>
            <m:grow/>
          </m:dPr>
          <m:e>
            <m:r>
              <m:t>u</m:t>
            </m:r>
          </m:e>
        </m:d>
      </m:oMath>
      <w:r>
        <w:t xml:space="preserve"> </w:t>
      </w:r>
      <w:r>
        <w:t xml:space="preserve">be currently outstanding admitted work due by the end of</w:t>
      </w:r>
      <w:r>
        <w:t xml:space="preserve"> </w:t>
      </w:r>
      <m:oMath>
        <m:r>
          <m:t>u</m:t>
        </m:r>
      </m:oMath>
      <w:r>
        <w:t xml:space="preserve">. A conservative future capacity path gives the current requirement</w:t>
      </w:r>
    </w:p>
    <w:p>
      <w:pPr>
        <w:keepLines/>
        <w:widowControl/>
        <w:spacing w:after="120" w:before="80"/>
        <w:jc w:val="center"/>
      </w:pPr>
      <m:oMathPara>
        <m:oMathParaPr>
          <m:jc m:val="center"/>
        </m:oMathParaPr>
        <m:oMath>
          <m:sSub>
            <m:e>
              <m:r>
                <m:t>r</m:t>
              </m:r>
            </m:e>
            <m:sub>
              <m:r>
                <m:t>t</m:t>
              </m:r>
            </m:sub>
          </m:sSub>
          <m:r>
            <m:rPr>
              <m:sty m:val="p"/>
            </m:rPr>
            <m:t>=</m:t>
          </m:r>
          <m:limLow>
            <m:e>
              <m:r>
                <m:rPr>
                  <m:sty m:val="p"/>
                </m:rPr>
                <m:t>max</m:t>
              </m:r>
            </m:e>
            <m:lim>
              <m:r>
                <m:t>u</m:t>
              </m:r>
              <m:r>
                <m:rPr>
                  <m:sty m:val="p"/>
                </m:rPr>
                <m:t>≥</m:t>
              </m:r>
              <m:r>
                <m:t>t</m:t>
              </m:r>
            </m:lim>
          </m:limLow>
          <m:r>
            <m:rPr>
              <m:sty m:val="p"/>
            </m:rPr>
            <m:t>max</m:t>
          </m:r>
          <m:r>
            <m:rPr>
              <m:sty m:val="p"/>
            </m:rPr>
            <m:t>{</m:t>
          </m:r>
          <m:r>
            <m:t>0</m:t>
          </m:r>
          <m:r>
            <m:rPr>
              <m:sty m:val="p"/>
            </m:rPr>
            <m:t>,</m:t>
          </m:r>
          <m:sSub>
            <m:e>
              <m:r>
                <m:t>B</m:t>
              </m:r>
            </m:e>
            <m:sub>
              <m:r>
                <m:t>t</m:t>
              </m:r>
            </m:sub>
          </m:sSub>
          <m:d>
            <m:dPr>
              <m:begChr m:val="("/>
              <m:endChr m:val=")"/>
              <m:sepChr m:val=""/>
              <m:grow/>
            </m:dPr>
            <m:e>
              <m:r>
                <m:t>u</m:t>
              </m:r>
            </m:e>
          </m:d>
          <m:r>
            <m:rPr>
              <m:sty m:val="p"/>
            </m:rPr>
            <m:t>−</m:t>
          </m:r>
          <m:nary>
            <m:naryPr>
              <m:chr m:val="∑"/>
              <m:limLoc m:val="undOvr"/>
              <m:subHide m:val="off"/>
              <m:supHide m:val="off"/>
            </m:naryPr>
            <m:sub>
              <m:r>
                <m:t>s</m:t>
              </m:r>
              <m:r>
                <m:rPr>
                  <m:sty m:val="p"/>
                </m:rPr>
                <m:t>=</m:t>
              </m:r>
              <m:r>
                <m:t>t</m:t>
              </m:r>
              <m:r>
                <m:rPr>
                  <m:sty m:val="p"/>
                </m:rPr>
                <m:t>+</m:t>
              </m:r>
              <m:r>
                <m:t>1</m:t>
              </m:r>
            </m:sub>
            <m:sup>
              <m:r>
                <m:t>u</m:t>
              </m:r>
            </m:sup>
            <m:e>
              <m:sSubSup>
                <m:e>
                  <m:r>
                    <m:t>c</m:t>
                  </m:r>
                </m:e>
                <m:sub>
                  <m:r>
                    <m:t>s</m:t>
                  </m:r>
                </m:sub>
                <m:sup>
                  <m:r>
                    <m:rPr>
                      <m:sty m:val="p"/>
                    </m:rPr>
                    <m:t>−</m:t>
                  </m:r>
                </m:sup>
              </m:sSubSup>
            </m:e>
          </m:nary>
          <m:r>
            <m:rPr>
              <m:sty m:val="p"/>
            </m:rPr>
            <m:t>}</m:t>
          </m:r>
          <m:r>
            <m:rPr>
              <m:sty m:val="p"/>
            </m:rPr>
            <m:t>.</m:t>
          </m:r>
          <m:r>
            <m:t>  </m:t>
          </m:r>
          <m:r>
            <m:rPr>
              <m:nor/>
              <m:sty m:val="p"/>
            </m:rPr>
            <m:t>(S19.4)</m:t>
          </m:r>
        </m:oMath>
      </m:oMathPara>
    </w:p>
    <w:p>
      <w:pPr>
        <w:widowControl/>
        <w:spacing w:after="100"/>
      </w:pPr>
      <w:r>
        <w:t xml:space="preserve">There are</w:t>
      </w:r>
      <w:r>
        <w:t xml:space="preserve"> </w:t>
      </w:r>
      <m:oMath>
        <m:r>
          <m:t>u</m:t>
        </m:r>
        <m:r>
          <m:rPr>
            <m:sty m:val="p"/>
          </m:rPr>
          <m:t>−</m:t>
        </m:r>
        <m:r>
          <m:t>t</m:t>
        </m:r>
      </m:oMath>
      <w:r>
        <w:t xml:space="preserve"> </w:t>
      </w:r>
      <w:r>
        <w:t xml:space="preserve">future slots after the current action. With an exclusive boundary</w:t>
      </w:r>
      <w:r>
        <w:t xml:space="preserve"> </w:t>
      </w:r>
      <m:oMath>
        <m:r>
          <m:t>d</m:t>
        </m:r>
        <m:r>
          <m:rPr>
            <m:sty m:val="p"/>
          </m:rPr>
          <m:t>=</m:t>
        </m:r>
        <m:r>
          <m:t>u</m:t>
        </m:r>
        <m:r>
          <m:rPr>
            <m:sty m:val="p"/>
          </m:rPr>
          <m:t>+</m:t>
        </m:r>
        <m:r>
          <m:t>1</m:t>
        </m:r>
      </m:oMath>
      <w:r>
        <w:t xml:space="preserve">, the same sum ends at</w:t>
      </w:r>
      <w:r>
        <w:t xml:space="preserve"> </w:t>
      </w:r>
      <m:oMath>
        <m:r>
          <m:t>d</m:t>
        </m:r>
        <m:r>
          <m:rPr>
            <m:sty m:val="p"/>
          </m:rPr>
          <m:t>−</m:t>
        </m:r>
        <m:r>
          <m:t>1</m:t>
        </m:r>
      </m:oMath>
      <w:r>
        <w:t xml:space="preserve">. The capacities must be jointly achievable under the declared electrical constraints. If the required service exceeds current capacity, the instance is infeasible under those admissions and that declared capacity path; a conservative envelope alone need not imply infeasibility under a larger realised capacity path. Clipping the action does not establish deadline feasibility.</w:t>
      </w:r>
    </w:p>
    <w:bookmarkEnd w:id="21"/>
    <w:bookmarkEnd w:id="22"/>
    <w:bookmarkStart w:id="26" w:name="Xb3c9aac1988607ab837b8b146ab74074b2a74bb"/>
    <w:p>
      <w:pPr>
        <w:pStyle w:val="Heading1"/>
        <w:keepNext/>
        <w:widowControl/>
        <w:spacing w:after="100"/>
      </w:pPr>
      <w:r>
        <w:rPr>
          <w:color w:val="000000"/>
        </w:rPr>
        <w:t xml:space="preserve">S20 Exact repair and the monetary value of a feasible witness</w:t>
      </w:r>
    </w:p>
    <w:bookmarkStart w:id="23" w:name="exact-cumulative-repair"/>
    <w:p>
      <w:pPr>
        <w:pStyle w:val="Heading2"/>
        <w:keepNext/>
        <w:widowControl/>
        <w:spacing w:after="100"/>
      </w:pPr>
      <w:r>
        <w:rPr>
          <w:color w:val="000000"/>
        </w:rPr>
        <w:t xml:space="preserve">Exact cumulative repair</w:t>
      </w:r>
    </w:p>
    <w:p>
      <w:pPr>
        <w:widowControl/>
        <w:spacing w:after="100"/>
      </w:pPr>
      <w:r>
        <w:t xml:space="preserve">A numerical candidate becomes a feasible witness after its original constraints are checked exactly. Interpret stored binary64 inputs as exact binary rationals, or use a declared exact decimal representation consistently. For one homogeneous contract, let</w:t>
      </w:r>
      <w:r>
        <w:t xml:space="preserve"> </w:t>
      </w:r>
      <m:oMath>
        <m:sSub>
          <m:e>
            <m:r>
              <m:t>L</m:t>
            </m:r>
          </m:e>
          <m:sub>
            <m:r>
              <m:t>t</m:t>
            </m:r>
          </m:sub>
        </m:sSub>
        <m:r>
          <m:rPr>
            <m:sty m:val="p"/>
          </m:rPr>
          <m:t>,</m:t>
        </m:r>
        <m:sSub>
          <m:e>
            <m:r>
              <m:t>U</m:t>
            </m:r>
          </m:e>
          <m:sub>
            <m:r>
              <m:t>t</m:t>
            </m:r>
          </m:sub>
        </m:sSub>
      </m:oMath>
      <w:r>
        <w:t xml:space="preserve"> </w:t>
      </w:r>
      <w:r>
        <w:t xml:space="preserve">be nondecreasing cumulative deadline and release boundaries, with</w:t>
      </w:r>
      <w:r>
        <w:t xml:space="preserve"> </w:t>
      </w:r>
      <m:oMath>
        <m:sSub>
          <m:e>
            <m:r>
              <m:t>L</m:t>
            </m:r>
          </m:e>
          <m:sub>
            <m:r>
              <m:t>0</m:t>
            </m:r>
          </m:sub>
        </m:sSub>
        <m:r>
          <m:rPr>
            <m:sty m:val="p"/>
          </m:rPr>
          <m:t>=</m:t>
        </m:r>
        <m:sSub>
          <m:e>
            <m:r>
              <m:t>U</m:t>
            </m:r>
          </m:e>
          <m:sub>
            <m:r>
              <m:t>0</m:t>
            </m:r>
          </m:sub>
        </m:sSub>
        <m:r>
          <m:rPr>
            <m:sty m:val="p"/>
          </m:rPr>
          <m:t>=</m:t>
        </m:r>
        <m:sSub>
          <m:e>
            <m:r>
              <m:t>X</m:t>
            </m:r>
          </m:e>
          <m:sub>
            <m:r>
              <m:t>0</m:t>
            </m:r>
          </m:sub>
        </m:sSub>
        <m:r>
          <m:rPr>
            <m:sty m:val="p"/>
          </m:rPr>
          <m:t>=</m:t>
        </m:r>
        <m:r>
          <m:t>0</m:t>
        </m:r>
      </m:oMath>
      <w:r>
        <w:t xml:space="preserve">,</w:t>
      </w:r>
      <w:r>
        <w:t xml:space="preserve"> </w:t>
      </w:r>
      <m:oMath>
        <m:sSub>
          <m:e>
            <m:r>
              <m:t>c</m:t>
            </m:r>
          </m:e>
          <m:sub>
            <m:r>
              <m:t>t</m:t>
            </m:r>
          </m:sub>
        </m:sSub>
        <m:r>
          <m:rPr>
            <m:sty m:val="p"/>
          </m:rPr>
          <m:t>≥</m:t>
        </m:r>
        <m:r>
          <m:t>0</m:t>
        </m:r>
      </m:oMath>
      <w:r>
        <w:t xml:space="preserve"> </w:t>
      </w:r>
      <w:r>
        <w:t xml:space="preserve">and</w:t>
      </w:r>
      <w:r>
        <w:t xml:space="preserve"> </w:t>
      </w:r>
      <m:oMath>
        <m:sSub>
          <m:e>
            <m:r>
              <m:t>C</m:t>
            </m:r>
          </m:e>
          <m:sub>
            <m:r>
              <m:t>t</m:t>
            </m:r>
          </m:sub>
        </m:sSub>
        <m:r>
          <m:rPr>
            <m:sty m:val="p"/>
          </m:rPr>
          <m:t>=</m:t>
        </m:r>
        <m:nary>
          <m:naryPr>
            <m:chr m:val="∑"/>
            <m:limLoc m:val="undOvr"/>
            <m:subHide m:val="off"/>
            <m:supHide m:val="off"/>
          </m:naryPr>
          <m:sub>
            <m:r>
              <m:t>s</m:t>
            </m:r>
            <m:r>
              <m:rPr>
                <m:sty m:val="p"/>
              </m:rPr>
              <m:t>=</m:t>
            </m:r>
            <m:r>
              <m:t>1</m:t>
            </m:r>
          </m:sub>
          <m:sup>
            <m:r>
              <m:t>t</m:t>
            </m:r>
          </m:sup>
          <m:e>
            <m:sSub>
              <m:e>
                <m:r>
                  <m:t>c</m:t>
                </m:r>
              </m:e>
              <m:sub>
                <m:r>
                  <m:t>s</m:t>
                </m:r>
              </m:sub>
            </m:sSub>
          </m:e>
        </m:nary>
      </m:oMath>
      <w:r>
        <w:t xml:space="preserve">. A fixed final service total is encoded by</w:t>
      </w:r>
      <w:r>
        <w:t xml:space="preserve"> </w:t>
      </w:r>
      <m:oMath>
        <m:sSub>
          <m:e>
            <m:r>
              <m:t>L</m:t>
            </m:r>
          </m:e>
          <m:sub>
            <m:r>
              <m:t>N</m:t>
            </m:r>
          </m:sub>
        </m:sSub>
        <m:r>
          <m:rPr>
            <m:sty m:val="p"/>
          </m:rPr>
          <m:t>=</m:t>
        </m:r>
        <m:sSub>
          <m:e>
            <m:r>
              <m:t>U</m:t>
            </m:r>
          </m:e>
          <m:sub>
            <m:r>
              <m:t>N</m:t>
            </m:r>
          </m:sub>
        </m:sSub>
      </m:oMath>
      <w:r>
        <w:t xml:space="preserve">. The initial cohort ledger determines the earliest obligations; no initial work is discarded.</w:t>
      </w:r>
    </w:p>
    <w:p>
      <w:pPr>
        <w:widowControl/>
        <w:spacing w:after="100"/>
      </w:pPr>
      <w:r>
        <w:t xml:space="preserve">Assume the candidate increments already satisfy</w:t>
      </w:r>
      <w:r>
        <w:t xml:space="preserve"> </w:t>
      </w:r>
      <m:oMath>
        <m:r>
          <m:t>0</m:t>
        </m:r>
        <m:r>
          <m:rPr>
            <m:sty m:val="p"/>
          </m:rPr>
          <m:t>≤</m:t>
        </m:r>
        <m:sSub>
          <m:e>
            <m:acc>
              <m:accPr>
                <m:chr m:val="̂"/>
              </m:accPr>
              <m:e>
                <m:r>
                  <m:t>x</m:t>
                </m:r>
              </m:e>
            </m:acc>
          </m:e>
          <m:sub>
            <m:r>
              <m:t>t</m:t>
            </m:r>
          </m:sub>
        </m:sSub>
        <m:r>
          <m:rPr>
            <m:sty m:val="p"/>
          </m:rPr>
          <m:t>≤</m:t>
        </m:r>
        <m:sSub>
          <m:e>
            <m:r>
              <m:t>c</m:t>
            </m:r>
          </m:e>
          <m:sub>
            <m:r>
              <m:t>t</m:t>
            </m:r>
          </m:sub>
        </m:sSub>
      </m:oMath>
      <w:r>
        <w:t xml:space="preserve"> </w:t>
      </w:r>
      <w:r>
        <w:t xml:space="preserve">exactly. Propagate the corridor through the capacity limits and clamp the candidate cumulative path:</w:t>
      </w:r>
    </w:p>
    <w:p>
      <w:pPr>
        <w:keepLines/>
        <w:widowControl/>
        <w:spacing w:after="120" w:before="80"/>
        <w:jc w:val="center"/>
      </w:pPr>
      <m:oMathPara>
        <m:oMathParaPr>
          <m:jc m:val="center"/>
        </m:oMathParaPr>
        <m:oMath>
          <m:sSub>
            <m:e>
              <m:r>
                <m:rPr>
                  <m:sty m:val="p"/>
                </m:rPr>
                <m:t>ℓ</m:t>
              </m:r>
            </m:e>
            <m:sub>
              <m:r>
                <m:t>t</m:t>
              </m:r>
            </m:sub>
          </m:sSub>
          <m:r>
            <m:rPr>
              <m:sty m:val="p"/>
            </m:rPr>
            <m:t>=</m:t>
          </m:r>
          <m:limLow>
            <m:e>
              <m:r>
                <m:rPr>
                  <m:sty m:val="p"/>
                </m:rPr>
                <m:t>max</m:t>
              </m:r>
            </m:e>
            <m:lim>
              <m:r>
                <m:t>s</m:t>
              </m:r>
              <m:r>
                <m:rPr>
                  <m:sty m:val="p"/>
                </m:rPr>
                <m:t>≥</m:t>
              </m:r>
              <m:r>
                <m:t>t</m:t>
              </m:r>
            </m:lim>
          </m:limLow>
          <m:r>
            <m:rPr>
              <m:sty m:val="p"/>
            </m:rPr>
            <m:t>{</m:t>
          </m:r>
          <m:sSub>
            <m:e>
              <m:r>
                <m:t>L</m:t>
              </m:r>
            </m:e>
            <m:sub>
              <m:r>
                <m:t>s</m:t>
              </m:r>
            </m:sub>
          </m:sSub>
          <m:r>
            <m:rPr>
              <m:sty m:val="p"/>
            </m:rPr>
            <m:t>−</m:t>
          </m:r>
          <m:d>
            <m:dPr>
              <m:begChr m:val="("/>
              <m:endChr m:val=")"/>
              <m:sepChr m:val=""/>
              <m:grow/>
            </m:dPr>
            <m:e>
              <m:sSub>
                <m:e>
                  <m:r>
                    <m:t>C</m:t>
                  </m:r>
                </m:e>
                <m:sub>
                  <m:r>
                    <m:t>s</m:t>
                  </m:r>
                </m:sub>
              </m:sSub>
              <m:r>
                <m:rPr>
                  <m:sty m:val="p"/>
                </m:rPr>
                <m:t>−</m:t>
              </m:r>
              <m:sSub>
                <m:e>
                  <m:r>
                    <m:t>C</m:t>
                  </m:r>
                </m:e>
                <m:sub>
                  <m:r>
                    <m:t>t</m:t>
                  </m:r>
                </m:sub>
              </m:sSub>
            </m:e>
          </m:d>
          <m:r>
            <m:rPr>
              <m:sty m:val="p"/>
            </m:rPr>
            <m:t>}</m:t>
          </m:r>
          <m:r>
            <m:rPr>
              <m:sty m:val="p"/>
            </m:rPr>
            <m:t>,</m:t>
          </m:r>
          <m:r>
            <m:t>  </m:t>
          </m:r>
          <m:sSub>
            <m:e>
              <m:r>
                <m:t>u</m:t>
              </m:r>
            </m:e>
            <m:sub>
              <m:r>
                <m:t>t</m:t>
              </m:r>
            </m:sub>
          </m:sSub>
          <m:r>
            <m:rPr>
              <m:sty m:val="p"/>
            </m:rPr>
            <m:t>=</m:t>
          </m:r>
          <m:limLow>
            <m:e>
              <m:r>
                <m:rPr>
                  <m:sty m:val="p"/>
                </m:rPr>
                <m:t>min</m:t>
              </m:r>
            </m:e>
            <m:lim>
              <m:r>
                <m:t>s</m:t>
              </m:r>
              <m:r>
                <m:rPr>
                  <m:sty m:val="p"/>
                </m:rPr>
                <m:t>≤</m:t>
              </m:r>
              <m:r>
                <m:t>t</m:t>
              </m:r>
            </m:lim>
          </m:limLow>
          <m:r>
            <m:rPr>
              <m:sty m:val="p"/>
            </m:rPr>
            <m:t>{</m:t>
          </m:r>
          <m:sSub>
            <m:e>
              <m:r>
                <m:t>U</m:t>
              </m:r>
            </m:e>
            <m:sub>
              <m:r>
                <m:t>s</m:t>
              </m:r>
            </m:sub>
          </m:sSub>
          <m:r>
            <m:rPr>
              <m:sty m:val="p"/>
            </m:rPr>
            <m:t>+</m:t>
          </m:r>
          <m:d>
            <m:dPr>
              <m:begChr m:val="("/>
              <m:endChr m:val=")"/>
              <m:sepChr m:val=""/>
              <m:grow/>
            </m:dPr>
            <m:e>
              <m:sSub>
                <m:e>
                  <m:r>
                    <m:t>C</m:t>
                  </m:r>
                </m:e>
                <m:sub>
                  <m:r>
                    <m:t>t</m:t>
                  </m:r>
                </m:sub>
              </m:sSub>
              <m:r>
                <m:rPr>
                  <m:sty m:val="p"/>
                </m:rPr>
                <m:t>−</m:t>
              </m:r>
              <m:sSub>
                <m:e>
                  <m:r>
                    <m:t>C</m:t>
                  </m:r>
                </m:e>
                <m:sub>
                  <m:r>
                    <m:t>s</m:t>
                  </m:r>
                </m:sub>
              </m:sSub>
            </m:e>
          </m:d>
          <m:r>
            <m:rPr>
              <m:sty m:val="p"/>
            </m:rPr>
            <m:t>}</m:t>
          </m:r>
          <m:r>
            <m:rPr>
              <m:sty m:val="p"/>
            </m:rPr>
            <m:t>.</m:t>
          </m:r>
          <m:r>
            <m:t>  </m:t>
          </m:r>
          <m:r>
            <m:rPr>
              <m:nor/>
              <m:sty m:val="p"/>
            </m:rPr>
            <m:t>(S20.1)</m:t>
          </m:r>
        </m:oMath>
      </m:oMathPara>
    </w:p>
    <w:p>
      <w:pPr>
        <w:keepLines/>
        <w:widowControl/>
        <w:spacing w:after="120" w:before="80"/>
        <w:jc w:val="center"/>
      </w:pPr>
      <m:oMathPara>
        <m:oMathParaPr>
          <m:jc m:val="center"/>
        </m:oMathParaPr>
        <m:oMath>
          <m:sSub>
            <m:e>
              <m:acc>
                <m:accPr>
                  <m:chr m:val="̃"/>
                </m:accPr>
                <m:e>
                  <m:r>
                    <m:t>X</m:t>
                  </m:r>
                </m:e>
              </m:acc>
            </m:e>
            <m:sub>
              <m:r>
                <m:t>t</m:t>
              </m:r>
            </m:sub>
          </m:sSub>
          <m:r>
            <m:rPr>
              <m:sty m:val="p"/>
            </m:rPr>
            <m:t>=</m:t>
          </m:r>
          <m:r>
            <m:rPr>
              <m:sty m:val="p"/>
            </m:rPr>
            <m:t>min</m:t>
          </m:r>
          <m:r>
            <m:rPr>
              <m:sty m:val="p"/>
            </m:rPr>
            <m:t>{</m:t>
          </m:r>
          <m:sSub>
            <m:e>
              <m:r>
                <m:t>u</m:t>
              </m:r>
            </m:e>
            <m:sub>
              <m:r>
                <m:t>t</m:t>
              </m:r>
            </m:sub>
          </m:sSub>
          <m:r>
            <m:rPr>
              <m:sty m:val="p"/>
            </m:rPr>
            <m:t>,</m:t>
          </m:r>
          <m:r>
            <m:rPr>
              <m:sty m:val="p"/>
            </m:rPr>
            <m:t>max</m:t>
          </m:r>
          <m:d>
            <m:dPr>
              <m:begChr m:val="("/>
              <m:endChr m:val=")"/>
              <m:sepChr m:val=""/>
              <m:grow/>
            </m:dPr>
            <m:e>
              <m:sSub>
                <m:e>
                  <m:r>
                    <m:rPr>
                      <m:sty m:val="p"/>
                    </m:rPr>
                    <m:t>ℓ</m:t>
                  </m:r>
                </m:e>
                <m:sub>
                  <m:r>
                    <m:t>t</m:t>
                  </m:r>
                </m:sub>
              </m:sSub>
              <m:r>
                <m:rPr>
                  <m:sty m:val="p"/>
                </m:rPr>
                <m:t>,</m:t>
              </m:r>
              <m:sSub>
                <m:e>
                  <m:acc>
                    <m:accPr>
                      <m:chr m:val="̂"/>
                    </m:accPr>
                    <m:e>
                      <m:r>
                        <m:t>X</m:t>
                      </m:r>
                    </m:e>
                  </m:acc>
                </m:e>
                <m:sub>
                  <m:r>
                    <m:t>t</m:t>
                  </m:r>
                </m:sub>
              </m:sSub>
            </m:e>
          </m:d>
          <m:r>
            <m:rPr>
              <m:sty m:val="p"/>
            </m:rPr>
            <m:t>}</m:t>
          </m:r>
          <m:r>
            <m:rPr>
              <m:sty m:val="p"/>
            </m:rPr>
            <m:t>,</m:t>
          </m:r>
          <m:r>
            <m:t>  </m:t>
          </m:r>
          <m:sSub>
            <m:e>
              <m:acc>
                <m:accPr>
                  <m:chr m:val="̃"/>
                </m:accPr>
                <m:e>
                  <m:r>
                    <m:t>x</m:t>
                  </m:r>
                </m:e>
              </m:acc>
            </m:e>
            <m:sub>
              <m:r>
                <m:t>t</m:t>
              </m:r>
            </m:sub>
          </m:sSub>
          <m:r>
            <m:rPr>
              <m:sty m:val="p"/>
            </m:rPr>
            <m:t>=</m:t>
          </m:r>
          <m:sSub>
            <m:e>
              <m:acc>
                <m:accPr>
                  <m:chr m:val="̃"/>
                </m:accPr>
                <m:e>
                  <m:r>
                    <m:t>X</m:t>
                  </m:r>
                </m:e>
              </m:acc>
            </m:e>
            <m:sub>
              <m:r>
                <m:t>t</m:t>
              </m:r>
            </m:sub>
          </m:sSub>
          <m:r>
            <m:rPr>
              <m:sty m:val="p"/>
            </m:rPr>
            <m:t>−</m:t>
          </m:r>
          <m:sSub>
            <m:e>
              <m:acc>
                <m:accPr>
                  <m:chr m:val="̃"/>
                </m:accPr>
                <m:e>
                  <m:r>
                    <m:t>X</m:t>
                  </m:r>
                </m:e>
              </m:acc>
            </m:e>
            <m:sub>
              <m:r>
                <m:t>t</m:t>
              </m:r>
              <m:r>
                <m:rPr>
                  <m:sty m:val="p"/>
                </m:rPr>
                <m:t>−</m:t>
              </m:r>
              <m:r>
                <m:t>1</m:t>
              </m:r>
            </m:sub>
          </m:sSub>
          <m:r>
            <m:rPr>
              <m:sty m:val="p"/>
            </m:rPr>
            <m:t>.</m:t>
          </m:r>
          <m:r>
            <m:t>  </m:t>
          </m:r>
          <m:r>
            <m:rPr>
              <m:nor/>
              <m:sty m:val="p"/>
            </m:rPr>
            <m:t>(S20.2)</m:t>
          </m:r>
        </m:oMath>
      </m:oMathPara>
    </w:p>
    <w:p>
      <w:pPr>
        <w:widowControl/>
        <w:spacing w:after="100"/>
      </w:pPr>
      <w:r>
        <w:t xml:space="preserve">The propagated corridor is feasible only if</w:t>
      </w:r>
      <w:r>
        <w:t xml:space="preserve"> </w:t>
      </w:r>
      <m:oMath>
        <m:sSub>
          <m:e>
            <m:r>
              <m:rPr>
                <m:sty m:val="p"/>
              </m:rPr>
              <m:t>ℓ</m:t>
            </m:r>
          </m:e>
          <m:sub>
            <m:r>
              <m:t>t</m:t>
            </m:r>
          </m:sub>
        </m:sSub>
        <m:r>
          <m:rPr>
            <m:sty m:val="p"/>
          </m:rPr>
          <m:t>≤</m:t>
        </m:r>
        <m:sSub>
          <m:e>
            <m:r>
              <m:t>u</m:t>
            </m:r>
          </m:e>
          <m:sub>
            <m:r>
              <m:t>t</m:t>
            </m:r>
          </m:sub>
        </m:sSub>
      </m:oMath>
      <w:r>
        <w:t xml:space="preserve"> </w:t>
      </w:r>
      <w:r>
        <w:t xml:space="preserve">for every boundary. Both envelopes are nondecreasing, with each increment bounded by the corresponding capacity. Pointwise minimum and maximum preserve these properties, so the repaired path satisfies all original prefixes, nonnegativity, fixed service capacities and specified endpoints. The envelopes require one backward and one forward pass. The accompanying exact verifier rejects an infeasible corridor or a raw increment outside its capacity box.</w:t>
      </w:r>
    </w:p>
    <w:p>
      <w:pPr>
        <w:widowControl/>
        <w:spacing w:after="100"/>
      </w:pPr>
      <w:r>
        <w:t xml:space="preserve">Suppose exact prefix evaluation establishes</w:t>
      </w:r>
      <w:r>
        <w:t xml:space="preserve"> </w:t>
      </w:r>
      <m:oMath>
        <m:sSub>
          <m:e>
            <m:r>
              <m:t>L</m:t>
            </m:r>
          </m:e>
          <m:sub>
            <m:r>
              <m:t>t</m:t>
            </m:r>
          </m:sub>
        </m:sSub>
        <m:r>
          <m:rPr>
            <m:sty m:val="p"/>
          </m:rPr>
          <m:t>−</m:t>
        </m:r>
        <m:sSub>
          <m:e>
            <m:acc>
              <m:accPr>
                <m:chr m:val="̂"/>
              </m:accPr>
              <m:e>
                <m:r>
                  <m:t>X</m:t>
                </m:r>
              </m:e>
            </m:acc>
          </m:e>
          <m:sub>
            <m:r>
              <m:t>t</m:t>
            </m:r>
          </m:sub>
        </m:sSub>
        <m:r>
          <m:rPr>
            <m:sty m:val="p"/>
          </m:rPr>
          <m:t>≤</m:t>
        </m:r>
        <m:sSub>
          <m:e>
            <m:r>
              <m:t>ε</m:t>
            </m:r>
          </m:e>
          <m:sub>
            <m:r>
              <m:t>d</m:t>
            </m:r>
          </m:sub>
        </m:sSub>
      </m:oMath>
      <w:r>
        <w:t xml:space="preserve"> </w:t>
      </w:r>
      <w:r>
        <w:t xml:space="preserve">and</w:t>
      </w:r>
      <w:r>
        <w:t xml:space="preserve"> </w:t>
      </w:r>
      <m:oMath>
        <m:sSub>
          <m:e>
            <m:acc>
              <m:accPr>
                <m:chr m:val="̂"/>
              </m:accPr>
              <m:e>
                <m:r>
                  <m:t>X</m:t>
                </m:r>
              </m:e>
            </m:acc>
          </m:e>
          <m:sub>
            <m:r>
              <m:t>t</m:t>
            </m:r>
          </m:sub>
        </m:sSub>
        <m:r>
          <m:rPr>
            <m:sty m:val="p"/>
          </m:rPr>
          <m:t>−</m:t>
        </m:r>
        <m:sSub>
          <m:e>
            <m:r>
              <m:t>U</m:t>
            </m:r>
          </m:e>
          <m:sub>
            <m:r>
              <m:t>t</m:t>
            </m:r>
          </m:sub>
        </m:sSub>
        <m:r>
          <m:rPr>
            <m:sty m:val="p"/>
          </m:rPr>
          <m:t>≤</m:t>
        </m:r>
        <m:sSub>
          <m:e>
            <m:r>
              <m:t>ε</m:t>
            </m:r>
          </m:e>
          <m:sub>
            <m:r>
              <m:t>r</m:t>
            </m:r>
          </m:sub>
        </m:sSub>
      </m:oMath>
      <w:r>
        <w:t xml:space="preserve">. For</w:t>
      </w:r>
      <w:r>
        <w:t xml:space="preserve"> </w:t>
      </w:r>
      <m:oMath>
        <m:r>
          <m:t>s</m:t>
        </m:r>
        <m:r>
          <m:rPr>
            <m:sty m:val="p"/>
          </m:rPr>
          <m:t>≥</m:t>
        </m:r>
        <m:r>
          <m:t>t</m:t>
        </m:r>
      </m:oMath>
      <w:r>
        <w:t xml:space="preserve">, the raw capacity bound implies</w:t>
      </w:r>
      <w:r>
        <w:t xml:space="preserve"> </w:t>
      </w:r>
      <m:oMath>
        <m:sSub>
          <m:e>
            <m:acc>
              <m:accPr>
                <m:chr m:val="̂"/>
              </m:accPr>
              <m:e>
                <m:r>
                  <m:t>X</m:t>
                </m:r>
              </m:e>
            </m:acc>
          </m:e>
          <m:sub>
            <m:r>
              <m:t>s</m:t>
            </m:r>
          </m:sub>
        </m:sSub>
        <m:r>
          <m:rPr>
            <m:sty m:val="p"/>
          </m:rPr>
          <m:t>−</m:t>
        </m:r>
        <m:sSub>
          <m:e>
            <m:acc>
              <m:accPr>
                <m:chr m:val="̂"/>
              </m:accPr>
              <m:e>
                <m:r>
                  <m:t>X</m:t>
                </m:r>
              </m:e>
            </m:acc>
          </m:e>
          <m:sub>
            <m:r>
              <m:t>t</m:t>
            </m:r>
          </m:sub>
        </m:sSub>
        <m:r>
          <m:rPr>
            <m:sty m:val="p"/>
          </m:rPr>
          <m:t>≤</m:t>
        </m:r>
        <m:sSub>
          <m:e>
            <m:r>
              <m:t>C</m:t>
            </m:r>
          </m:e>
          <m:sub>
            <m:r>
              <m:t>s</m:t>
            </m:r>
          </m:sub>
        </m:sSub>
        <m:r>
          <m:rPr>
            <m:sty m:val="p"/>
          </m:rPr>
          <m:t>−</m:t>
        </m:r>
        <m:sSub>
          <m:e>
            <m:r>
              <m:t>C</m:t>
            </m:r>
          </m:e>
          <m:sub>
            <m:r>
              <m:t>t</m:t>
            </m:r>
          </m:sub>
        </m:sSub>
      </m:oMath>
      <w:r>
        <w:t xml:space="preserve">, giving</w:t>
      </w:r>
      <w:r>
        <w:t xml:space="preserve"> </w:t>
      </w:r>
      <m:oMath>
        <m:sSub>
          <m:e>
            <m:r>
              <m:rPr>
                <m:sty m:val="p"/>
              </m:rPr>
              <m:t>ℓ</m:t>
            </m:r>
          </m:e>
          <m:sub>
            <m:r>
              <m:t>t</m:t>
            </m:r>
          </m:sub>
        </m:sSub>
        <m:r>
          <m:rPr>
            <m:sty m:val="p"/>
          </m:rPr>
          <m:t>≤</m:t>
        </m:r>
        <m:sSub>
          <m:e>
            <m:acc>
              <m:accPr>
                <m:chr m:val="̂"/>
              </m:accPr>
              <m:e>
                <m:r>
                  <m:t>X</m:t>
                </m:r>
              </m:e>
            </m:acc>
          </m:e>
          <m:sub>
            <m:r>
              <m:t>t</m:t>
            </m:r>
          </m:sub>
        </m:sSub>
        <m:r>
          <m:rPr>
            <m:sty m:val="p"/>
          </m:rPr>
          <m:t>+</m:t>
        </m:r>
        <m:sSub>
          <m:e>
            <m:r>
              <m:t>ε</m:t>
            </m:r>
          </m:e>
          <m:sub>
            <m:r>
              <m:t>d</m:t>
            </m:r>
          </m:sub>
        </m:sSub>
      </m:oMath>
      <w:r>
        <w:t xml:space="preserve">. The corresponding argument for</w:t>
      </w:r>
      <w:r>
        <w:t xml:space="preserve"> </w:t>
      </w:r>
      <m:oMath>
        <m:r>
          <m:t>s</m:t>
        </m:r>
        <m:r>
          <m:rPr>
            <m:sty m:val="p"/>
          </m:rPr>
          <m:t>≤</m:t>
        </m:r>
        <m:r>
          <m:t>t</m:t>
        </m:r>
      </m:oMath>
      <w:r>
        <w:t xml:space="preserve"> </w:t>
      </w:r>
      <w:r>
        <w:t xml:space="preserve">gives</w:t>
      </w:r>
      <w:r>
        <w:t xml:space="preserve"> </w:t>
      </w:r>
      <m:oMath>
        <m:sSub>
          <m:e>
            <m:r>
              <m:t>u</m:t>
            </m:r>
          </m:e>
          <m:sub>
            <m:r>
              <m:t>t</m:t>
            </m:r>
          </m:sub>
        </m:sSub>
        <m:r>
          <m:rPr>
            <m:sty m:val="p"/>
          </m:rPr>
          <m:t>≥</m:t>
        </m:r>
        <m:sSub>
          <m:e>
            <m:acc>
              <m:accPr>
                <m:chr m:val="̂"/>
              </m:accPr>
              <m:e>
                <m:r>
                  <m:t>X</m:t>
                </m:r>
              </m:e>
            </m:acc>
          </m:e>
          <m:sub>
            <m:r>
              <m:t>t</m:t>
            </m:r>
          </m:sub>
        </m:sSub>
        <m:r>
          <m:rPr>
            <m:sty m:val="p"/>
          </m:rPr>
          <m:t>−</m:t>
        </m:r>
        <m:sSub>
          <m:e>
            <m:r>
              <m:t>ε</m:t>
            </m:r>
          </m:e>
          <m:sub>
            <m:r>
              <m:t>r</m:t>
            </m:r>
          </m:sub>
        </m:sSub>
      </m:oMath>
      <w:r>
        <w:t xml:space="preserve">. Thus</w:t>
      </w:r>
    </w:p>
    <w:p>
      <w:pPr>
        <w:keepLines/>
        <w:widowControl/>
        <w:spacing w:after="120" w:before="80"/>
        <w:jc w:val="center"/>
      </w:pPr>
      <m:oMathPara>
        <m:oMathParaPr>
          <m:jc m:val="center"/>
        </m:oMathParaPr>
        <m:oMath>
          <m:r>
            <m:rPr>
              <m:sty m:val="p"/>
            </m:rPr>
            <m:t>−</m:t>
          </m:r>
          <m:sSub>
            <m:e>
              <m:r>
                <m:t>ε</m:t>
              </m:r>
            </m:e>
            <m:sub>
              <m:r>
                <m:t>r</m:t>
              </m:r>
            </m:sub>
          </m:sSub>
          <m:r>
            <m:rPr>
              <m:sty m:val="p"/>
            </m:rPr>
            <m:t>≤</m:t>
          </m:r>
          <m:sSub>
            <m:e>
              <m:acc>
                <m:accPr>
                  <m:chr m:val="̃"/>
                </m:accPr>
                <m:e>
                  <m:r>
                    <m:t>X</m:t>
                  </m:r>
                </m:e>
              </m:acc>
            </m:e>
            <m:sub>
              <m:r>
                <m:t>t</m:t>
              </m:r>
            </m:sub>
          </m:sSub>
          <m:r>
            <m:rPr>
              <m:sty m:val="p"/>
            </m:rPr>
            <m:t>−</m:t>
          </m:r>
          <m:sSub>
            <m:e>
              <m:acc>
                <m:accPr>
                  <m:chr m:val="̂"/>
                </m:accPr>
                <m:e>
                  <m:r>
                    <m:t>X</m:t>
                  </m:r>
                </m:e>
              </m:acc>
            </m:e>
            <m:sub>
              <m:r>
                <m:t>t</m:t>
              </m:r>
            </m:sub>
          </m:sSub>
          <m:r>
            <m:rPr>
              <m:sty m:val="p"/>
            </m:rPr>
            <m:t>≤</m:t>
          </m:r>
          <m:sSub>
            <m:e>
              <m:r>
                <m:t>ε</m:t>
              </m:r>
            </m:e>
            <m:sub>
              <m:r>
                <m:t>d</m:t>
              </m:r>
            </m:sub>
          </m:sSub>
          <m:r>
            <m:rPr>
              <m:sty m:val="p"/>
            </m:rPr>
            <m:t>,</m:t>
          </m:r>
          <m:r>
            <m:t>  </m:t>
          </m:r>
          <m:nary>
            <m:naryPr>
              <m:chr m:val="∑"/>
              <m:limLoc m:val="undOvr"/>
              <m:subHide m:val="off"/>
              <m:supHide m:val="off"/>
            </m:naryPr>
            <m:sub>
              <m:r>
                <m:t>t</m:t>
              </m:r>
              <m:r>
                <m:rPr>
                  <m:sty m:val="p"/>
                </m:rPr>
                <m:t>=</m:t>
              </m:r>
              <m:r>
                <m:t>1</m:t>
              </m:r>
            </m:sub>
            <m:sup>
              <m:r>
                <m:t>N</m:t>
              </m:r>
            </m:sup>
            <m:e>
              <m:r>
                <m:rPr>
                  <m:sty m:val="p"/>
                </m:rPr>
                <m:t>|</m:t>
              </m:r>
              <m:sSub>
                <m:e>
                  <m:acc>
                    <m:accPr>
                      <m:chr m:val="̃"/>
                    </m:accPr>
                    <m:e>
                      <m:r>
                        <m:t>x</m:t>
                      </m:r>
                    </m:e>
                  </m:acc>
                </m:e>
                <m:sub>
                  <m:r>
                    <m:t>t</m:t>
                  </m:r>
                </m:sub>
              </m:sSub>
              <m:r>
                <m:rPr>
                  <m:sty m:val="p"/>
                </m:rPr>
                <m:t>−</m:t>
              </m:r>
              <m:sSub>
                <m:e>
                  <m:acc>
                    <m:accPr>
                      <m:chr m:val="̂"/>
                    </m:accPr>
                    <m:e>
                      <m:r>
                        <m:t>x</m:t>
                      </m:r>
                    </m:e>
                  </m:acc>
                </m:e>
                <m:sub>
                  <m:r>
                    <m:t>t</m:t>
                  </m:r>
                </m:sub>
              </m:sSub>
              <m:r>
                <m:rPr>
                  <m:sty m:val="p"/>
                </m:rPr>
                <m:t>|</m:t>
              </m:r>
            </m:e>
          </m:nary>
          <m:r>
            <m:rPr>
              <m:sty m:val="p"/>
            </m:rPr>
            <m:t>≤</m:t>
          </m:r>
          <m:r>
            <m:t>N</m:t>
          </m:r>
          <m:d>
            <m:dPr>
              <m:begChr m:val="("/>
              <m:endChr m:val=")"/>
              <m:sepChr m:val=""/>
              <m:grow/>
            </m:dPr>
            <m:e>
              <m:sSub>
                <m:e>
                  <m:r>
                    <m:t>ε</m:t>
                  </m:r>
                </m:e>
                <m:sub>
                  <m:r>
                    <m:t>r</m:t>
                  </m:r>
                </m:sub>
              </m:sSub>
              <m:r>
                <m:rPr>
                  <m:sty m:val="p"/>
                </m:rPr>
                <m:t>+</m:t>
              </m:r>
              <m:sSub>
                <m:e>
                  <m:r>
                    <m:t>ε</m:t>
                  </m:r>
                </m:e>
                <m:sub>
                  <m:r>
                    <m:t>d</m:t>
                  </m:r>
                </m:sub>
              </m:sSub>
            </m:e>
          </m:d>
          <m:r>
            <m:rPr>
              <m:sty m:val="p"/>
            </m:rPr>
            <m:t>.</m:t>
          </m:r>
          <m:r>
            <m:t>  </m:t>
          </m:r>
          <m:r>
            <m:rPr>
              <m:nor/>
              <m:sty m:val="p"/>
            </m:rPr>
            <m:t>(S20.3)</m:t>
          </m:r>
        </m:oMath>
      </m:oMathPara>
    </w:p>
    <w:p>
      <w:pPr>
        <w:widowControl/>
        <w:spacing w:after="100"/>
      </w:pPr>
      <w:r>
        <w:t xml:space="preserve">The second inequality follows by differencing the prefix perturbation, whose range has width</w:t>
      </w:r>
      <w:r>
        <w:t xml:space="preserve"> </w:t>
      </w:r>
      <m:oMath>
        <m:sSub>
          <m:e>
            <m:r>
              <m:t>ε</m:t>
            </m:r>
          </m:e>
          <m:sub>
            <m:r>
              <m:t>r</m:t>
            </m:r>
          </m:sub>
        </m:sSub>
        <m:r>
          <m:rPr>
            <m:sty m:val="p"/>
          </m:rPr>
          <m:t>+</m:t>
        </m:r>
        <m:sSub>
          <m:e>
            <m:r>
              <m:t>ε</m:t>
            </m:r>
          </m:e>
          <m:sub>
            <m:r>
              <m:t>d</m:t>
            </m:r>
          </m:sub>
        </m:sSub>
      </m:oMath>
      <w:r>
        <w:t xml:space="preserve">. This proves main-text Eq. (5c). Prefix errors must include any imposed terminal endpoint. Rounded diagnostic maxima alone do not establish these exact hypotheses.</w:t>
      </w:r>
    </w:p>
    <w:p>
      <w:pPr>
        <w:widowControl/>
        <w:spacing w:after="100"/>
      </w:pPr>
      <w:r>
        <w:t xml:space="preserve">This repair applies to homogeneous divisible service and fixed capacity bounds. Mixed deadlines require the cohort flow. Electrical ramp coupling or nonpreemptive execution requires the original coupled constraints. A general repair can minimise weighted absolute execution changes over that original feasible set, reconstruct a rational solution and verify it independently. The exact import graph must be retained: allowing imports merely to exceed net demand can create artificial receipts at negative prices.</w:t>
      </w:r>
    </w:p>
    <w:bookmarkEnd w:id="23"/>
    <w:bookmarkStart w:id="24" w:name="original-account-monetary-correction"/>
    <w:p>
      <w:pPr>
        <w:pStyle w:val="Heading2"/>
        <w:keepNext/>
        <w:widowControl/>
        <w:spacing w:after="100"/>
      </w:pPr>
      <w:r>
        <w:rPr>
          <w:color w:val="000000"/>
        </w:rPr>
        <w:t xml:space="preserve">Original-account monetary correction</w:t>
      </w:r>
    </w:p>
    <w:p>
      <w:pPr>
        <w:widowControl/>
        <w:spacing w:after="100"/>
      </w:pPr>
      <w:r>
        <w:t xml:space="preserve">For fixed realised physics, define grid imports</w:t>
      </w:r>
      <w:r>
        <w:t xml:space="preserve"> </w:t>
      </w:r>
      <m:oMath>
        <m:sSub>
          <m:e>
            <m:r>
              <m:t>G</m:t>
            </m:r>
          </m:e>
          <m:sub>
            <m:r>
              <m:t>t</m:t>
            </m:r>
          </m:sub>
        </m:sSub>
        <m:d>
          <m:dPr>
            <m:begChr m:val="("/>
            <m:endChr m:val=")"/>
            <m:sepChr m:val=""/>
            <m:grow/>
          </m:dPr>
          <m:e>
            <m:r>
              <m:t>x</m:t>
            </m:r>
          </m:e>
        </m:d>
        <m:r>
          <m:rPr>
            <m:sty m:val="p"/>
          </m:rPr>
          <m:t>=</m:t>
        </m:r>
        <m:sSub>
          <m:e>
            <m:r>
              <m:rPr>
                <m:sty m:val="p"/>
              </m:rPr>
              <m:t>[</m:t>
            </m:r>
            <m:sSub>
              <m:e>
                <m:r>
                  <m:rPr>
                    <m:sty m:val="p"/>
                  </m:rPr>
                  <m:t>P</m:t>
                </m:r>
                <m:r>
                  <m:rPr>
                    <m:sty m:val="p"/>
                  </m:rPr>
                  <m:t>U</m:t>
                </m:r>
                <m:r>
                  <m:rPr>
                    <m:sty m:val="p"/>
                  </m:rPr>
                  <m:t>E</m:t>
                </m:r>
              </m:e>
              <m:sub>
                <m:r>
                  <m:t>t</m:t>
                </m:r>
              </m:sub>
            </m:sSub>
            <m:d>
              <m:dPr>
                <m:begChr m:val="("/>
                <m:endChr m:val=")"/>
                <m:sepChr m:val=""/>
                <m:grow/>
              </m:dPr>
              <m:e>
                <m:sSup>
                  <m:e>
                    <m:r>
                      <m:t>P</m:t>
                    </m:r>
                  </m:e>
                  <m:sup>
                    <m:r>
                      <m:rPr>
                        <m:sty m:val="p"/>
                      </m:rPr>
                      <m:t>i</m:t>
                    </m:r>
                    <m:r>
                      <m:rPr>
                        <m:sty m:val="p"/>
                      </m:rPr>
                      <m:t>d</m:t>
                    </m:r>
                    <m:r>
                      <m:rPr>
                        <m:sty m:val="p"/>
                      </m:rPr>
                      <m:t>l</m:t>
                    </m:r>
                    <m:r>
                      <m:rPr>
                        <m:sty m:val="p"/>
                      </m:rPr>
                      <m:t>e</m:t>
                    </m:r>
                  </m:sup>
                </m:sSup>
                <m:r>
                  <m:rPr>
                    <m:sty m:val="p"/>
                  </m:rPr>
                  <m:t>+</m:t>
                </m:r>
                <m:r>
                  <m:t>k</m:t>
                </m:r>
                <m:r>
                  <m:t>x</m:t>
                </m:r>
              </m:e>
            </m:d>
            <m:r>
              <m:rPr>
                <m:sty m:val="p"/>
              </m:rPr>
              <m:t>−</m:t>
            </m:r>
            <m:sSubSup>
              <m:e>
                <m:r>
                  <m:t>P</m:t>
                </m:r>
              </m:e>
              <m:sub>
                <m:r>
                  <m:t>t</m:t>
                </m:r>
              </m:sub>
              <m:sup>
                <m:r>
                  <m:rPr>
                    <m:sty m:val="p"/>
                  </m:rPr>
                  <m:t>P</m:t>
                </m:r>
                <m:r>
                  <m:rPr>
                    <m:sty m:val="p"/>
                  </m:rPr>
                  <m:t>V</m:t>
                </m:r>
              </m:sup>
            </m:sSubSup>
            <m:r>
              <m:rPr>
                <m:sty m:val="p"/>
              </m:rPr>
              <m:t>]</m:t>
            </m:r>
          </m:e>
          <m:sub>
            <m:r>
              <m:rPr>
                <m:sty m:val="p"/>
              </m:rPr>
              <m:t>+</m:t>
            </m:r>
          </m:sub>
        </m:sSub>
      </m:oMath>
      <w:r>
        <w:t xml:space="preserve"> </w:t>
      </w:r>
      <w:r>
        <w:t xml:space="preserve">and curtailment</w:t>
      </w:r>
      <w:r>
        <w:t xml:space="preserve"> </w:t>
      </w:r>
      <m:oMath>
        <m:sSub>
          <m:e>
            <m:r>
              <m:t>V</m:t>
            </m:r>
          </m:e>
          <m:sub>
            <m:r>
              <m:t>t</m:t>
            </m:r>
          </m:sub>
        </m:sSub>
        <m:d>
          <m:dPr>
            <m:begChr m:val="("/>
            <m:endChr m:val=")"/>
            <m:sepChr m:val=""/>
            <m:grow/>
          </m:dPr>
          <m:e>
            <m:r>
              <m:t>x</m:t>
            </m:r>
          </m:e>
        </m:d>
        <m:r>
          <m:rPr>
            <m:sty m:val="p"/>
          </m:rPr>
          <m:t>=</m:t>
        </m:r>
        <m:sSub>
          <m:e>
            <m:r>
              <m:rPr>
                <m:sty m:val="p"/>
              </m:rPr>
              <m:t>[</m:t>
            </m:r>
            <m:sSubSup>
              <m:e>
                <m:r>
                  <m:t>P</m:t>
                </m:r>
              </m:e>
              <m:sub>
                <m:r>
                  <m:t>t</m:t>
                </m:r>
              </m:sub>
              <m:sup>
                <m:r>
                  <m:rPr>
                    <m:sty m:val="p"/>
                  </m:rPr>
                  <m:t>P</m:t>
                </m:r>
                <m:r>
                  <m:rPr>
                    <m:sty m:val="p"/>
                  </m:rPr>
                  <m:t>V</m:t>
                </m:r>
              </m:sup>
            </m:sSubSup>
            <m:r>
              <m:rPr>
                <m:sty m:val="p"/>
              </m:rPr>
              <m:t>−</m:t>
            </m:r>
            <m:sSub>
              <m:e>
                <m:r>
                  <m:rPr>
                    <m:sty m:val="p"/>
                  </m:rPr>
                  <m:t>P</m:t>
                </m:r>
                <m:r>
                  <m:rPr>
                    <m:sty m:val="p"/>
                  </m:rPr>
                  <m:t>U</m:t>
                </m:r>
                <m:r>
                  <m:rPr>
                    <m:sty m:val="p"/>
                  </m:rPr>
                  <m:t>E</m:t>
                </m:r>
              </m:e>
              <m:sub>
                <m:r>
                  <m:t>t</m:t>
                </m:r>
              </m:sub>
            </m:sSub>
            <m:d>
              <m:dPr>
                <m:begChr m:val="("/>
                <m:endChr m:val=")"/>
                <m:sepChr m:val=""/>
                <m:grow/>
              </m:dPr>
              <m:e>
                <m:sSup>
                  <m:e>
                    <m:r>
                      <m:t>P</m:t>
                    </m:r>
                  </m:e>
                  <m:sup>
                    <m:r>
                      <m:rPr>
                        <m:sty m:val="p"/>
                      </m:rPr>
                      <m:t>i</m:t>
                    </m:r>
                    <m:r>
                      <m:rPr>
                        <m:sty m:val="p"/>
                      </m:rPr>
                      <m:t>d</m:t>
                    </m:r>
                    <m:r>
                      <m:rPr>
                        <m:sty m:val="p"/>
                      </m:rPr>
                      <m:t>l</m:t>
                    </m:r>
                    <m:r>
                      <m:rPr>
                        <m:sty m:val="p"/>
                      </m:rPr>
                      <m:t>e</m:t>
                    </m:r>
                  </m:sup>
                </m:sSup>
                <m:r>
                  <m:rPr>
                    <m:sty m:val="p"/>
                  </m:rPr>
                  <m:t>+</m:t>
                </m:r>
                <m:r>
                  <m:t>k</m:t>
                </m:r>
                <m:r>
                  <m:t>x</m:t>
                </m:r>
              </m:e>
            </m:d>
            <m:r>
              <m:rPr>
                <m:sty m:val="p"/>
              </m:rPr>
              <m:t>]</m:t>
            </m:r>
          </m:e>
          <m:sub>
            <m:r>
              <m:rPr>
                <m:sty m:val="p"/>
              </m:rPr>
              <m:t>+</m:t>
            </m:r>
          </m:sub>
        </m:sSub>
      </m:oMath>
      <w:r>
        <w:t xml:space="preserve">. The released wholesale ledger charges RT energy, US$1/MWh of curtailment and US$1/MWh of absolute import deviation from the reference. Let</w:t>
      </w:r>
      <w:r>
        <w:t xml:space="preserve"> </w:t>
      </w:r>
      <m:oMath>
        <m:r>
          <m:t>Δ</m:t>
        </m:r>
        <m:r>
          <m:t>G</m:t>
        </m:r>
      </m:oMath>
      <w:r>
        <w:t xml:space="preserve"> </w:t>
      </w:r>
      <w:r>
        <w:t xml:space="preserve">and</w:t>
      </w:r>
      <w:r>
        <w:t xml:space="preserve"> </w:t>
      </w:r>
      <m:oMath>
        <m:r>
          <m:t>Δ</m:t>
        </m:r>
        <m:r>
          <m:t>V</m:t>
        </m:r>
      </m:oMath>
      <w:r>
        <w:t xml:space="preserve"> </w:t>
      </w:r>
      <w:r>
        <w:t xml:space="preserve">denote repaired minus candidate values and</w:t>
      </w:r>
      <w:r>
        <w:t xml:space="preserve"> </w:t>
      </w:r>
      <m:oMath>
        <m:r>
          <m:t>δ</m:t>
        </m:r>
        <m:r>
          <m:t>Ψ</m:t>
        </m:r>
      </m:oMath>
      <w:r>
        <w:t xml:space="preserve"> </w:t>
      </w:r>
      <w:r>
        <w:t xml:space="preserve">the repair-induced terminal-cost change. A safe increase in the original cost is</w:t>
      </w:r>
    </w:p>
    <w:p>
      <w:pPr>
        <w:keepLines/>
        <w:widowControl/>
        <w:spacing w:after="120" w:before="80"/>
        <w:jc w:val="center"/>
      </w:pPr>
      <m:oMathPara>
        <m:oMathParaPr>
          <m:jc m:val="center"/>
        </m:oMathParaPr>
        <m:oMath>
          <m:sSub>
            <m:e>
              <m:r>
                <m:t>B</m:t>
              </m:r>
            </m:e>
            <m:sub>
              <m:r>
                <m:t>R</m:t>
              </m:r>
            </m:sub>
          </m:sSub>
          <m:r>
            <m:rPr>
              <m:sty m:val="p"/>
            </m:rPr>
            <m:t>=</m:t>
          </m:r>
          <m:nary>
            <m:naryPr>
              <m:chr m:val="∑"/>
              <m:limLoc m:val="undOvr"/>
              <m:subHide m:val="off"/>
              <m:supHide m:val="on"/>
            </m:naryPr>
            <m:sub>
              <m:r>
                <m:t>z</m:t>
              </m:r>
              <m:r>
                <m:rPr>
                  <m:sty m:val="p"/>
                </m:rPr>
                <m:t>,</m:t>
              </m:r>
              <m:r>
                <m:t>t</m:t>
              </m:r>
            </m:sub>
            <m:sup>
              <m:r>
                <m:t>​</m:t>
              </m:r>
            </m:sup>
            <m:e>
              <m:r>
                <m:t>Δ</m:t>
              </m:r>
            </m:e>
          </m:nary>
          <m:r>
            <m:t>t</m:t>
          </m:r>
          <m:r>
            <m:rPr>
              <m:sty m:val="p"/>
            </m:rPr>
            <m:t>[</m:t>
          </m:r>
          <m:d>
            <m:dPr>
              <m:begChr m:val="("/>
              <m:endChr m:val=")"/>
              <m:sepChr m:val=""/>
              <m:grow/>
            </m:dPr>
            <m:e>
              <m:r>
                <m:rPr>
                  <m:sty m:val="p"/>
                </m:rPr>
                <m:t>|</m:t>
              </m:r>
              <m:sSubSup>
                <m:e>
                  <m:r>
                    <m:t>p</m:t>
                  </m:r>
                </m:e>
                <m:sub>
                  <m:r>
                    <m:t>z</m:t>
                  </m:r>
                  <m:r>
                    <m:t>t</m:t>
                  </m:r>
                </m:sub>
                <m:sup>
                  <m:r>
                    <m:rPr>
                      <m:sty m:val="p"/>
                    </m:rPr>
                    <m:t>R</m:t>
                  </m:r>
                  <m:r>
                    <m:rPr>
                      <m:sty m:val="p"/>
                    </m:rPr>
                    <m:t>T</m:t>
                  </m:r>
                </m:sup>
              </m:sSubSup>
              <m:r>
                <m:rPr>
                  <m:sty m:val="p"/>
                </m:rPr>
                <m:t>|</m:t>
              </m:r>
              <m:r>
                <m:rPr>
                  <m:sty m:val="p"/>
                </m:rPr>
                <m:t>+</m:t>
              </m:r>
              <m:r>
                <m:t>1</m:t>
              </m:r>
            </m:e>
          </m:d>
          <m:r>
            <m:rPr>
              <m:sty m:val="p"/>
            </m:rPr>
            <m:t>|</m:t>
          </m:r>
          <m:r>
            <m:t>Δ</m:t>
          </m:r>
          <m:sSub>
            <m:e>
              <m:r>
                <m:t>G</m:t>
              </m:r>
            </m:e>
            <m:sub>
              <m:r>
                <m:t>z</m:t>
              </m:r>
              <m:r>
                <m:t>t</m:t>
              </m:r>
            </m:sub>
          </m:sSub>
          <m:r>
            <m:rPr>
              <m:sty m:val="p"/>
            </m:rPr>
            <m:t>|</m:t>
          </m:r>
          <m:r>
            <m:rPr>
              <m:sty m:val="p"/>
            </m:rPr>
            <m:t>+</m:t>
          </m:r>
          <m:r>
            <m:rPr>
              <m:sty m:val="p"/>
            </m:rPr>
            <m:t>|</m:t>
          </m:r>
          <m:r>
            <m:t>Δ</m:t>
          </m:r>
          <m:sSub>
            <m:e>
              <m:r>
                <m:t>V</m:t>
              </m:r>
            </m:e>
            <m:sub>
              <m:r>
                <m:t>z</m:t>
              </m:r>
              <m:r>
                <m:t>t</m:t>
              </m:r>
            </m:sub>
          </m:sSub>
          <m:r>
            <m:rPr>
              <m:sty m:val="p"/>
            </m:rPr>
            <m:t>|</m:t>
          </m:r>
          <m:r>
            <m:rPr>
              <m:sty m:val="p"/>
            </m:rPr>
            <m:t>]</m:t>
          </m:r>
          <m:r>
            <m:rPr>
              <m:sty m:val="p"/>
            </m:rPr>
            <m:t>+</m:t>
          </m:r>
          <m:r>
            <m:rPr>
              <m:sty m:val="p"/>
            </m:rPr>
            <m:t>|</m:t>
          </m:r>
          <m:r>
            <m:t>δ</m:t>
          </m:r>
          <m:r>
            <m:t>Ψ</m:t>
          </m:r>
          <m:r>
            <m:rPr>
              <m:sty m:val="p"/>
            </m:rPr>
            <m:t>|</m:t>
          </m:r>
          <m:r>
            <m:rPr>
              <m:sty m:val="p"/>
            </m:rPr>
            <m:t>.</m:t>
          </m:r>
          <m:r>
            <m:t>  </m:t>
          </m:r>
          <m:r>
            <m:rPr>
              <m:nor/>
              <m:sty m:val="p"/>
            </m:rPr>
            <m:t>(S20.4)</m:t>
          </m:r>
        </m:oMath>
      </m:oMathPara>
    </w:p>
    <w:p>
      <w:pPr>
        <w:widowControl/>
        <w:spacing w:after="100"/>
      </w:pPr>
      <w:r>
        <w:t xml:space="preserve">The positive-part map is 1-Lipschitz, so both</w:t>
      </w:r>
      <w:r>
        <w:t xml:space="preserve"> </w:t>
      </w:r>
      <m:oMath>
        <m:r>
          <m:rPr>
            <m:sty m:val="p"/>
          </m:rPr>
          <m:t>|</m:t>
        </m:r>
        <m:r>
          <m:t>Δ</m:t>
        </m:r>
        <m:r>
          <m:t>G</m:t>
        </m:r>
        <m:r>
          <m:rPr>
            <m:sty m:val="p"/>
          </m:rPr>
          <m:t>|</m:t>
        </m:r>
      </m:oMath>
      <w:r>
        <w:t xml:space="preserve"> </w:t>
      </w:r>
      <w:r>
        <w:t xml:space="preserve">and</w:t>
      </w:r>
      <w:r>
        <w:t xml:space="preserve"> </w:t>
      </w:r>
      <m:oMath>
        <m:r>
          <m:rPr>
            <m:sty m:val="p"/>
          </m:rPr>
          <m:t>|</m:t>
        </m:r>
        <m:r>
          <m:t>Δ</m:t>
        </m:r>
        <m:r>
          <m:t>V</m:t>
        </m:r>
        <m:r>
          <m:rPr>
            <m:sty m:val="p"/>
          </m:rPr>
          <m:t>|</m:t>
        </m:r>
      </m:oMath>
      <w:r>
        <w:t xml:space="preserve"> </w:t>
      </w:r>
      <w:r>
        <w:t xml:space="preserve">are bounded by</w:t>
      </w:r>
      <w:r>
        <w:t xml:space="preserve"> </w:t>
      </w:r>
      <m:oMath>
        <m:r>
          <m:t>k</m:t>
        </m:r>
        <m:r>
          <m:t> </m:t>
        </m:r>
        <m:r>
          <m:rPr>
            <m:sty m:val="p"/>
          </m:rPr>
          <m:t>P</m:t>
        </m:r>
        <m:r>
          <m:rPr>
            <m:sty m:val="p"/>
          </m:rPr>
          <m:t>U</m:t>
        </m:r>
        <m:r>
          <m:rPr>
            <m:sty m:val="p"/>
          </m:rPr>
          <m:t>E</m:t>
        </m:r>
        <m:r>
          <m:t> </m:t>
        </m:r>
        <m:r>
          <m:rPr>
            <m:sty m:val="p"/>
          </m:rPr>
          <m:t>|</m:t>
        </m:r>
        <m:r>
          <m:t>Δ</m:t>
        </m:r>
        <m:r>
          <m:t>x</m:t>
        </m:r>
        <m:r>
          <m:rPr>
            <m:sty m:val="p"/>
          </m:rPr>
          <m:t>|</m:t>
        </m:r>
      </m:oMath>
      <w:r>
        <w:t xml:space="preserve">. The reverse triangle inequality also bounds the change in the absolute import-deviation fee by</w:t>
      </w:r>
      <w:r>
        <w:t xml:space="preserve"> </w:t>
      </w:r>
      <m:oMath>
        <m:r>
          <m:rPr>
            <m:sty m:val="p"/>
          </m:rPr>
          <m:t>|</m:t>
        </m:r>
        <m:r>
          <m:t>Δ</m:t>
        </m:r>
        <m:r>
          <m:t>G</m:t>
        </m:r>
        <m:r>
          <m:rPr>
            <m:sty m:val="p"/>
          </m:rPr>
          <m:t>|</m:t>
        </m:r>
      </m:oMath>
      <w:r>
        <w:t xml:space="preserve">. Therefore</w:t>
      </w:r>
    </w:p>
    <w:p>
      <w:pPr>
        <w:keepLines/>
        <w:widowControl/>
        <w:spacing w:after="120" w:before="80"/>
        <w:jc w:val="center"/>
      </w:pPr>
      <m:oMathPara>
        <m:oMathParaPr>
          <m:jc m:val="center"/>
        </m:oMathParaPr>
        <m:oMath>
          <m:sSub>
            <m:e>
              <m:r>
                <m:t>B</m:t>
              </m:r>
            </m:e>
            <m:sub>
              <m:r>
                <m:t>R</m:t>
              </m:r>
            </m:sub>
          </m:sSub>
          <m:r>
            <m:rPr>
              <m:sty m:val="p"/>
            </m:rPr>
            <m:t>≤</m:t>
          </m:r>
          <m:nary>
            <m:naryPr>
              <m:chr m:val="∑"/>
              <m:limLoc m:val="undOvr"/>
              <m:subHide m:val="off"/>
              <m:supHide m:val="on"/>
            </m:naryPr>
            <m:sub>
              <m:r>
                <m:t>z</m:t>
              </m:r>
              <m:r>
                <m:rPr>
                  <m:sty m:val="p"/>
                </m:rPr>
                <m:t>,</m:t>
              </m:r>
              <m:r>
                <m:t>t</m:t>
              </m:r>
            </m:sub>
            <m:sup>
              <m:r>
                <m:t>​</m:t>
              </m:r>
            </m:sup>
            <m:e>
              <m:r>
                <m:t>Δ</m:t>
              </m:r>
            </m:e>
          </m:nary>
          <m:r>
            <m:t>t</m:t>
          </m:r>
          <m:r>
            <m:t> </m:t>
          </m:r>
          <m:sSub>
            <m:e>
              <m:r>
                <m:t>k</m:t>
              </m:r>
            </m:e>
            <m:sub>
              <m:r>
                <m:t>z</m:t>
              </m:r>
            </m:sub>
          </m:sSub>
          <m:sSub>
            <m:e>
              <m:r>
                <m:rPr>
                  <m:sty m:val="p"/>
                </m:rPr>
                <m:t>P</m:t>
              </m:r>
              <m:r>
                <m:rPr>
                  <m:sty m:val="p"/>
                </m:rPr>
                <m:t>U</m:t>
              </m:r>
              <m:r>
                <m:rPr>
                  <m:sty m:val="p"/>
                </m:rPr>
                <m:t>E</m:t>
              </m:r>
            </m:e>
            <m:sub>
              <m:r>
                <m:t>z</m:t>
              </m:r>
              <m:r>
                <m:t>t</m:t>
              </m:r>
            </m:sub>
          </m:sSub>
          <m:d>
            <m:dPr>
              <m:begChr m:val="("/>
              <m:endChr m:val=")"/>
              <m:sepChr m:val=""/>
              <m:grow/>
            </m:dPr>
            <m:e>
              <m:r>
                <m:rPr>
                  <m:sty m:val="p"/>
                </m:rPr>
                <m:t>|</m:t>
              </m:r>
              <m:sSubSup>
                <m:e>
                  <m:r>
                    <m:t>p</m:t>
                  </m:r>
                </m:e>
                <m:sub>
                  <m:r>
                    <m:t>z</m:t>
                  </m:r>
                  <m:r>
                    <m:t>t</m:t>
                  </m:r>
                </m:sub>
                <m:sup>
                  <m:r>
                    <m:rPr>
                      <m:sty m:val="p"/>
                    </m:rPr>
                    <m:t>R</m:t>
                  </m:r>
                  <m:r>
                    <m:rPr>
                      <m:sty m:val="p"/>
                    </m:rPr>
                    <m:t>T</m:t>
                  </m:r>
                </m:sup>
              </m:sSubSup>
              <m:r>
                <m:rPr>
                  <m:sty m:val="p"/>
                </m:rPr>
                <m:t>|</m:t>
              </m:r>
              <m:r>
                <m:rPr>
                  <m:sty m:val="p"/>
                </m:rPr>
                <m:t>+</m:t>
              </m:r>
              <m:r>
                <m:t>2</m:t>
              </m:r>
            </m:e>
          </m:d>
          <m:r>
            <m:rPr>
              <m:sty m:val="p"/>
            </m:rPr>
            <m:t>|</m:t>
          </m:r>
          <m:r>
            <m:t>Δ</m:t>
          </m:r>
          <m:sSub>
            <m:e>
              <m:r>
                <m:t>x</m:t>
              </m:r>
            </m:e>
            <m:sub>
              <m:r>
                <m:t>z</m:t>
              </m:r>
              <m:r>
                <m:t>t</m:t>
              </m:r>
            </m:sub>
          </m:sSub>
          <m:r>
            <m:rPr>
              <m:sty m:val="p"/>
            </m:rPr>
            <m:t>|</m:t>
          </m:r>
          <m:r>
            <m:rPr>
              <m:sty m:val="p"/>
            </m:rPr>
            <m:t>+</m:t>
          </m:r>
          <m:r>
            <m:rPr>
              <m:sty m:val="p"/>
            </m:rPr>
            <m:t>|</m:t>
          </m:r>
          <m:r>
            <m:t>δ</m:t>
          </m:r>
          <m:r>
            <m:t>Ψ</m:t>
          </m:r>
          <m:r>
            <m:rPr>
              <m:sty m:val="p"/>
            </m:rPr>
            <m:t>|</m:t>
          </m:r>
          <m:r>
            <m:rPr>
              <m:sty m:val="p"/>
            </m:rPr>
            <m:t>.</m:t>
          </m:r>
          <m:r>
            <m:t>  </m:t>
          </m:r>
          <m:r>
            <m:rPr>
              <m:nor/>
              <m:sty m:val="p"/>
            </m:rPr>
            <m:t>(S20.5)</m:t>
          </m:r>
        </m:oMath>
      </m:oMathPara>
    </w:p>
    <w:p>
      <w:pPr>
        <w:widowControl/>
        <w:spacing w:after="100"/>
      </w:pPr>
      <w:r>
        <w:t xml:space="preserve">This proof covers negative prices. For a linear terminal liability,</w:t>
      </w:r>
      <w:r>
        <w:t xml:space="preserve"> </w:t>
      </w:r>
      <m:oMath>
        <m:r>
          <m:rPr>
            <m:sty m:val="p"/>
          </m:rPr>
          <m:t>|</m:t>
        </m:r>
        <m:r>
          <m:t>δ</m:t>
        </m:r>
        <m:r>
          <m:t>Ψ</m:t>
        </m:r>
        <m:r>
          <m:rPr>
            <m:sty m:val="p"/>
          </m:rPr>
          <m:t>|</m:t>
        </m:r>
        <m:r>
          <m:rPr>
            <m:sty m:val="p"/>
          </m:rPr>
          <m:t>≤</m:t>
        </m:r>
        <m:nary>
          <m:naryPr>
            <m:chr m:val="∑"/>
            <m:limLoc m:val="undOvr"/>
            <m:subHide m:val="off"/>
            <m:supHide m:val="on"/>
          </m:naryPr>
          <m:sub>
            <m:r>
              <m:t>z</m:t>
            </m:r>
          </m:sub>
          <m:sup>
            <m:r>
              <m:t>​</m:t>
            </m:r>
          </m:sup>
          <m:e>
            <m:r>
              <m:rPr>
                <m:sty m:val="p"/>
              </m:rPr>
              <m:t>|</m:t>
            </m:r>
            <m:sSub>
              <m:e>
                <m:r>
                  <m:t>τ</m:t>
                </m:r>
              </m:e>
              <m:sub>
                <m:r>
                  <m:t>z</m:t>
                </m:r>
              </m:sub>
            </m:sSub>
            <m:r>
              <m:rPr>
                <m:sty m:val="p"/>
              </m:rPr>
              <m:t>|</m:t>
            </m:r>
          </m:e>
        </m:nary>
        <m:r>
          <m:t> </m:t>
        </m:r>
        <m:r>
          <m:rPr>
            <m:sty m:val="p"/>
          </m:rPr>
          <m:t>|</m:t>
        </m:r>
        <m:r>
          <m:t>Δ</m:t>
        </m:r>
        <m:sSubSup>
          <m:e>
            <m:r>
              <m:t>q</m:t>
            </m:r>
          </m:e>
          <m:sub>
            <m:r>
              <m:t>z</m:t>
            </m:r>
          </m:sub>
          <m:sup>
            <m:r>
              <m:rPr>
                <m:sty m:val="p"/>
              </m:rPr>
              <m:t>e</m:t>
            </m:r>
            <m:r>
              <m:rPr>
                <m:sty m:val="p"/>
              </m:rPr>
              <m:t>n</m:t>
            </m:r>
            <m:r>
              <m:rPr>
                <m:sty m:val="p"/>
              </m:rPr>
              <m:t>d</m:t>
            </m:r>
          </m:sup>
        </m:sSubSup>
        <m:r>
          <m:rPr>
            <m:sty m:val="p"/>
          </m:rPr>
          <m:t>|</m:t>
        </m:r>
      </m:oMath>
      <w:r>
        <w:t xml:space="preserve">; it is zero when the terminal state is fixed. A completed recovery path and the same completed work must not both be charged as terminal obligations. The original account uses a frozen historical-price terminal valuation, so replacing it with actual tail RT settlement would change the account and require new matched bounds.</w:t>
      </w:r>
    </w:p>
    <w:p>
      <w:pPr>
        <w:widowControl/>
        <w:spacing w:after="100"/>
      </w:pPr>
      <w:r>
        <w:t xml:space="preserve">Let</w:t>
      </w:r>
      <w:r>
        <w:t xml:space="preserve"> </w:t>
      </w:r>
      <m:oMath>
        <m:sSub>
          <m:e>
            <m:r>
              <m:t>ε</m:t>
            </m:r>
          </m:e>
          <m:sub>
            <m:r>
              <m:t>H</m:t>
            </m:r>
          </m:sub>
        </m:sSub>
      </m:oMath>
      <w:r>
        <w:t xml:space="preserve"> </w:t>
      </w:r>
      <w:r>
        <w:t xml:space="preserve">bound numerical error in both the reference and candidate settled costs when forming their saving difference. Since</w:t>
      </w:r>
      <w:r>
        <w:t xml:space="preserve"> </w:t>
      </w:r>
      <m:oMath>
        <m:r>
          <m:t>C</m:t>
        </m:r>
        <m:d>
          <m:dPr>
            <m:begChr m:val="("/>
            <m:endChr m:val=")"/>
            <m:sepChr m:val=""/>
            <m:grow/>
          </m:dPr>
          <m:e>
            <m:acc>
              <m:accPr>
                <m:chr m:val="̃"/>
              </m:accPr>
              <m:e>
                <m:r>
                  <m:t>x</m:t>
                </m:r>
              </m:e>
            </m:acc>
          </m:e>
        </m:d>
        <m:r>
          <m:rPr>
            <m:sty m:val="p"/>
          </m:rPr>
          <m:t>−</m:t>
        </m:r>
        <m:r>
          <m:t>C</m:t>
        </m:r>
        <m:d>
          <m:dPr>
            <m:begChr m:val="("/>
            <m:endChr m:val=")"/>
            <m:sepChr m:val=""/>
            <m:grow/>
          </m:dPr>
          <m:e>
            <m:acc>
              <m:accPr>
                <m:chr m:val="̂"/>
              </m:accPr>
              <m:e>
                <m:r>
                  <m:t>x</m:t>
                </m:r>
              </m:e>
            </m:acc>
          </m:e>
        </m:d>
        <m:r>
          <m:rPr>
            <m:sty m:val="p"/>
          </m:rPr>
          <m:t>≤</m:t>
        </m:r>
        <m:sSub>
          <m:e>
            <m:r>
              <m:t>B</m:t>
            </m:r>
          </m:e>
          <m:sub>
            <m:r>
              <m:t>R</m:t>
            </m:r>
          </m:sub>
        </m:sSub>
      </m:oMath>
      <w:r>
        <w:t xml:space="preserve">, the exact feasible witness satisfies</w:t>
      </w:r>
    </w:p>
    <w:p>
      <w:pPr>
        <w:keepLines/>
        <w:widowControl/>
        <w:spacing w:after="120" w:before="80"/>
        <w:jc w:val="center"/>
      </w:pPr>
      <m:oMathPara>
        <m:oMathParaPr>
          <m:jc m:val="center"/>
        </m:oMathParaPr>
        <m:oMath>
          <m:sSub>
            <m:e>
              <m:r>
                <m:t>Δ</m:t>
              </m:r>
            </m:e>
            <m:sub>
              <m:r>
                <m:t>B</m:t>
              </m:r>
            </m:sub>
          </m:sSub>
          <m:r>
            <m:rPr>
              <m:sty m:val="p"/>
            </m:rPr>
            <m:t>=</m:t>
          </m:r>
          <m:sSub>
            <m:e>
              <m:r>
                <m:t>B</m:t>
              </m:r>
            </m:e>
            <m:sub>
              <m:r>
                <m:t>R</m:t>
              </m:r>
            </m:sub>
          </m:sSub>
          <m:r>
            <m:rPr>
              <m:sty m:val="p"/>
            </m:rPr>
            <m:t>+</m:t>
          </m:r>
          <m:sSub>
            <m:e>
              <m:r>
                <m:t>ε</m:t>
              </m:r>
            </m:e>
            <m:sub>
              <m:r>
                <m:t>H</m:t>
              </m:r>
            </m:sub>
          </m:sSub>
          <m:r>
            <m:rPr>
              <m:sty m:val="p"/>
            </m:rPr>
            <m:t>,</m:t>
          </m:r>
          <m:r>
            <m:t>  </m:t>
          </m:r>
          <m:sSubSup>
            <m:e>
              <m:r>
                <m:t>H</m:t>
              </m:r>
            </m:e>
            <m:sub>
              <m:r>
                <m:t>B</m:t>
              </m:r>
            </m:sub>
            <m:sup>
              <m:r>
                <m:rPr>
                  <m:sty m:val="p"/>
                </m:rPr>
                <m:t>c</m:t>
              </m:r>
              <m:r>
                <m:rPr>
                  <m:sty m:val="p"/>
                </m:rPr>
                <m:t>e</m:t>
              </m:r>
              <m:r>
                <m:rPr>
                  <m:sty m:val="p"/>
                </m:rPr>
                <m:t>r</m:t>
              </m:r>
              <m:r>
                <m:rPr>
                  <m:sty m:val="p"/>
                </m:rPr>
                <m:t>t</m:t>
              </m:r>
            </m:sup>
          </m:sSubSup>
          <m:r>
            <m:rPr>
              <m:sty m:val="p"/>
            </m:rPr>
            <m:t>=</m:t>
          </m:r>
          <m:sSubSup>
            <m:e>
              <m:r>
                <m:t>H</m:t>
              </m:r>
            </m:e>
            <m:sub>
              <m:r>
                <m:t>B</m:t>
              </m:r>
            </m:sub>
            <m:sup>
              <m:r>
                <m:rPr>
                  <m:sty m:val="p"/>
                </m:rPr>
                <m:t>r</m:t>
              </m:r>
              <m:r>
                <m:rPr>
                  <m:sty m:val="p"/>
                </m:rPr>
                <m:t>a</m:t>
              </m:r>
              <m:r>
                <m:rPr>
                  <m:sty m:val="p"/>
                </m:rPr>
                <m:t>w</m:t>
              </m:r>
            </m:sup>
          </m:sSubSup>
          <m:r>
            <m:rPr>
              <m:sty m:val="p"/>
            </m:rPr>
            <m:t>−</m:t>
          </m:r>
          <m:sSub>
            <m:e>
              <m:r>
                <m:t>Δ</m:t>
              </m:r>
            </m:e>
            <m:sub>
              <m:r>
                <m:t>B</m:t>
              </m:r>
            </m:sub>
          </m:sSub>
          <m:r>
            <m:rPr>
              <m:sty m:val="p"/>
            </m:rPr>
            <m:t>≤</m:t>
          </m:r>
          <m:sSub>
            <m:e>
              <m:r>
                <m:t>C</m:t>
              </m:r>
            </m:e>
            <m:sub>
              <m:r>
                <m:t>0</m:t>
              </m:r>
            </m:sub>
          </m:sSub>
          <m:r>
            <m:rPr>
              <m:sty m:val="p"/>
            </m:rPr>
            <m:t>−</m:t>
          </m:r>
          <m:r>
            <m:t>C</m:t>
          </m:r>
          <m:d>
            <m:dPr>
              <m:begChr m:val="("/>
              <m:endChr m:val=")"/>
              <m:sepChr m:val=""/>
              <m:grow/>
            </m:dPr>
            <m:e>
              <m:acc>
                <m:accPr>
                  <m:chr m:val="̃"/>
                </m:accPr>
                <m:e>
                  <m:r>
                    <m:t>x</m:t>
                  </m:r>
                </m:e>
              </m:acc>
            </m:e>
          </m:d>
          <m:r>
            <m:rPr>
              <m:sty m:val="p"/>
            </m:rPr>
            <m:t>≤</m:t>
          </m:r>
          <m:sSubSup>
            <m:e>
              <m:r>
                <m:t>S</m:t>
              </m:r>
            </m:e>
            <m:sub>
              <m:r>
                <m:t>B</m:t>
              </m:r>
            </m:sub>
            <m:sup>
              <m:r>
                <m:rPr>
                  <m:sty m:val="p"/>
                </m:rPr>
                <m:t>⋆</m:t>
              </m:r>
            </m:sup>
          </m:sSubSup>
          <m:r>
            <m:rPr>
              <m:sty m:val="p"/>
            </m:rPr>
            <m:t>.</m:t>
          </m:r>
          <m:r>
            <m:t>  </m:t>
          </m:r>
          <m:r>
            <m:rPr>
              <m:nor/>
              <m:sty m:val="p"/>
            </m:rPr>
            <m:t>(S20.6)</m:t>
          </m:r>
        </m:oMath>
      </m:oMathPara>
    </w:p>
    <w:p>
      <w:pPr>
        <w:widowControl/>
        <w:spacing w:after="100"/>
      </w:pPr>
      <w:r>
        <w:t xml:space="preserve">This is the correction used in main-text Eqs. (5d)–(5e). A feasible repair need not be optimal. Its verified cost, or a proved upper bound on its cost increase, is sufficient for the exclusion theorem.</w:t>
      </w:r>
    </w:p>
    <w:bookmarkEnd w:id="24"/>
    <w:bookmarkStart w:id="25" w:name="conditional-numerical-budget"/>
    <w:p>
      <w:pPr>
        <w:pStyle w:val="Heading2"/>
        <w:keepNext/>
        <w:widowControl/>
        <w:spacing w:after="100"/>
      </w:pPr>
      <w:r>
        <w:rPr>
          <w:color w:val="000000"/>
        </w:rPr>
        <w:t xml:space="preserve">Conditional numerical budget</w:t>
      </w:r>
    </w:p>
    <w:p>
      <w:pPr>
        <w:widowControl/>
        <w:spacing w:after="100"/>
      </w:pPr>
      <w:r>
        <w:t xml:space="preserve">The released annual physical/electricity array has 35,040 intervals at four sites. Its displayed binary64 extrema are</w:t>
      </w:r>
      <w:r>
        <w:t xml:space="preserve"> </w:t>
      </w:r>
      <m:oMath>
        <m:r>
          <m:rPr>
            <m:sty m:val="p"/>
          </m:rPr>
          <m:t>max</m:t>
        </m:r>
        <m:r>
          <m:rPr>
            <m:sty m:val="p"/>
          </m:rPr>
          <m:t>|</m:t>
        </m:r>
        <m:sSup>
          <m:e>
            <m:r>
              <m:t>p</m:t>
            </m:r>
          </m:e>
          <m:sup>
            <m:r>
              <m:rPr>
                <m:sty m:val="p"/>
              </m:rPr>
              <m:t>R</m:t>
            </m:r>
            <m:r>
              <m:rPr>
                <m:sty m:val="p"/>
              </m:rPr>
              <m:t>T</m:t>
            </m:r>
          </m:sup>
        </m:sSup>
        <m:r>
          <m:rPr>
            <m:sty m:val="p"/>
          </m:rPr>
          <m:t>|</m:t>
        </m:r>
        <m:r>
          <m:rPr>
            <m:sty m:val="p"/>
          </m:rPr>
          <m:t>=</m:t>
        </m:r>
        <m:r>
          <m:t>4522.13</m:t>
        </m:r>
      </m:oMath>
      <w:r>
        <w:t xml:space="preserve">,</w:t>
      </w:r>
      <w:r>
        <w:t xml:space="preserve"> </w:t>
      </w:r>
      <m:oMath>
        <m:r>
          <m:rPr>
            <m:sty m:val="p"/>
          </m:rPr>
          <m:t>max</m:t>
        </m:r>
        <m:r>
          <m:rPr>
            <m:sty m:val="p"/>
          </m:rPr>
          <m:t>P</m:t>
        </m:r>
        <m:r>
          <m:rPr>
            <m:sty m:val="p"/>
          </m:rPr>
          <m:t>U</m:t>
        </m:r>
        <m:r>
          <m:rPr>
            <m:sty m:val="p"/>
          </m:rPr>
          <m:t>E</m:t>
        </m:r>
        <m:r>
          <m:rPr>
            <m:sty m:val="p"/>
          </m:rPr>
          <m:t>=</m:t>
        </m:r>
        <m:r>
          <m:t>1.0929484367370605</m:t>
        </m:r>
      </m:oMath>
      <w:r>
        <w:t xml:space="preserve"> </w:t>
      </w:r>
      <w:r>
        <w:t xml:space="preserve">and</w:t>
      </w:r>
      <w:r>
        <w:t xml:space="preserve"> </w:t>
      </w:r>
      <m:oMath>
        <m:r>
          <m:rPr>
            <m:sty m:val="p"/>
          </m:rPr>
          <m:t>max</m:t>
        </m:r>
        <m:r>
          <m:t>k</m:t>
        </m:r>
        <m:r>
          <m:rPr>
            <m:sty m:val="p"/>
          </m:rPr>
          <m:t>=</m:t>
        </m:r>
        <m:r>
          <m:t>1.639059066772461</m:t>
        </m:r>
      </m:oMath>
      <w:r>
        <w:t xml:space="preserve">. Rational evaluation of those stored values gives a coefficient below 2026.139589 US$/work; the outward value</w:t>
      </w:r>
      <w:r>
        <w:t xml:space="preserve"> </w:t>
      </w:r>
      <m:oMath>
        <m:r>
          <m:t>M</m:t>
        </m:r>
        <m:r>
          <m:rPr>
            <m:sty m:val="p"/>
          </m:rPr>
          <m:t>=</m:t>
        </m:r>
        <m:r>
          <m:t>2026.14</m:t>
        </m:r>
      </m:oMath>
      <w:r>
        <w:t xml:space="preserve"> </w:t>
      </w:r>
      <w:r>
        <w:t xml:space="preserve">is sufficient. If the reported prefix maxima</w:t>
      </w:r>
      <w:r>
        <w:t xml:space="preserve"> </w:t>
      </w:r>
      <m:oMath>
        <m:sSub>
          <m:e>
            <m:r>
              <m:t>ε</m:t>
            </m:r>
          </m:e>
          <m:sub>
            <m:r>
              <m:t>r</m:t>
            </m:r>
          </m:sub>
        </m:sSub>
        <m:r>
          <m:rPr>
            <m:sty m:val="p"/>
          </m:rPr>
          <m:t>=</m:t>
        </m:r>
        <m:r>
          <m:t>3.006750</m:t>
        </m:r>
        <m:r>
          <m:rPr>
            <m:sty m:val="p"/>
          </m:rPr>
          <m:t>×</m:t>
        </m:r>
        <m:sSup>
          <m:e>
            <m:r>
              <m:t>10</m:t>
            </m:r>
          </m:e>
          <m:sup>
            <m:r>
              <m:rPr>
                <m:sty m:val="p"/>
              </m:rPr>
              <m:t>−</m:t>
            </m:r>
            <m:r>
              <m:t>12</m:t>
            </m:r>
          </m:sup>
        </m:sSup>
      </m:oMath>
      <w:r>
        <w:t xml:space="preserve"> </w:t>
      </w:r>
      <w:r>
        <w:t xml:space="preserve">and</w:t>
      </w:r>
      <w:r>
        <w:t xml:space="preserve"> </w:t>
      </w:r>
      <m:oMath>
        <m:sSub>
          <m:e>
            <m:r>
              <m:t>ε</m:t>
            </m:r>
          </m:e>
          <m:sub>
            <m:r>
              <m:t>d</m:t>
            </m:r>
          </m:sub>
        </m:sSub>
        <m:r>
          <m:rPr>
            <m:sty m:val="p"/>
          </m:rPr>
          <m:t>=</m:t>
        </m:r>
        <m:r>
          <m:t>6.381505</m:t>
        </m:r>
        <m:r>
          <m:rPr>
            <m:sty m:val="p"/>
          </m:rPr>
          <m:t>×</m:t>
        </m:r>
        <m:sSup>
          <m:e>
            <m:r>
              <m:t>10</m:t>
            </m:r>
          </m:e>
          <m:sup>
            <m:r>
              <m:rPr>
                <m:sty m:val="p"/>
              </m:rPr>
              <m:t>−</m:t>
            </m:r>
            <m:r>
              <m:t>12</m:t>
            </m:r>
          </m:sup>
        </m:sSup>
      </m:oMath>
      <w:r>
        <w:t xml:space="preserve"> </w:t>
      </w:r>
      <w:r>
        <w:t xml:space="preserve">are independently confirmed as exact bounds, including endpoints, then</w:t>
      </w:r>
    </w:p>
    <w:p>
      <w:pPr>
        <w:keepLines/>
        <w:widowControl/>
        <w:spacing w:after="120" w:before="80"/>
        <w:jc w:val="center"/>
      </w:pPr>
      <m:oMathPara>
        <m:oMathParaPr>
          <m:jc m:val="center"/>
        </m:oMathParaPr>
        <m:oMath>
          <m:nary>
            <m:naryPr>
              <m:chr m:val="∑"/>
              <m:limLoc m:val="undOvr"/>
              <m:subHide m:val="off"/>
              <m:supHide m:val="on"/>
            </m:naryPr>
            <m:sub>
              <m:r>
                <m:t>z</m:t>
              </m:r>
              <m:r>
                <m:rPr>
                  <m:sty m:val="p"/>
                </m:rPr>
                <m:t>,</m:t>
              </m:r>
              <m:r>
                <m:t>t</m:t>
              </m:r>
            </m:sub>
            <m:sup>
              <m:r>
                <m:t>​</m:t>
              </m:r>
            </m:sup>
            <m:e>
              <m:r>
                <m:rPr>
                  <m:sty m:val="p"/>
                </m:rPr>
                <m:t>|</m:t>
              </m:r>
              <m:r>
                <m:t>Δ</m:t>
              </m:r>
              <m:sSub>
                <m:e>
                  <m:r>
                    <m:t>x</m:t>
                  </m:r>
                </m:e>
                <m:sub>
                  <m:r>
                    <m:t>z</m:t>
                  </m:r>
                  <m:r>
                    <m:t>t</m:t>
                  </m:r>
                </m:sub>
              </m:sSub>
              <m:r>
                <m:rPr>
                  <m:sty m:val="p"/>
                </m:rPr>
                <m:t>|</m:t>
              </m:r>
            </m:e>
          </m:nary>
          <m:r>
            <m:rPr>
              <m:sty m:val="p"/>
            </m:rPr>
            <m:t>≤</m:t>
          </m:r>
          <m:r>
            <m:t>4</m:t>
          </m:r>
          <m:d>
            <m:dPr>
              <m:begChr m:val="("/>
              <m:endChr m:val=")"/>
              <m:sepChr m:val=""/>
              <m:grow/>
            </m:dPr>
            <m:e>
              <m:r>
                <m:t>35040</m:t>
              </m:r>
            </m:e>
          </m:d>
          <m:d>
            <m:dPr>
              <m:begChr m:val="("/>
              <m:endChr m:val=")"/>
              <m:sepChr m:val=""/>
              <m:grow/>
            </m:dPr>
            <m:e>
              <m:sSub>
                <m:e>
                  <m:r>
                    <m:t>ε</m:t>
                  </m:r>
                </m:e>
                <m:sub>
                  <m:r>
                    <m:t>r</m:t>
                  </m:r>
                </m:sub>
              </m:sSub>
              <m:r>
                <m:rPr>
                  <m:sty m:val="p"/>
                </m:rPr>
                <m:t>+</m:t>
              </m:r>
              <m:sSub>
                <m:e>
                  <m:r>
                    <m:t>ε</m:t>
                  </m:r>
                </m:e>
                <m:sub>
                  <m:r>
                    <m:t>d</m:t>
                  </m:r>
                </m:sub>
              </m:sSub>
            </m:e>
          </m:d>
          <m:r>
            <m:rPr>
              <m:sty m:val="p"/>
            </m:rPr>
            <m:t>=</m:t>
          </m:r>
          <m:r>
            <m:t>1.3158578208</m:t>
          </m:r>
          <m:r>
            <m:rPr>
              <m:sty m:val="p"/>
            </m:rPr>
            <m:t>×</m:t>
          </m:r>
          <m:sSup>
            <m:e>
              <m:r>
                <m:t>10</m:t>
              </m:r>
            </m:e>
            <m:sup>
              <m:r>
                <m:rPr>
                  <m:sty m:val="p"/>
                </m:rPr>
                <m:t>−</m:t>
              </m:r>
              <m:r>
                <m:t>6</m:t>
              </m:r>
            </m:sup>
          </m:sSup>
          <m:r>
            <m:rPr>
              <m:sty m:val="p"/>
            </m:rPr>
            <m:t>.</m:t>
          </m:r>
          <m:r>
            <m:t>  </m:t>
          </m:r>
          <m:r>
            <m:rPr>
              <m:nor/>
              <m:sty m:val="p"/>
            </m:rPr>
            <m:t>(S20.7)</m:t>
          </m:r>
        </m:oMath>
      </m:oMathPara>
    </w:p>
    <w:p>
      <w:pPr>
        <w:keepLines/>
        <w:widowControl/>
        <w:spacing w:after="120" w:before="80"/>
        <w:jc w:val="center"/>
      </w:pPr>
      <m:oMathPara>
        <m:oMathParaPr>
          <m:jc m:val="center"/>
        </m:oMathParaPr>
        <m:oMath>
          <m:sSubSup>
            <m:e>
              <m:r>
                <m:t>B</m:t>
              </m:r>
            </m:e>
            <m:sub>
              <m:r>
                <m:t>R</m:t>
              </m:r>
            </m:sub>
            <m:sup>
              <m:r>
                <m:rPr>
                  <m:sty m:val="p"/>
                </m:rPr>
                <m:t>e</m:t>
              </m:r>
              <m:r>
                <m:rPr>
                  <m:sty m:val="p"/>
                </m:rPr>
                <m:t>l</m:t>
              </m:r>
              <m:r>
                <m:rPr>
                  <m:sty m:val="p"/>
                </m:rPr>
                <m:t>e</m:t>
              </m:r>
              <m:r>
                <m:rPr>
                  <m:sty m:val="p"/>
                </m:rPr>
                <m:t>c</m:t>
              </m:r>
              <m:r>
                <m:rPr>
                  <m:sty m:val="p"/>
                </m:rPr>
                <m:t>t</m:t>
              </m:r>
              <m:r>
                <m:rPr>
                  <m:sty m:val="p"/>
                </m:rPr>
                <m:t>r</m:t>
              </m:r>
              <m:r>
                <m:rPr>
                  <m:sty m:val="p"/>
                </m:rPr>
                <m:t>i</m:t>
              </m:r>
              <m:r>
                <m:rPr>
                  <m:sty m:val="p"/>
                </m:rPr>
                <m:t>c</m:t>
              </m:r>
              <m:r>
                <m:rPr>
                  <m:sty m:val="p"/>
                </m:rPr>
                <m:t>i</m:t>
              </m:r>
              <m:r>
                <m:rPr>
                  <m:sty m:val="p"/>
                </m:rPr>
                <m:t>t</m:t>
              </m:r>
              <m:r>
                <m:rPr>
                  <m:sty m:val="p"/>
                </m:rPr>
                <m:t>y</m:t>
              </m:r>
            </m:sup>
          </m:sSubSup>
          <m:r>
            <m:rPr>
              <m:sty m:val="p"/>
            </m:rPr>
            <m:t>≤</m:t>
          </m:r>
          <m:r>
            <m:t>2026.14</m:t>
          </m:r>
          <m:d>
            <m:dPr>
              <m:begChr m:val="("/>
              <m:endChr m:val=")"/>
              <m:sepChr m:val=""/>
              <m:grow/>
            </m:dPr>
            <m:e>
              <m:r>
                <m:t>1.3158578208</m:t>
              </m:r>
              <m:r>
                <m:rPr>
                  <m:sty m:val="p"/>
                </m:rPr>
                <m:t>×</m:t>
              </m:r>
              <m:sSup>
                <m:e>
                  <m:r>
                    <m:t>10</m:t>
                  </m:r>
                </m:e>
                <m:sup>
                  <m:r>
                    <m:rPr>
                      <m:sty m:val="p"/>
                    </m:rPr>
                    <m:t>−</m:t>
                  </m:r>
                  <m:r>
                    <m:t>6</m:t>
                  </m:r>
                </m:sup>
              </m:sSup>
            </m:e>
          </m:d>
          <m:r>
            <m:rPr>
              <m:sty m:val="p"/>
            </m:rPr>
            <m:t>&lt;</m:t>
          </m:r>
          <m:r>
            <m:t>0.002667</m:t>
          </m:r>
          <m:r>
            <m:t> </m:t>
          </m:r>
          <m:r>
            <m:rPr>
              <m:sty m:val="p"/>
            </m:rPr>
            <m:t>U</m:t>
          </m:r>
          <m:r>
            <m:rPr>
              <m:sty m:val="p"/>
            </m:rPr>
            <m:t>S</m:t>
          </m:r>
          <m:r>
            <m:rPr>
              <m:sty m:val="p"/>
            </m:rPr>
            <m:t> </m:t>
          </m:r>
          <m:r>
            <m:rPr>
              <m:sty m:val="p"/>
            </m:rPr>
            <m:t>d</m:t>
          </m:r>
          <m:r>
            <m:rPr>
              <m:sty m:val="p"/>
            </m:rPr>
            <m:t>o</m:t>
          </m:r>
          <m:r>
            <m:rPr>
              <m:sty m:val="p"/>
            </m:rPr>
            <m:t>l</m:t>
          </m:r>
          <m:r>
            <m:rPr>
              <m:sty m:val="p"/>
            </m:rPr>
            <m:t>l</m:t>
          </m:r>
          <m:r>
            <m:rPr>
              <m:sty m:val="p"/>
            </m:rPr>
            <m:t>a</m:t>
          </m:r>
          <m:r>
            <m:rPr>
              <m:sty m:val="p"/>
            </m:rPr>
            <m:t>r</m:t>
          </m:r>
          <m:r>
            <m:rPr>
              <m:sty m:val="p"/>
            </m:rPr>
            <m:t>s</m:t>
          </m:r>
          <m:r>
            <m:rPr>
              <m:sty m:val="p"/>
            </m:rPr>
            <m:t>.</m:t>
          </m:r>
          <m:r>
            <m:t>  </m:t>
          </m:r>
          <m:r>
            <m:rPr>
              <m:nor/>
              <m:sty m:val="p"/>
            </m:rPr>
            <m:t>(S20.8)</m:t>
          </m:r>
        </m:oMath>
      </m:oMathPara>
    </w:p>
    <w:p>
      <w:pPr>
        <w:widowControl/>
        <w:spacing w:after="100"/>
      </w:pPr>
      <w:r>
        <w:t xml:space="preserve">This evaluates the theorem’s conditional budget; it does not report a reconstructed annual witness. Changed terminal liabilities and numerical cost evaluation require separate allowances. The available annual array contains policy and reference execution, physics and prices, but not the original admissions or the US$117,000.2387599464 hindsight assignment.</w:t>
      </w:r>
    </w:p>
    <w:p>
      <w:pPr>
        <w:widowControl/>
        <w:spacing w:after="100"/>
      </w:pPr>
      <w:r>
        <w:t xml:space="preserve">For the manuscript-reported raw witness and larger 12 h ceiling, the nominal difference is US$19,197.8179185550. Its claimed downward-cent floor of US$19,197.81 survives only when the total additional correction is at most US$0.0079185550. The same threshold applies to the reported 16→24 h floor. These are acceptance conditions for a repaired witness, not substitutes for the missing verification record.</w:t>
      </w:r>
    </w:p>
    <w:bookmarkEnd w:id="25"/>
    <w:bookmarkEnd w:id="26"/>
    <w:bookmarkStart w:id="30" w:name="X7a02b389383a646c3945a0dd49165668de838f8"/>
    <w:p>
      <w:pPr>
        <w:pStyle w:val="Heading1"/>
        <w:keepNext/>
        <w:widowControl/>
        <w:spacing w:after="100"/>
      </w:pPr>
      <w:r>
        <w:rPr>
          <w:color w:val="000000"/>
        </w:rPr>
        <w:t xml:space="preserve">S21 Original cost Lagrangian verification</w:t>
      </w:r>
    </w:p>
    <w:bookmarkStart w:id="27" w:name="full-cost-and-terminal-terms"/>
    <w:p>
      <w:pPr>
        <w:pStyle w:val="Heading2"/>
        <w:keepNext/>
        <w:widowControl/>
        <w:spacing w:after="100"/>
      </w:pPr>
      <w:r>
        <w:rPr>
          <w:color w:val="000000"/>
        </w:rPr>
        <w:t xml:space="preserve">Full cost and terminal terms</w:t>
      </w:r>
    </w:p>
    <w:p>
      <w:pPr>
        <w:widowControl/>
        <w:spacing w:after="100"/>
      </w:pPr>
      <w:r>
        <w:t xml:space="preserve">The first released certificate programme uses incremental segments of a lower convex cost envelope and end-of-slot backlog. It is already a convex-hull relaxation. The original realised slot cost, including the reference-dependent fee, is</w:t>
      </w:r>
    </w:p>
    <w:p>
      <w:pPr>
        <w:keepLines/>
        <w:widowControl/>
        <w:spacing w:after="120" w:before="80"/>
        <w:jc w:val="center"/>
      </w:pPr>
      <m:oMathPara>
        <m:oMathParaPr>
          <m:jc m:val="center"/>
        </m:oMathParaPr>
        <m:oMath>
          <m:sSub>
            <m:e>
              <m:r>
                <m:t>f</m:t>
              </m:r>
            </m:e>
            <m:sub>
              <m:r>
                <m:t>t</m:t>
              </m:r>
            </m:sub>
          </m:sSub>
          <m:d>
            <m:dPr>
              <m:begChr m:val="("/>
              <m:endChr m:val=")"/>
              <m:sepChr m:val=""/>
              <m:grow/>
            </m:dPr>
            <m:e>
              <m:r>
                <m:t>x</m:t>
              </m:r>
            </m:e>
          </m:d>
          <m:r>
            <m:rPr>
              <m:sty m:val="p"/>
            </m:rPr>
            <m:t>=</m:t>
          </m:r>
          <m:r>
            <m:t>Δ</m:t>
          </m:r>
          <m:r>
            <m:t>t</m:t>
          </m:r>
          <m:r>
            <m:rPr>
              <m:sty m:val="p"/>
            </m:rPr>
            <m:t>{</m:t>
          </m:r>
          <m:sSubSup>
            <m:e>
              <m:r>
                <m:t>p</m:t>
              </m:r>
            </m:e>
            <m:sub>
              <m:r>
                <m:t>t</m:t>
              </m:r>
            </m:sub>
            <m:sup>
              <m:r>
                <m:rPr>
                  <m:sty m:val="p"/>
                </m:rPr>
                <m:t>R</m:t>
              </m:r>
              <m:r>
                <m:rPr>
                  <m:sty m:val="p"/>
                </m:rPr>
                <m:t>T</m:t>
              </m:r>
            </m:sup>
          </m:sSubSup>
          <m:sSub>
            <m:e>
              <m:r>
                <m:t>G</m:t>
              </m:r>
            </m:e>
            <m:sub>
              <m:r>
                <m:t>t</m:t>
              </m:r>
            </m:sub>
          </m:sSub>
          <m:d>
            <m:dPr>
              <m:begChr m:val="("/>
              <m:endChr m:val=")"/>
              <m:sepChr m:val=""/>
              <m:grow/>
            </m:dPr>
            <m:e>
              <m:r>
                <m:t>x</m:t>
              </m:r>
            </m:e>
          </m:d>
          <m:r>
            <m:rPr>
              <m:sty m:val="p"/>
            </m:rPr>
            <m:t>+</m:t>
          </m:r>
          <m:sSub>
            <m:e>
              <m:r>
                <m:t>V</m:t>
              </m:r>
            </m:e>
            <m:sub>
              <m:r>
                <m:t>t</m:t>
              </m:r>
            </m:sub>
          </m:sSub>
          <m:d>
            <m:dPr>
              <m:begChr m:val="("/>
              <m:endChr m:val=")"/>
              <m:sepChr m:val=""/>
              <m:grow/>
            </m:dPr>
            <m:e>
              <m:r>
                <m:t>x</m:t>
              </m:r>
            </m:e>
          </m:d>
          <m:r>
            <m:rPr>
              <m:sty m:val="p"/>
            </m:rPr>
            <m:t>+</m:t>
          </m:r>
          <m:r>
            <m:rPr>
              <m:sty m:val="p"/>
            </m:rPr>
            <m:t>|</m:t>
          </m:r>
          <m:sSub>
            <m:e>
              <m:r>
                <m:t>G</m:t>
              </m:r>
            </m:e>
            <m:sub>
              <m:r>
                <m:t>t</m:t>
              </m:r>
            </m:sub>
          </m:sSub>
          <m:d>
            <m:dPr>
              <m:begChr m:val="("/>
              <m:endChr m:val=")"/>
              <m:sepChr m:val=""/>
              <m:grow/>
            </m:dPr>
            <m:e>
              <m:r>
                <m:t>x</m:t>
              </m:r>
            </m:e>
          </m:d>
          <m:r>
            <m:rPr>
              <m:sty m:val="p"/>
            </m:rPr>
            <m:t>−</m:t>
          </m:r>
          <m:sSubSup>
            <m:e>
              <m:r>
                <m:t>G</m:t>
              </m:r>
            </m:e>
            <m:sub>
              <m:r>
                <m:t>t</m:t>
              </m:r>
            </m:sub>
            <m:sup>
              <m:r>
                <m:t>0</m:t>
              </m:r>
            </m:sup>
          </m:sSubSup>
          <m:r>
            <m:rPr>
              <m:sty m:val="p"/>
            </m:rPr>
            <m:t>|</m:t>
          </m:r>
          <m:r>
            <m:rPr>
              <m:sty m:val="p"/>
            </m:rPr>
            <m:t>}</m:t>
          </m:r>
          <m:r>
            <m:rPr>
              <m:sty m:val="p"/>
            </m:rPr>
            <m:t>.</m:t>
          </m:r>
          <m:r>
            <m:t>  </m:t>
          </m:r>
          <m:r>
            <m:rPr>
              <m:nor/>
              <m:sty m:val="p"/>
            </m:rPr>
            <m:t>(S21.1)</m:t>
          </m:r>
        </m:oMath>
      </m:oMathPara>
    </w:p>
    <w:p>
      <w:pPr>
        <w:widowControl/>
        <w:spacing w:after="100"/>
      </w:pPr>
      <w:r>
        <w:t xml:space="preserve">For zero initial backlog and homogeneous duration</w:t>
      </w:r>
      <w:r>
        <w:t xml:space="preserve"> </w:t>
      </w:r>
      <m:oMath>
        <m:r>
          <m:t>D</m:t>
        </m:r>
      </m:oMath>
      <w:r>
        <w:t xml:space="preserve">, its balance and backlog box are</w:t>
      </w:r>
    </w:p>
    <w:p>
      <w:pPr>
        <w:keepLines/>
        <w:widowControl/>
        <w:spacing w:after="120" w:before="80"/>
        <w:jc w:val="center"/>
      </w:pPr>
      <m:oMathPara>
        <m:oMathParaPr>
          <m:jc m:val="center"/>
        </m:oMathParaPr>
        <m:oMath>
          <m:sSub>
            <m:e>
              <m:r>
                <m:t>x</m:t>
              </m:r>
            </m:e>
            <m:sub>
              <m:r>
                <m:t>t</m:t>
              </m:r>
            </m:sub>
          </m:sSub>
          <m:r>
            <m:rPr>
              <m:sty m:val="p"/>
            </m:rPr>
            <m:t>+</m:t>
          </m:r>
          <m:sSub>
            <m:e>
              <m:r>
                <m:t>q</m:t>
              </m:r>
            </m:e>
            <m:sub>
              <m:r>
                <m:t>t</m:t>
              </m:r>
            </m:sub>
          </m:sSub>
          <m:r>
            <m:rPr>
              <m:sty m:val="p"/>
            </m:rPr>
            <m:t>−</m:t>
          </m:r>
          <m:sSub>
            <m:e>
              <m:r>
                <m:t>q</m:t>
              </m:r>
            </m:e>
            <m:sub>
              <m:r>
                <m:t>t</m:t>
              </m:r>
              <m:r>
                <m:rPr>
                  <m:sty m:val="p"/>
                </m:rPr>
                <m:t>−</m:t>
              </m:r>
              <m:r>
                <m:t>1</m:t>
              </m:r>
            </m:sub>
          </m:sSub>
          <m:r>
            <m:rPr>
              <m:sty m:val="p"/>
            </m:rPr>
            <m:t>=</m:t>
          </m:r>
          <m:sSub>
            <m:e>
              <m:r>
                <m:t>a</m:t>
              </m:r>
            </m:e>
            <m:sub>
              <m:r>
                <m:t>t</m:t>
              </m:r>
            </m:sub>
          </m:sSub>
          <m:r>
            <m:rPr>
              <m:sty m:val="p"/>
            </m:rPr>
            <m:t>,</m:t>
          </m:r>
          <m:r>
            <m:t>  </m:t>
          </m:r>
          <m:r>
            <m:t>0</m:t>
          </m:r>
          <m:r>
            <m:rPr>
              <m:sty m:val="p"/>
            </m:rPr>
            <m:t>≤</m:t>
          </m:r>
          <m:sSub>
            <m:e>
              <m:r>
                <m:t>q</m:t>
              </m:r>
            </m:e>
            <m:sub>
              <m:r>
                <m:t>t</m:t>
              </m:r>
            </m:sub>
          </m:sSub>
          <m:r>
            <m:rPr>
              <m:sty m:val="p"/>
            </m:rPr>
            <m:t>≤</m:t>
          </m:r>
          <m:sSub>
            <m:e>
              <m:r>
                <m:t>Q</m:t>
              </m:r>
            </m:e>
            <m:sub>
              <m:r>
                <m:t>t</m:t>
              </m:r>
            </m:sub>
          </m:sSub>
          <m:r>
            <m:rPr>
              <m:sty m:val="p"/>
            </m:rPr>
            <m:t>=</m:t>
          </m:r>
          <m:sSub>
            <m:e>
              <m:r>
                <m:t>A</m:t>
              </m:r>
            </m:e>
            <m:sub>
              <m:r>
                <m:t>t</m:t>
              </m:r>
            </m:sub>
          </m:sSub>
          <m:r>
            <m:rPr>
              <m:sty m:val="p"/>
            </m:rPr>
            <m:t>−</m:t>
          </m:r>
          <m:sSub>
            <m:e>
              <m:r>
                <m:t>A</m:t>
              </m:r>
            </m:e>
            <m:sub>
              <m:r>
                <m:t>t</m:t>
              </m:r>
              <m:r>
                <m:rPr>
                  <m:sty m:val="p"/>
                </m:rPr>
                <m:t>−</m:t>
              </m:r>
              <m:r>
                <m:t>D</m:t>
              </m:r>
              <m:r>
                <m:rPr>
                  <m:sty m:val="p"/>
                </m:rPr>
                <m:t>+</m:t>
              </m:r>
              <m:r>
                <m:t>1</m:t>
              </m:r>
            </m:sub>
          </m:sSub>
          <m:r>
            <m:rPr>
              <m:sty m:val="p"/>
            </m:rPr>
            <m:t>.</m:t>
          </m:r>
          <m:r>
            <m:t>  </m:t>
          </m:r>
          <m:r>
            <m:rPr>
              <m:nor/>
              <m:sty m:val="p"/>
            </m:rPr>
            <m:t>(S21.2)</m:t>
          </m:r>
        </m:oMath>
      </m:oMathPara>
    </w:p>
    <w:p>
      <w:pPr>
        <w:widowControl/>
        <w:spacing w:after="100"/>
      </w:pPr>
      <w:r>
        <w:t xml:space="preserve">These equations use the inclusive end-slot convention of Eq. (S19.3). Initial backlog is incorporated into the first balance and its original deadline prefixes. Let</w:t>
      </w:r>
      <w:r>
        <w:t xml:space="preserve"> </w:t>
      </w:r>
      <m:oMath>
        <m:r>
          <m:t>N</m:t>
        </m:r>
      </m:oMath>
      <w:r>
        <w:t xml:space="preserve"> </w:t>
      </w:r>
      <w:r>
        <w:t xml:space="preserve">be the last modelled slot, set</w:t>
      </w:r>
      <w:r>
        <w:t xml:space="preserve"> </w:t>
      </w:r>
      <m:oMath>
        <m:sSub>
          <m:e>
            <m:r>
              <m:t>λ</m:t>
            </m:r>
          </m:e>
          <m:sub>
            <m:r>
              <m:t>N</m:t>
            </m:r>
            <m:r>
              <m:rPr>
                <m:sty m:val="p"/>
              </m:rPr>
              <m:t>+</m:t>
            </m:r>
            <m:r>
              <m:t>1</m:t>
            </m:r>
          </m:sub>
        </m:sSub>
        <m:r>
          <m:rPr>
            <m:sty m:val="p"/>
          </m:rPr>
          <m:t>=</m:t>
        </m:r>
        <m:r>
          <m:t>0</m:t>
        </m:r>
      </m:oMath>
      <w:r>
        <w:t xml:space="preserve">, and let</w:t>
      </w:r>
      <w:r>
        <w:t xml:space="preserve"> </w:t>
      </w:r>
      <m:oMath>
        <m:r>
          <m:t>τ</m:t>
        </m:r>
      </m:oMath>
      <w:r>
        <w:t xml:space="preserve"> </w:t>
      </w:r>
      <w:r>
        <w:t xml:space="preserve">be the common work-unit terminal price. With arbitrary equality multipliers,</w:t>
      </w:r>
    </w:p>
    <w:p>
      <w:pPr>
        <w:keepLines/>
        <w:widowControl/>
        <w:spacing w:after="120" w:before="80"/>
        <w:jc w:val="center"/>
      </w:pPr>
      <m:oMathPara>
        <m:oMathParaPr>
          <m:jc m:val="center"/>
        </m:oMathParaPr>
        <m:oMath>
          <m:sSub>
            <m:e>
              <m:r>
                <m:t>ϕ</m:t>
              </m:r>
            </m:e>
            <m:sub>
              <m:r>
                <m:t>t</m:t>
              </m:r>
            </m:sub>
          </m:sSub>
          <m:d>
            <m:dPr>
              <m:begChr m:val="("/>
              <m:endChr m:val=")"/>
              <m:sepChr m:val=""/>
              <m:grow/>
            </m:dPr>
            <m:e>
              <m:sSub>
                <m:e>
                  <m:r>
                    <m:t>λ</m:t>
                  </m:r>
                </m:e>
                <m:sub>
                  <m:r>
                    <m:t>t</m:t>
                  </m:r>
                </m:sub>
              </m:sSub>
            </m:e>
          </m:d>
          <m:r>
            <m:rPr>
              <m:sty m:val="p"/>
            </m:rPr>
            <m:t>=</m:t>
          </m:r>
          <m:limLow>
            <m:e>
              <m:r>
                <m:rPr>
                  <m:sty m:val="p"/>
                </m:rPr>
                <m:t>min</m:t>
              </m:r>
            </m:e>
            <m:lim>
              <m:r>
                <m:t>0</m:t>
              </m:r>
              <m:r>
                <m:rPr>
                  <m:sty m:val="p"/>
                </m:rPr>
                <m:t>≤</m:t>
              </m:r>
              <m:r>
                <m:t>x</m:t>
              </m:r>
              <m:r>
                <m:rPr>
                  <m:sty m:val="p"/>
                </m:rPr>
                <m:t>≤</m:t>
              </m:r>
              <m:sSub>
                <m:e>
                  <m:r>
                    <m:t>c</m:t>
                  </m:r>
                </m:e>
                <m:sub>
                  <m:r>
                    <m:t>t</m:t>
                  </m:r>
                </m:sub>
              </m:sSub>
            </m:lim>
          </m:limLow>
          <m:r>
            <m:rPr>
              <m:sty m:val="p"/>
            </m:rPr>
            <m:t>{</m:t>
          </m:r>
          <m:sSub>
            <m:e>
              <m:r>
                <m:t>f</m:t>
              </m:r>
            </m:e>
            <m:sub>
              <m:r>
                <m:t>t</m:t>
              </m:r>
            </m:sub>
          </m:sSub>
          <m:d>
            <m:dPr>
              <m:begChr m:val="("/>
              <m:endChr m:val=")"/>
              <m:sepChr m:val=""/>
              <m:grow/>
            </m:dPr>
            <m:e>
              <m:r>
                <m:t>x</m:t>
              </m:r>
            </m:e>
          </m:d>
          <m:r>
            <m:rPr>
              <m:sty m:val="p"/>
            </m:rPr>
            <m:t>−</m:t>
          </m:r>
          <m:sSub>
            <m:e>
              <m:r>
                <m:t>λ</m:t>
              </m:r>
            </m:e>
            <m:sub>
              <m:r>
                <m:t>t</m:t>
              </m:r>
            </m:sub>
          </m:sSub>
          <m:r>
            <m:t>x</m:t>
          </m:r>
          <m:r>
            <m:rPr>
              <m:sty m:val="p"/>
            </m:rPr>
            <m:t>}</m:t>
          </m:r>
          <m:r>
            <m:rPr>
              <m:sty m:val="p"/>
            </m:rPr>
            <m:t>,</m:t>
          </m:r>
          <m:r>
            <m:t> </m:t>
          </m:r>
          <m:sSub>
            <m:e>
              <m:r>
                <m:t>ψ</m:t>
              </m:r>
            </m:e>
            <m:sub>
              <m:r>
                <m:t>t</m:t>
              </m:r>
            </m:sub>
          </m:sSub>
          <m:r>
            <m:rPr>
              <m:sty m:val="p"/>
            </m:rPr>
            <m:t>=</m:t>
          </m:r>
          <m:sSub>
            <m:e>
              <m:r>
                <m:t>Q</m:t>
              </m:r>
            </m:e>
            <m:sub>
              <m:r>
                <m:t>t</m:t>
              </m:r>
            </m:sub>
          </m:sSub>
          <m:r>
            <m:rPr>
              <m:sty m:val="p"/>
            </m:rPr>
            <m:t>min</m:t>
          </m:r>
          <m:r>
            <m:rPr>
              <m:sty m:val="p"/>
            </m:rPr>
            <m:t>{</m:t>
          </m:r>
          <m:r>
            <m:t>0</m:t>
          </m:r>
          <m:r>
            <m:rPr>
              <m:sty m:val="p"/>
            </m:rPr>
            <m:t>,</m:t>
          </m:r>
          <m:sSub>
            <m:e>
              <m:r>
                <m:t>λ</m:t>
              </m:r>
            </m:e>
            <m:sub>
              <m:r>
                <m:t>t</m:t>
              </m:r>
              <m:r>
                <m:rPr>
                  <m:sty m:val="p"/>
                </m:rPr>
                <m:t>+</m:t>
              </m:r>
              <m:r>
                <m:t>1</m:t>
              </m:r>
            </m:sub>
          </m:sSub>
          <m:r>
            <m:rPr>
              <m:sty m:val="p"/>
            </m:rPr>
            <m:t>−</m:t>
          </m:r>
          <m:sSub>
            <m:e>
              <m:r>
                <m:t>λ</m:t>
              </m:r>
            </m:e>
            <m:sub>
              <m:r>
                <m:t>t</m:t>
              </m:r>
            </m:sub>
          </m:sSub>
          <m:r>
            <m:rPr>
              <m:sty m:val="p"/>
            </m:rPr>
            <m:t>+</m:t>
          </m:r>
          <m:r>
            <m:t>τ</m:t>
          </m:r>
          <m:sSub>
            <m:e>
              <m:r>
                <m:rPr>
                  <m:sty m:val="b"/>
                </m:rPr>
                <m:t>1</m:t>
              </m:r>
            </m:e>
            <m:sub>
              <m:r>
                <m:rPr>
                  <m:sty m:val="p"/>
                </m:rPr>
                <m:t>{</m:t>
              </m:r>
              <m:r>
                <m:t>t</m:t>
              </m:r>
              <m:r>
                <m:rPr>
                  <m:sty m:val="p"/>
                </m:rPr>
                <m:t>=</m:t>
              </m:r>
              <m:r>
                <m:t>N</m:t>
              </m:r>
              <m:r>
                <m:rPr>
                  <m:sty m:val="p"/>
                </m:rPr>
                <m:t>}</m:t>
              </m:r>
            </m:sub>
          </m:sSub>
          <m:r>
            <m:rPr>
              <m:sty m:val="p"/>
            </m:rPr>
            <m:t>}</m:t>
          </m:r>
          <m:r>
            <m:rPr>
              <m:sty m:val="p"/>
            </m:rPr>
            <m:t>.</m:t>
          </m:r>
          <m:r>
            <m:t>  </m:t>
          </m:r>
          <m:r>
            <m:rPr>
              <m:nor/>
              <m:sty m:val="p"/>
            </m:rPr>
            <m:t>(S21.3)</m:t>
          </m:r>
        </m:oMath>
      </m:oMathPara>
    </w:p>
    <w:p>
      <w:pPr>
        <w:keepLines/>
        <w:widowControl/>
        <w:spacing w:after="120" w:before="80"/>
        <w:jc w:val="center"/>
      </w:pPr>
      <m:oMathPara>
        <m:oMathParaPr>
          <m:jc m:val="center"/>
        </m:oMathParaPr>
        <m:oMath>
          <m:sSup>
            <m:e>
              <m:r>
                <m:t>L</m:t>
              </m:r>
            </m:e>
            <m:sup>
              <m:r>
                <m:rPr>
                  <m:sty m:val="p"/>
                </m:rPr>
                <m:t>L</m:t>
              </m:r>
              <m:r>
                <m:rPr>
                  <m:sty m:val="p"/>
                </m:rPr>
                <m:t>a</m:t>
              </m:r>
              <m:r>
                <m:rPr>
                  <m:sty m:val="p"/>
                </m:rPr>
                <m:t>g</m:t>
              </m:r>
            </m:sup>
          </m:sSup>
          <m:d>
            <m:dPr>
              <m:begChr m:val="("/>
              <m:endChr m:val=")"/>
              <m:sepChr m:val=""/>
              <m:grow/>
            </m:dPr>
            <m:e>
              <m:r>
                <m:t>λ</m:t>
              </m:r>
            </m:e>
          </m:d>
          <m:r>
            <m:rPr>
              <m:sty m:val="p"/>
            </m:rPr>
            <m:t>=</m:t>
          </m:r>
          <m:sSub>
            <m:e>
              <m:r>
                <m:t>C</m:t>
              </m:r>
            </m:e>
            <m:sub>
              <m:r>
                <m:rPr>
                  <m:sty m:val="p"/>
                </m:rPr>
                <m:t>c</m:t>
              </m:r>
              <m:r>
                <m:rPr>
                  <m:sty m:val="p"/>
                </m:rPr>
                <m:t>o</m:t>
              </m:r>
              <m:r>
                <m:rPr>
                  <m:sty m:val="p"/>
                </m:rPr>
                <m:t>m</m:t>
              </m:r>
              <m:r>
                <m:rPr>
                  <m:sty m:val="p"/>
                </m:rPr>
                <m:t>m</m:t>
              </m:r>
              <m:r>
                <m:rPr>
                  <m:sty m:val="p"/>
                </m:rPr>
                <m:t>o</m:t>
              </m:r>
              <m:r>
                <m:rPr>
                  <m:sty m:val="p"/>
                </m:rPr>
                <m:t>n</m:t>
              </m:r>
            </m:sub>
          </m:sSub>
          <m:r>
            <m:rPr>
              <m:sty m:val="p"/>
            </m:rPr>
            <m:t>+</m:t>
          </m:r>
          <m:nary>
            <m:naryPr>
              <m:chr m:val="∑"/>
              <m:limLoc m:val="undOvr"/>
              <m:subHide m:val="off"/>
              <m:supHide m:val="off"/>
            </m:naryPr>
            <m:sub>
              <m:r>
                <m:t>t</m:t>
              </m:r>
              <m:r>
                <m:rPr>
                  <m:sty m:val="p"/>
                </m:rPr>
                <m:t>=</m:t>
              </m:r>
              <m:r>
                <m:t>1</m:t>
              </m:r>
            </m:sub>
            <m:sup>
              <m:r>
                <m:t>N</m:t>
              </m:r>
            </m:sup>
            <m:e>
              <m:d>
                <m:dPr>
                  <m:begChr m:val="("/>
                  <m:endChr m:val=")"/>
                  <m:sepChr m:val=""/>
                  <m:grow/>
                </m:dPr>
                <m:e>
                  <m:sSub>
                    <m:e>
                      <m:r>
                        <m:t>λ</m:t>
                      </m:r>
                    </m:e>
                    <m:sub>
                      <m:r>
                        <m:t>t</m:t>
                      </m:r>
                    </m:sub>
                  </m:sSub>
                  <m:sSub>
                    <m:e>
                      <m:r>
                        <m:t>a</m:t>
                      </m:r>
                    </m:e>
                    <m:sub>
                      <m:r>
                        <m:t>t</m:t>
                      </m:r>
                    </m:sub>
                  </m:sSub>
                  <m:r>
                    <m:rPr>
                      <m:sty m:val="p"/>
                    </m:rPr>
                    <m:t>+</m:t>
                  </m:r>
                  <m:sSub>
                    <m:e>
                      <m:r>
                        <m:t>ϕ</m:t>
                      </m:r>
                    </m:e>
                    <m:sub>
                      <m:r>
                        <m:t>t</m:t>
                      </m:r>
                    </m:sub>
                  </m:sSub>
                  <m:d>
                    <m:dPr>
                      <m:begChr m:val="("/>
                      <m:endChr m:val=")"/>
                      <m:sepChr m:val=""/>
                      <m:grow/>
                    </m:dPr>
                    <m:e>
                      <m:sSub>
                        <m:e>
                          <m:r>
                            <m:t>λ</m:t>
                          </m:r>
                        </m:e>
                        <m:sub>
                          <m:r>
                            <m:t>t</m:t>
                          </m:r>
                        </m:sub>
                      </m:sSub>
                    </m:e>
                  </m:d>
                  <m:r>
                    <m:rPr>
                      <m:sty m:val="p"/>
                    </m:rPr>
                    <m:t>+</m:t>
                  </m:r>
                  <m:sSub>
                    <m:e>
                      <m:r>
                        <m:t>ψ</m:t>
                      </m:r>
                    </m:e>
                    <m:sub>
                      <m:r>
                        <m:t>t</m:t>
                      </m:r>
                    </m:sub>
                  </m:sSub>
                </m:e>
              </m:d>
            </m:e>
          </m:nary>
          <m:r>
            <m:rPr>
              <m:sty m:val="p"/>
            </m:rPr>
            <m:t>.</m:t>
          </m:r>
          <m:r>
            <m:t>  </m:t>
          </m:r>
          <m:r>
            <m:rPr>
              <m:nor/>
              <m:sty m:val="p"/>
            </m:rPr>
            <m:t>(S21.4)</m:t>
          </m:r>
        </m:oMath>
      </m:oMathPara>
    </w:p>
    <w:p>
      <w:pPr>
        <w:widowControl/>
        <w:spacing w:after="100"/>
      </w:pPr>
      <w:r>
        <w:t xml:space="preserve">An initial nonzero queue adds its fixed multiplier contribution. For a feasible balance, multiplier terms cancel. Independent minimisation over the service and backlog boxes can only reduce the Lagrangian, proving a cost lower bound. The terminal term must appear in the final backlog coefficient; omitting it changes the cost account.</w:t>
      </w:r>
    </w:p>
    <w:p>
      <w:pPr>
        <w:widowControl/>
        <w:spacing w:after="100"/>
      </w:pPr>
      <w:r>
        <w:t xml:space="preserve">The cost is continuous and affine between physical breakpoints. Its global scalar minimum is obtained by testing both box endpoints, the zero-import breakpoint, and every reference-import breakpoint within the box. Subtracting</w:t>
      </w:r>
      <w:r>
        <w:t xml:space="preserve"> </w:t>
      </w:r>
      <m:oMath>
        <m:sSub>
          <m:e>
            <m:r>
              <m:t>λ</m:t>
            </m:r>
          </m:e>
          <m:sub>
            <m:r>
              <m:t>t</m:t>
            </m:r>
          </m:sub>
        </m:sSub>
        <m:r>
          <m:t>x</m:t>
        </m:r>
      </m:oMath>
      <w:r>
        <w:t xml:space="preserve"> </w:t>
      </w:r>
      <w:r>
        <w:t xml:space="preserve">introduces no new breakpoints. This argument holds at negative prices and does not require the original slot cost to be convex. The supplied evaluator recomputes these minima from original physical inputs rather than trusting a floating-point hull.</w:t>
      </w:r>
    </w:p>
    <w:bookmarkEnd w:id="27"/>
    <w:bookmarkStart w:id="28" w:name="general-finite-box-certificate"/>
    <w:p>
      <w:pPr>
        <w:pStyle w:val="Heading2"/>
        <w:keepNext/>
        <w:widowControl/>
        <w:spacing w:after="100"/>
      </w:pPr>
      <w:r>
        <w:rPr>
          <w:color w:val="000000"/>
        </w:rPr>
        <w:t xml:space="preserve">General finite box certificate</w:t>
      </w:r>
    </w:p>
    <w:p>
      <w:pPr>
        <w:widowControl/>
        <w:spacing w:after="100"/>
      </w:pPr>
      <w:r>
        <w:t xml:space="preserve">For an outer programme with objective</w:t>
      </w:r>
      <w:r>
        <w:t xml:space="preserve"> </w:t>
      </w:r>
      <m:oMath>
        <m:sSub>
          <m:e>
            <m:r>
              <m:t>c</m:t>
            </m:r>
          </m:e>
          <m:sub>
            <m:r>
              <m:t>0</m:t>
            </m:r>
          </m:sub>
        </m:sSub>
        <m:r>
          <m:rPr>
            <m:sty m:val="p"/>
          </m:rPr>
          <m:t>+</m:t>
        </m:r>
        <m:sSup>
          <m:e>
            <m:r>
              <m:t>c</m:t>
            </m:r>
          </m:e>
          <m:sup>
            <m:r>
              <m:rPr>
                <m:sty m:val="p"/>
              </m:rPr>
              <m:t>⊤</m:t>
            </m:r>
          </m:sup>
        </m:sSup>
        <m:r>
          <m:t>y</m:t>
        </m:r>
      </m:oMath>
      <w:r>
        <w:t xml:space="preserve">, equalities</w:t>
      </w:r>
      <w:r>
        <w:t xml:space="preserve"> </w:t>
      </w:r>
      <m:oMath>
        <m:r>
          <m:t>A</m:t>
        </m:r>
        <m:r>
          <m:t>y</m:t>
        </m:r>
        <m:r>
          <m:rPr>
            <m:sty m:val="p"/>
          </m:rPr>
          <m:t>=</m:t>
        </m:r>
        <m:r>
          <m:t>b</m:t>
        </m:r>
      </m:oMath>
      <w:r>
        <w:t xml:space="preserve">, inequalities</w:t>
      </w:r>
      <w:r>
        <w:t xml:space="preserve"> </w:t>
      </w:r>
      <m:oMath>
        <m:r>
          <m:t>M</m:t>
        </m:r>
        <m:r>
          <m:t>y</m:t>
        </m:r>
        <m:r>
          <m:rPr>
            <m:sty m:val="p"/>
          </m:rPr>
          <m:t>≤</m:t>
        </m:r>
        <m:r>
          <m:t>h</m:t>
        </m:r>
      </m:oMath>
      <w:r>
        <w:t xml:space="preserve"> </w:t>
      </w:r>
      <w:r>
        <w:t xml:space="preserve">and finite bounds</w:t>
      </w:r>
      <w:r>
        <w:t xml:space="preserve"> </w:t>
      </w:r>
      <m:oMath>
        <m:r>
          <m:t>l</m:t>
        </m:r>
        <m:r>
          <m:rPr>
            <m:sty m:val="p"/>
          </m:rPr>
          <m:t>≤</m:t>
        </m:r>
        <m:r>
          <m:t>y</m:t>
        </m:r>
        <m:r>
          <m:rPr>
            <m:sty m:val="p"/>
          </m:rPr>
          <m:t>≤</m:t>
        </m:r>
        <m:r>
          <m:t>u</m:t>
        </m:r>
      </m:oMath>
      <w:r>
        <w:t xml:space="preserve">, take unrestricted</w:t>
      </w:r>
      <w:r>
        <w:t xml:space="preserve"> </w:t>
      </w:r>
      <m:oMath>
        <m:r>
          <m:t>λ</m:t>
        </m:r>
      </m:oMath>
      <w:r>
        <w:t xml:space="preserve"> </w:t>
      </w:r>
      <w:r>
        <w:t xml:space="preserve">and</w:t>
      </w:r>
      <w:r>
        <w:t xml:space="preserve"> </w:t>
      </w:r>
      <m:oMath>
        <m:r>
          <m:t>μ</m:t>
        </m:r>
        <m:r>
          <m:rPr>
            <m:sty m:val="p"/>
          </m:rPr>
          <m:t>≥</m:t>
        </m:r>
        <m:r>
          <m:t>0</m:t>
        </m:r>
      </m:oMath>
      <w:r>
        <w:t xml:space="preserve">. Define</w:t>
      </w:r>
    </w:p>
    <w:p>
      <w:pPr>
        <w:keepLines/>
        <w:widowControl/>
        <w:spacing w:after="120" w:before="80"/>
        <w:jc w:val="center"/>
      </w:pPr>
      <m:oMathPara>
        <m:oMathParaPr>
          <m:jc m:val="center"/>
        </m:oMathParaPr>
        <m:oMath>
          <m:r>
            <m:t>r</m:t>
          </m:r>
          <m:r>
            <m:rPr>
              <m:sty m:val="p"/>
            </m:rPr>
            <m:t>=</m:t>
          </m:r>
          <m:r>
            <m:t>c</m:t>
          </m:r>
          <m:r>
            <m:rPr>
              <m:sty m:val="p"/>
            </m:rPr>
            <m:t>−</m:t>
          </m:r>
          <m:sSup>
            <m:e>
              <m:r>
                <m:t>A</m:t>
              </m:r>
            </m:e>
            <m:sup>
              <m:r>
                <m:rPr>
                  <m:sty m:val="p"/>
                </m:rPr>
                <m:t>⊤</m:t>
              </m:r>
            </m:sup>
          </m:sSup>
          <m:r>
            <m:t>λ</m:t>
          </m:r>
          <m:r>
            <m:rPr>
              <m:sty m:val="p"/>
            </m:rPr>
            <m:t>+</m:t>
          </m:r>
          <m:sSup>
            <m:e>
              <m:r>
                <m:t>M</m:t>
              </m:r>
            </m:e>
            <m:sup>
              <m:r>
                <m:rPr>
                  <m:sty m:val="p"/>
                </m:rPr>
                <m:t>⊤</m:t>
              </m:r>
            </m:sup>
          </m:sSup>
          <m:r>
            <m:t>μ</m:t>
          </m:r>
          <m:r>
            <m:rPr>
              <m:sty m:val="p"/>
            </m:rPr>
            <m:t>,</m:t>
          </m:r>
          <m:r>
            <m:t>  </m:t>
          </m:r>
          <m:r>
            <m:t>L</m:t>
          </m:r>
          <m:r>
            <m:rPr>
              <m:sty m:val="p"/>
            </m:rPr>
            <m:t>=</m:t>
          </m:r>
          <m:sSub>
            <m:e>
              <m:r>
                <m:t>c</m:t>
              </m:r>
            </m:e>
            <m:sub>
              <m:r>
                <m:t>0</m:t>
              </m:r>
            </m:sub>
          </m:sSub>
          <m:r>
            <m:rPr>
              <m:sty m:val="p"/>
            </m:rPr>
            <m:t>+</m:t>
          </m:r>
          <m:sSup>
            <m:e>
              <m:r>
                <m:t>λ</m:t>
              </m:r>
            </m:e>
            <m:sup>
              <m:r>
                <m:rPr>
                  <m:sty m:val="p"/>
                </m:rPr>
                <m:t>⊤</m:t>
              </m:r>
            </m:sup>
          </m:sSup>
          <m:r>
            <m:t>b</m:t>
          </m:r>
          <m:r>
            <m:rPr>
              <m:sty m:val="p"/>
            </m:rPr>
            <m:t>−</m:t>
          </m:r>
          <m:sSup>
            <m:e>
              <m:r>
                <m:t>μ</m:t>
              </m:r>
            </m:e>
            <m:sup>
              <m:r>
                <m:rPr>
                  <m:sty m:val="p"/>
                </m:rPr>
                <m:t>⊤</m:t>
              </m:r>
            </m:sup>
          </m:sSup>
          <m:r>
            <m:t>h</m:t>
          </m:r>
          <m:r>
            <m:rPr>
              <m:sty m:val="p"/>
            </m:rPr>
            <m:t>+</m:t>
          </m:r>
          <m:nary>
            <m:naryPr>
              <m:chr m:val="∑"/>
              <m:limLoc m:val="undOvr"/>
              <m:subHide m:val="off"/>
              <m:supHide m:val="on"/>
            </m:naryPr>
            <m:sub>
              <m:r>
                <m:t>i</m:t>
              </m:r>
            </m:sub>
            <m:sup>
              <m:r>
                <m:t>​</m:t>
              </m:r>
            </m:sup>
            <m:e>
              <m:r>
                <m:rPr>
                  <m:sty m:val="p"/>
                </m:rPr>
                <m:t>min</m:t>
              </m:r>
            </m:e>
          </m:nary>
          <m:d>
            <m:dPr>
              <m:begChr m:val="("/>
              <m:endChr m:val=")"/>
              <m:sepChr m:val=""/>
              <m:grow/>
            </m:dPr>
            <m:e>
              <m:sSub>
                <m:e>
                  <m:r>
                    <m:t>l</m:t>
                  </m:r>
                </m:e>
                <m:sub>
                  <m:r>
                    <m:t>i</m:t>
                  </m:r>
                </m:sub>
              </m:sSub>
              <m:sSub>
                <m:e>
                  <m:r>
                    <m:t>r</m:t>
                  </m:r>
                </m:e>
                <m:sub>
                  <m:r>
                    <m:t>i</m:t>
                  </m:r>
                </m:sub>
              </m:sSub>
              <m:r>
                <m:rPr>
                  <m:sty m:val="p"/>
                </m:rPr>
                <m:t>,</m:t>
              </m:r>
              <m:sSub>
                <m:e>
                  <m:r>
                    <m:t>u</m:t>
                  </m:r>
                </m:e>
                <m:sub>
                  <m:r>
                    <m:t>i</m:t>
                  </m:r>
                </m:sub>
              </m:sSub>
              <m:sSub>
                <m:e>
                  <m:r>
                    <m:t>r</m:t>
                  </m:r>
                </m:e>
                <m:sub>
                  <m:r>
                    <m:t>i</m:t>
                  </m:r>
                </m:sub>
              </m:sSub>
            </m:e>
          </m:d>
          <m:r>
            <m:rPr>
              <m:sty m:val="p"/>
            </m:rPr>
            <m:t>.</m:t>
          </m:r>
          <m:r>
            <m:t>  </m:t>
          </m:r>
          <m:r>
            <m:rPr>
              <m:nor/>
              <m:sty m:val="p"/>
            </m:rPr>
            <m:t>(S21.5)</m:t>
          </m:r>
        </m:oMath>
      </m:oMathPara>
    </w:p>
    <w:p>
      <w:pPr>
        <w:widowControl/>
        <w:spacing w:after="100"/>
      </w:pPr>
      <w:r>
        <w:t xml:space="preserve">The equality term is</w:t>
      </w:r>
      <w:r>
        <w:t xml:space="preserve"> </w:t>
      </w:r>
      <m:oMath>
        <m:sSup>
          <m:e>
            <m:r>
              <m:t>λ</m:t>
            </m:r>
          </m:e>
          <m:sup>
            <m:r>
              <m:rPr>
                <m:sty m:val="p"/>
              </m:rPr>
              <m:t>⊤</m:t>
            </m:r>
          </m:sup>
        </m:sSup>
        <m:d>
          <m:dPr>
            <m:begChr m:val="("/>
            <m:endChr m:val=")"/>
            <m:sepChr m:val=""/>
            <m:grow/>
          </m:dPr>
          <m:e>
            <m:r>
              <m:t>b</m:t>
            </m:r>
            <m:r>
              <m:rPr>
                <m:sty m:val="p"/>
              </m:rPr>
              <m:t>−</m:t>
            </m:r>
            <m:r>
              <m:t>A</m:t>
            </m:r>
            <m:r>
              <m:t>y</m:t>
            </m:r>
          </m:e>
        </m:d>
      </m:oMath>
      <w:r>
        <w:t xml:space="preserve"> </w:t>
      </w:r>
      <w:r>
        <w:t xml:space="preserve">and the inequality term is</w:t>
      </w:r>
      <w:r>
        <w:t xml:space="preserve"> </w:t>
      </w:r>
      <m:oMath>
        <m:sSup>
          <m:e>
            <m:r>
              <m:t>μ</m:t>
            </m:r>
          </m:e>
          <m:sup>
            <m:r>
              <m:rPr>
                <m:sty m:val="p"/>
              </m:rPr>
              <m:t>⊤</m:t>
            </m:r>
          </m:sup>
        </m:sSup>
        <m:d>
          <m:dPr>
            <m:begChr m:val="("/>
            <m:endChr m:val=")"/>
            <m:sepChr m:val=""/>
            <m:grow/>
          </m:dPr>
          <m:e>
            <m:r>
              <m:t>M</m:t>
            </m:r>
            <m:r>
              <m:t>y</m:t>
            </m:r>
            <m:r>
              <m:rPr>
                <m:sty m:val="p"/>
              </m:rPr>
              <m:t>−</m:t>
            </m:r>
            <m:r>
              <m:t>h</m:t>
            </m:r>
          </m:e>
        </m:d>
        <m:r>
          <m:rPr>
            <m:sty m:val="p"/>
          </m:rPr>
          <m:t>≤</m:t>
        </m:r>
        <m:r>
          <m:t>0</m:t>
        </m:r>
      </m:oMath>
      <w:r>
        <w:t xml:space="preserve"> </w:t>
      </w:r>
      <w:r>
        <w:t xml:space="preserve">on the feasible set. Minimising that Lagrangian over its finite box proves Eq. (S21.5), corresponding to main-text Eqs. (4b)–(4c). Small stationarity errors are priced through the actual variable bounds. If inequality multipliers are clipped to their allowed sign, recompute the full expression; the old dual objective cannot be retained.</w:t>
      </w:r>
    </w:p>
    <w:p>
      <w:pPr>
        <w:widowControl/>
        <w:spacing w:after="100"/>
      </w:pPr>
      <w:r>
        <w:t xml:space="preserve">Transfer to the original contract additionally requires an embedding of every original feasible schedule and a relaxed objective nowhere above its original cost. Any proved coefficient, input or modelling allowance is subtracted from the cost bound. A minimisation subproblem’s feasible incumbent is an upper cost value and cannot replace a global lower bound.</w:t>
      </w:r>
    </w:p>
    <w:bookmarkEnd w:id="28"/>
    <w:bookmarkStart w:id="29" w:name="arithmetic-and-rounding"/>
    <w:p>
      <w:pPr>
        <w:pStyle w:val="Heading2"/>
        <w:keepNext/>
        <w:widowControl/>
        <w:spacing w:after="100"/>
      </w:pPr>
      <w:r>
        <w:rPr>
          <w:color w:val="000000"/>
        </w:rPr>
        <w:t xml:space="preserve">Arithmetic and rounding</w:t>
      </w:r>
    </w:p>
    <w:p>
      <w:pPr>
        <w:widowControl/>
        <w:spacing w:after="100"/>
      </w:pPr>
      <w:r>
        <w:t xml:space="preserve">The released annual programme constructs the hull and evaluates its dual in floating point, then uses</w:t>
      </w:r>
      <w:r>
        <w:t xml:space="preserve"> </w:t>
      </w:r>
      <m:oMath>
        <m:r>
          <m:rPr>
            <m:sty m:val="p"/>
          </m:rPr>
          <m:t>⌊</m:t>
        </m:r>
        <m:sSub>
          <m:e>
            <m:r>
              <m:t>L</m:t>
            </m:r>
          </m:e>
          <m:sub>
            <m:r>
              <m:t>z</m:t>
            </m:r>
          </m:sub>
        </m:sSub>
        <m:r>
          <m:rPr>
            <m:sty m:val="p"/>
          </m:rPr>
          <m:t>⌋</m:t>
        </m:r>
        <m:r>
          <m:rPr>
            <m:sty m:val="p"/>
          </m:rPr>
          <m:t>−</m:t>
        </m:r>
        <m:r>
          <m:t>1</m:t>
        </m:r>
      </m:oMath>
      <w:r>
        <w:t xml:space="preserve"> </w:t>
      </w:r>
      <w:r>
        <w:t xml:space="preserve">per site. The one-dollar reserve is an archived numerical convention; by itself it does not prove a bound on hull, coefficient or arithmetic error. The exact reference evaluator instead forms each scalar summand as a rational, rounds that complete term downward to a declared dollar quantum, and accumulates the resulting integers. For</w:t>
      </w:r>
      <w:r>
        <w:t xml:space="preserve"> </w:t>
      </w:r>
      <m:oMath>
        <m:r>
          <m:t>m</m:t>
        </m:r>
      </m:oMath>
      <w:r>
        <w:t xml:space="preserve"> </w:t>
      </w:r>
      <w:r>
        <w:t xml:space="preserve">terms and quantum</w:t>
      </w:r>
      <w:r>
        <w:t xml:space="preserve"> </w:t>
      </w:r>
      <m:oMath>
        <m:r>
          <m:t>δ</m:t>
        </m:r>
      </m:oMath>
      <w:r>
        <w:t xml:space="preserve">, the downward loss is less than</w:t>
      </w:r>
      <w:r>
        <w:t xml:space="preserve"> </w:t>
      </w:r>
      <m:oMath>
        <m:r>
          <m:t>m</m:t>
        </m:r>
        <m:r>
          <m:t>δ</m:t>
        </m:r>
      </m:oMath>
      <w:r>
        <w:t xml:space="preserve">.</w:t>
      </w:r>
    </w:p>
    <w:p>
      <w:pPr>
        <w:widowControl/>
        <w:spacing w:after="100"/>
      </w:pPr>
      <w:r>
        <w:t xml:space="preserve">At 35,040 intervals with three scalar terms per interval and</w:t>
      </w:r>
      <w:r>
        <w:t xml:space="preserve"> </w:t>
      </w:r>
      <m:oMath>
        <m:r>
          <m:t>δ</m:t>
        </m:r>
        <m:r>
          <m:rPr>
            <m:sty m:val="p"/>
          </m:rPr>
          <m:t>=</m:t>
        </m:r>
        <m:sSup>
          <m:e>
            <m:r>
              <m:t>10</m:t>
            </m:r>
          </m:e>
          <m:sup>
            <m:r>
              <m:rPr>
                <m:sty m:val="p"/>
              </m:rPr>
              <m:t>−</m:t>
            </m:r>
            <m:r>
              <m:t>12</m:t>
            </m:r>
          </m:sup>
        </m:sSup>
      </m:oMath>
      <w:r>
        <w:t xml:space="preserve"> </w:t>
      </w:r>
      <w:r>
        <w:t xml:space="preserve">dollars, the arithmetic loss is below US$0.00000010512 per site, before separate input or modelling allowances. This procedure avoids applying one-direction rounding indiscriminately to signed intermediate operations. It has been verified on small contracts; the unavailable original annual multiplier vectors prevent an annual application here.</w:t>
      </w:r>
    </w:p>
    <w:p>
      <w:pPr>
        <w:widowControl/>
        <w:spacing w:after="100"/>
      </w:pPr>
      <w:r>
        <w:t xml:space="preserve">Cost floors and witness floors round downward; savings ceilings round upward. Table 32 applies that presentation rule to the unrounded values reported in the manuscript. The full corrected bound and its evidence status must accompany each displayed amount.</w:t>
      </w:r>
    </w:p>
    <w:p>
      <w:pPr>
        <w:pStyle w:val="Caption"/>
        <w:keepNext/>
        <w:widowControl/>
        <w:spacing w:after="100" w:before="120"/>
      </w:pPr>
      <w:r>
        <w:t xml:space="preserve">Supplementary Table 32. Manuscript-reported 2025 savings ceilings displayed with conservative upward cent rounding. The independent assembly records and annual exact re-evaluations remain requirements in Table 36.</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080"/>
        <w:gridCol w:w="3024"/>
        <w:gridCol w:w="3024"/>
        <w:gridCol w:w="3096"/>
      </w:tblGrid>
      <w:tr>
        <w:trPr>
          <w:tblHeader w:val="true"/>
          <w:cantSplit/>
          <w:tblHeader/>
        </w:trPr>
        <w:tc>
          <w:tcPr>
            <w:tcW w:type="dxa" w:w="1080"/>
            <w:vAlign w:val="center"/>
            <w:shd w:fill="DCE6F1"/>
            <w:tcMar>
              <w:top w:w="70" w:type="dxa"/>
              <w:bottom w:w="70" w:type="dxa"/>
              <w:left w:w="85" w:type="dxa"/>
              <w:right w:w="85" w:type="dxa"/>
            </w:tcMar>
          </w:tcPr>
          <w:p>
            <w:pPr>
              <w:spacing w:after="0" w:before="0" w:line="245" w:lineRule="auto"/>
              <w:jc w:val="left"/>
            </w:pPr>
            <w:r>
              <w:rPr>
                <w:rFonts w:ascii="Times New Roman" w:hAnsi="Times New Roman"/>
                <w:b/>
                <w:color w:val="000000"/>
                <w:sz w:val="18"/>
              </w:rPr>
              <w:t xml:space="preserve">Right</w:t>
            </w:r>
          </w:p>
        </w:tc>
        <w:tc>
          <w:tcPr>
            <w:tcW w:type="dxa" w:w="3024"/>
            <w:vAlign w:val="center"/>
            <w:shd w:fill="DCE6F1"/>
            <w:tcMar>
              <w:top w:w="70" w:type="dxa"/>
              <w:bottom w:w="70" w:type="dxa"/>
              <w:left w:w="85" w:type="dxa"/>
              <w:right w:w="85" w:type="dxa"/>
            </w:tcMar>
          </w:tcPr>
          <w:p>
            <w:pPr>
              <w:spacing w:after="0" w:before="0" w:line="245" w:lineRule="auto"/>
              <w:jc w:val="right"/>
            </w:pPr>
            <w:r>
              <w:rPr>
                <w:rFonts w:ascii="Times New Roman" w:hAnsi="Times New Roman"/>
                <w:b/>
                <w:color w:val="000000"/>
                <w:sz w:val="18"/>
              </w:rPr>
              <w:t xml:space="preserve">Allocation Lagrangian US$</w:t>
            </w:r>
          </w:p>
        </w:tc>
        <w:tc>
          <w:tcPr>
            <w:tcW w:type="dxa" w:w="3024"/>
            <w:vAlign w:val="center"/>
            <w:shd w:fill="DCE6F1"/>
            <w:tcMar>
              <w:top w:w="70" w:type="dxa"/>
              <w:bottom w:w="70" w:type="dxa"/>
              <w:left w:w="85" w:type="dxa"/>
              <w:right w:w="85" w:type="dxa"/>
            </w:tcMar>
          </w:tcPr>
          <w:p>
            <w:pPr>
              <w:spacing w:after="0" w:before="0" w:line="245" w:lineRule="auto"/>
              <w:jc w:val="right"/>
            </w:pPr>
            <w:r>
              <w:rPr>
                <w:rFonts w:ascii="Times New Roman" w:hAnsi="Times New Roman"/>
                <w:b/>
                <w:color w:val="000000"/>
                <w:sz w:val="18"/>
              </w:rPr>
              <w:t xml:space="preserve">Independent epigraph US$</w:t>
            </w:r>
          </w:p>
        </w:tc>
        <w:tc>
          <w:tcPr>
            <w:tcW w:type="dxa" w:w="3096"/>
            <w:vAlign w:val="center"/>
            <w:shd w:fill="DCE6F1"/>
            <w:tcMar>
              <w:top w:w="70" w:type="dxa"/>
              <w:bottom w:w="70" w:type="dxa"/>
              <w:left w:w="85" w:type="dxa"/>
              <w:right w:w="85" w:type="dxa"/>
            </w:tcMar>
          </w:tcPr>
          <w:p>
            <w:pPr>
              <w:spacing w:after="0" w:before="0" w:line="245" w:lineRule="auto"/>
              <w:jc w:val="right"/>
            </w:pPr>
            <w:r>
              <w:rPr>
                <w:rFonts w:ascii="Times New Roman" w:hAnsi="Times New Roman"/>
                <w:b/>
                <w:color w:val="000000"/>
                <w:sz w:val="18"/>
              </w:rPr>
              <w:t xml:space="preserve">Combined ceiling US$</w:t>
            </w:r>
          </w:p>
        </w:tc>
      </w:tr>
      <w:tr>
        <w:trPr>
          <w:cantSplit/>
        </w:trPr>
        <w:tc>
          <w:tcPr>
            <w:tcW w:type="dxa" w:w="1080"/>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12 h</w:t>
            </w:r>
          </w:p>
        </w:tc>
        <w:tc>
          <w:tcPr>
            <w:tcW w:type="dxa" w:w="3024"/>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97,802.43</w:t>
            </w:r>
          </w:p>
        </w:tc>
        <w:tc>
          <w:tcPr>
            <w:tcW w:type="dxa" w:w="3024"/>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97,796.43</w:t>
            </w:r>
          </w:p>
        </w:tc>
        <w:tc>
          <w:tcPr>
            <w:tcW w:type="dxa" w:w="3096"/>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97,796.43</w:t>
            </w:r>
          </w:p>
        </w:tc>
      </w:tr>
      <w:tr>
        <w:trPr>
          <w:cantSplit/>
        </w:trPr>
        <w:tc>
          <w:tcPr>
            <w:tcW w:type="dxa" w:w="1080"/>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16 h</w:t>
            </w:r>
          </w:p>
        </w:tc>
        <w:tc>
          <w:tcPr>
            <w:tcW w:type="dxa" w:w="3024"/>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113,310.43</w:t>
            </w:r>
          </w:p>
        </w:tc>
        <w:tc>
          <w:tcPr>
            <w:tcW w:type="dxa" w:w="3024"/>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113,305.22</w:t>
            </w:r>
          </w:p>
        </w:tc>
        <w:tc>
          <w:tcPr>
            <w:tcW w:type="dxa" w:w="3096"/>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113,305.22</w:t>
            </w:r>
          </w:p>
        </w:tc>
      </w:tr>
      <w:tr>
        <w:trPr>
          <w:cantSplit/>
        </w:trPr>
        <w:tc>
          <w:tcPr>
            <w:tcW w:type="dxa" w:w="1080"/>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24 h</w:t>
            </w:r>
          </w:p>
        </w:tc>
        <w:tc>
          <w:tcPr>
            <w:tcW w:type="dxa" w:w="3024"/>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132,605.43</w:t>
            </w:r>
          </w:p>
        </w:tc>
        <w:tc>
          <w:tcPr>
            <w:tcW w:type="dxa" w:w="3024"/>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132,598.68</w:t>
            </w:r>
          </w:p>
        </w:tc>
        <w:tc>
          <w:tcPr>
            <w:tcW w:type="dxa" w:w="3096"/>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132,598.68</w:t>
            </w:r>
          </w:p>
        </w:tc>
      </w:tr>
    </w:tbl>
    <w:bookmarkEnd w:id="29"/>
    <w:bookmarkEnd w:id="30"/>
    <w:bookmarkStart w:id="31" w:name="X96c1c38365695a366e20b29fb5795d0dd09156e"/>
    <w:p>
      <w:pPr>
        <w:pStyle w:val="Heading1"/>
        <w:keepNext/>
        <w:widowControl/>
        <w:spacing w:after="100"/>
      </w:pPr>
      <w:r>
        <w:rPr>
          <w:color w:val="000000"/>
        </w:rPr>
        <w:t xml:space="preserve">S22 Independent cumulative epigraph certificate</w:t>
      </w:r>
    </w:p>
    <w:p>
      <w:pPr>
        <w:widowControl/>
        <w:spacing w:after="100"/>
      </w:pPr>
      <w:r>
        <w:t xml:space="preserve">The second implementation is assembled directly from the same immutable admissions, physical inputs and settlement specification. Its variables may comprise execution, cumulative service or backlog, and slot-cost epigraphs. It must reconstruct the release and deadline rows from the interval convention in S19, retain the shared capacity and use the identical terminal rule. Import or ramp constraints may be relaxed only by a stated outer-set construction.</w:t>
      </w:r>
    </w:p>
    <w:p>
      <w:pPr>
        <w:widowControl/>
        <w:spacing w:after="100"/>
      </w:pPr>
      <w:r>
        <w:t xml:space="preserve">For each slot, construct every supporting facet of the lower convex envelope on the declared service interval:</w:t>
      </w:r>
    </w:p>
    <w:p>
      <w:pPr>
        <w:keepLines/>
        <w:widowControl/>
        <w:spacing w:after="120" w:before="80"/>
        <w:jc w:val="center"/>
      </w:pPr>
      <m:oMathPara>
        <m:oMathParaPr>
          <m:jc m:val="center"/>
        </m:oMathParaPr>
        <m:oMath>
          <m:sSub>
            <m:e>
              <m:r>
                <m:t>η</m:t>
              </m:r>
            </m:e>
            <m:sub>
              <m:r>
                <m:t>t</m:t>
              </m:r>
            </m:sub>
          </m:sSub>
          <m:r>
            <m:rPr>
              <m:sty m:val="p"/>
            </m:rPr>
            <m:t>≥</m:t>
          </m:r>
          <m:sSub>
            <m:e>
              <m:r>
                <m:t>α</m:t>
              </m:r>
            </m:e>
            <m:sub>
              <m:r>
                <m:t>t</m:t>
              </m:r>
              <m:r>
                <m:t>j</m:t>
              </m:r>
            </m:sub>
          </m:sSub>
          <m:sSub>
            <m:e>
              <m:r>
                <m:t>x</m:t>
              </m:r>
            </m:e>
            <m:sub>
              <m:r>
                <m:t>t</m:t>
              </m:r>
            </m:sub>
          </m:sSub>
          <m:r>
            <m:rPr>
              <m:sty m:val="p"/>
            </m:rPr>
            <m:t>+</m:t>
          </m:r>
          <m:sSub>
            <m:e>
              <m:r>
                <m:t>β</m:t>
              </m:r>
            </m:e>
            <m:sub>
              <m:r>
                <m:t>t</m:t>
              </m:r>
              <m:r>
                <m:t>j</m:t>
              </m:r>
            </m:sub>
          </m:sSub>
          <m:r>
            <m:t> </m:t>
          </m:r>
          <m:r>
            <m:rPr>
              <m:nor/>
              <m:sty m:val="p"/>
            </m:rPr>
            <m:t>for every facet </m:t>
          </m:r>
          <m:r>
            <m:t>j</m:t>
          </m:r>
          <m:r>
            <m:rPr>
              <m:sty m:val="p"/>
            </m:rPr>
            <m:t>,</m:t>
          </m:r>
          <m:r>
            <m:t>  </m:t>
          </m:r>
          <m:sSub>
            <m:e>
              <m:bar>
                <m:barPr>
                  <m:pos m:val="bot"/>
                </m:barPr>
                <m:e>
                  <m:r>
                    <m:t>f</m:t>
                  </m:r>
                </m:e>
              </m:bar>
            </m:e>
            <m:sub>
              <m:r>
                <m:t>t</m:t>
              </m:r>
            </m:sub>
          </m:sSub>
          <m:d>
            <m:dPr>
              <m:begChr m:val="("/>
              <m:endChr m:val=")"/>
              <m:sepChr m:val=""/>
              <m:grow/>
            </m:dPr>
            <m:e>
              <m:r>
                <m:t>x</m:t>
              </m:r>
            </m:e>
          </m:d>
          <m:r>
            <m:rPr>
              <m:sty m:val="p"/>
            </m:rPr>
            <m:t>=</m:t>
          </m:r>
          <m:limLow>
            <m:e>
              <m:r>
                <m:rPr>
                  <m:sty m:val="p"/>
                </m:rPr>
                <m:t>max</m:t>
              </m:r>
            </m:e>
            <m:lim>
              <m:r>
                <m:t>j</m:t>
              </m:r>
            </m:lim>
          </m:limLow>
          <m:d>
            <m:dPr>
              <m:begChr m:val="("/>
              <m:endChr m:val=")"/>
              <m:sepChr m:val=""/>
              <m:grow/>
            </m:dPr>
            <m:e>
              <m:sSub>
                <m:e>
                  <m:r>
                    <m:t>α</m:t>
                  </m:r>
                </m:e>
                <m:sub>
                  <m:r>
                    <m:t>t</m:t>
                  </m:r>
                  <m:r>
                    <m:t>j</m:t>
                  </m:r>
                </m:sub>
              </m:sSub>
              <m:r>
                <m:t>x</m:t>
              </m:r>
              <m:r>
                <m:rPr>
                  <m:sty m:val="p"/>
                </m:rPr>
                <m:t>+</m:t>
              </m:r>
              <m:sSub>
                <m:e>
                  <m:r>
                    <m:t>β</m:t>
                  </m:r>
                </m:e>
                <m:sub>
                  <m:r>
                    <m:t>t</m:t>
                  </m:r>
                  <m:r>
                    <m:t>j</m:t>
                  </m:r>
                </m:sub>
              </m:sSub>
            </m:e>
          </m:d>
          <m:r>
            <m:rPr>
              <m:sty m:val="p"/>
            </m:rPr>
            <m:t>.</m:t>
          </m:r>
          <m:r>
            <m:t>  </m:t>
          </m:r>
          <m:r>
            <m:rPr>
              <m:nor/>
              <m:sty m:val="p"/>
            </m:rPr>
            <m:t>(S22.1)</m:t>
          </m:r>
        </m:oMath>
      </m:oMathPara>
    </w:p>
    <w:p>
      <w:pPr>
        <w:widowControl/>
        <w:spacing w:after="100"/>
      </w:pPr>
      <w:r>
        <w:t xml:space="preserve">Check each facet below the original</w:t>
      </w:r>
      <w:r>
        <w:t xml:space="preserve"> </w:t>
      </w:r>
      <m:oMath>
        <m:sSub>
          <m:e>
            <m:r>
              <m:t>f</m:t>
            </m:r>
          </m:e>
          <m:sub>
            <m:r>
              <m:t>t</m:t>
            </m:r>
          </m:sub>
        </m:sSub>
      </m:oMath>
      <w:r>
        <w:t xml:space="preserve"> </w:t>
      </w:r>
      <w:r>
        <w:t xml:space="preserve">at every original breakpoint and both domain endpoints. On an interval between consecutive breakpoints, the difference between a facet and the original cost is affine, so endpoint dominance proves dominance throughout that interval. This establishes</w:t>
      </w:r>
      <w:r>
        <w:t xml:space="preserve"> </w:t>
      </w:r>
      <m:oMath>
        <m:sSub>
          <m:e>
            <m:bar>
              <m:barPr>
                <m:pos m:val="bot"/>
              </m:barPr>
              <m:e>
                <m:r>
                  <m:t>f</m:t>
                </m:r>
              </m:e>
            </m:bar>
          </m:e>
          <m:sub>
            <m:r>
              <m:t>t</m:t>
            </m:r>
          </m:sub>
        </m:sSub>
        <m:d>
          <m:dPr>
            <m:begChr m:val="("/>
            <m:endChr m:val=")"/>
            <m:sepChr m:val=""/>
            <m:grow/>
          </m:dPr>
          <m:e>
            <m:r>
              <m:t>x</m:t>
            </m:r>
          </m:e>
        </m:d>
        <m:r>
          <m:rPr>
            <m:sty m:val="p"/>
          </m:rPr>
          <m:t>≤</m:t>
        </m:r>
        <m:sSub>
          <m:e>
            <m:r>
              <m:t>f</m:t>
            </m:r>
          </m:e>
          <m:sub>
            <m:r>
              <m:t>t</m:t>
            </m:r>
          </m:sub>
        </m:sSub>
        <m:d>
          <m:dPr>
            <m:begChr m:val="("/>
            <m:endChr m:val=")"/>
            <m:sepChr m:val=""/>
            <m:grow/>
          </m:dPr>
          <m:e>
            <m:r>
              <m:t>x</m:t>
            </m:r>
          </m:e>
        </m:d>
      </m:oMath>
      <w:r>
        <w:t xml:space="preserve"> </w:t>
      </w:r>
      <w:r>
        <w:t xml:space="preserve">over the whole domain, including all negative-price cases. Selected grid points are insufficient.</w:t>
      </w:r>
    </w:p>
    <w:p>
      <w:pPr>
        <w:widowControl/>
        <w:spacing w:after="100"/>
      </w:pPr>
      <w:r>
        <w:t xml:space="preserve">Finite epigraph bounds must preserve the embedding of every original feasible execution; excessively restrictive bounds can invalidate the certificate. An original schedule embeds by taking</w:t>
      </w:r>
      <w:r>
        <w:t xml:space="preserve"> </w:t>
      </w:r>
      <m:oMath>
        <m:sSub>
          <m:e>
            <m:r>
              <m:t>η</m:t>
            </m:r>
          </m:e>
          <m:sub>
            <m:r>
              <m:t>t</m:t>
            </m:r>
          </m:sub>
        </m:sSub>
        <m:r>
          <m:rPr>
            <m:sty m:val="p"/>
          </m:rPr>
          <m:t>=</m:t>
        </m:r>
        <m:sSub>
          <m:e>
            <m:r>
              <m:t>f</m:t>
            </m:r>
          </m:e>
          <m:sub>
            <m:r>
              <m:t>t</m:t>
            </m:r>
          </m:sub>
        </m:sSub>
        <m:d>
          <m:dPr>
            <m:begChr m:val="("/>
            <m:endChr m:val=")"/>
            <m:sepChr m:val=""/>
            <m:grow/>
          </m:dPr>
          <m:e>
            <m:sSub>
              <m:e>
                <m:r>
                  <m:t>x</m:t>
                </m:r>
              </m:e>
              <m:sub>
                <m:r>
                  <m:t>t</m:t>
                </m:r>
              </m:sub>
            </m:sSub>
          </m:e>
        </m:d>
      </m:oMath>
      <w:r>
        <w:t xml:space="preserve"> </w:t>
      </w:r>
      <w:r>
        <w:t xml:space="preserve">when those bounds permit it. With all rows and bounds recorded, sign-corrected multipliers are evaluated by Eq. (S21.5). Primal residuals, stationarity residuals and solver termination are retained as diagnostics; exact finite-box evaluation supplies the bound.</w:t>
      </w:r>
    </w:p>
    <w:p>
      <w:pPr>
        <w:widowControl/>
        <w:spacing w:after="100"/>
      </w:pPr>
      <w:r>
        <w:t xml:space="preserve">Incremental segments and supporting facets of the same complete lower convex envelope describe the same convex relaxation. Independent reconstruction is an implementation check. It does not, without a proved domain or envelope difference, establish a second unrelated mathematical relaxation. Differences in the reported corrected ceilings may reflect outward domain allowances, multiplier quality and rounding. All such differences must be reconciled against a common original contract and cost.</w:t>
      </w:r>
    </w:p>
    <w:p>
      <w:pPr>
        <w:widowControl/>
        <w:spacing w:after="100"/>
      </w:pPr>
      <w:r>
        <w:t xml:space="preserve">For independent site accounts, sum corrected site cost bounds and include common procurement charges once. Network-coupled sites require a joint construction or a proved relaxation of the coupling. Combining two valid cost floors gives</w:t>
      </w:r>
    </w:p>
    <w:p>
      <w:pPr>
        <w:keepLines/>
        <w:widowControl/>
        <w:spacing w:after="120" w:before="80"/>
        <w:jc w:val="center"/>
      </w:pPr>
      <m:oMathPara>
        <m:oMathParaPr>
          <m:jc m:val="center"/>
        </m:oMathParaPr>
        <m:oMath>
          <m:sSubSup>
            <m:e>
              <m:r>
                <m:t>U</m:t>
              </m:r>
            </m:e>
            <m:sub>
              <m:r>
                <m:t>A</m:t>
              </m:r>
            </m:sub>
            <m:sup>
              <m:r>
                <m:rPr>
                  <m:sty m:val="p"/>
                </m:rPr>
                <m:t>c</m:t>
              </m:r>
              <m:r>
                <m:rPr>
                  <m:sty m:val="p"/>
                </m:rPr>
                <m:t>o</m:t>
              </m:r>
              <m:r>
                <m:rPr>
                  <m:sty m:val="p"/>
                </m:rPr>
                <m:t>m</m:t>
              </m:r>
              <m:r>
                <m:rPr>
                  <m:sty m:val="p"/>
                </m:rPr>
                <m:t>b</m:t>
              </m:r>
            </m:sup>
          </m:sSubSup>
          <m:r>
            <m:rPr>
              <m:sty m:val="p"/>
            </m:rPr>
            <m:t>=</m:t>
          </m:r>
          <m:sSub>
            <m:e>
              <m:r>
                <m:t>C</m:t>
              </m:r>
            </m:e>
            <m:sub>
              <m:r>
                <m:t>0</m:t>
              </m:r>
            </m:sub>
          </m:sSub>
          <m:r>
            <m:rPr>
              <m:sty m:val="p"/>
            </m:rPr>
            <m:t>−</m:t>
          </m:r>
          <m:r>
            <m:rPr>
              <m:sty m:val="p"/>
            </m:rPr>
            <m:t>max</m:t>
          </m:r>
          <m:r>
            <m:rPr>
              <m:sty m:val="p"/>
            </m:rPr>
            <m:t>{</m:t>
          </m:r>
          <m:sSubSup>
            <m:e>
              <m:r>
                <m:t>L</m:t>
              </m:r>
            </m:e>
            <m:sub>
              <m:r>
                <m:t>A</m:t>
              </m:r>
            </m:sub>
            <m:sup>
              <m:r>
                <m:rPr>
                  <m:sty m:val="p"/>
                </m:rPr>
                <m:t>L</m:t>
              </m:r>
              <m:r>
                <m:rPr>
                  <m:sty m:val="p"/>
                </m:rPr>
                <m:t>a</m:t>
              </m:r>
              <m:r>
                <m:rPr>
                  <m:sty m:val="p"/>
                </m:rPr>
                <m:t>g</m:t>
              </m:r>
            </m:sup>
          </m:sSubSup>
          <m:r>
            <m:rPr>
              <m:sty m:val="p"/>
            </m:rPr>
            <m:t>,</m:t>
          </m:r>
          <m:sSubSup>
            <m:e>
              <m:r>
                <m:t>L</m:t>
              </m:r>
            </m:e>
            <m:sub>
              <m:r>
                <m:t>A</m:t>
              </m:r>
            </m:sub>
            <m:sup>
              <m:r>
                <m:rPr>
                  <m:sty m:val="p"/>
                </m:rPr>
                <m:t>c</m:t>
              </m:r>
              <m:r>
                <m:rPr>
                  <m:sty m:val="p"/>
                </m:rPr>
                <m:t>u</m:t>
              </m:r>
              <m:r>
                <m:rPr>
                  <m:sty m:val="p"/>
                </m:rPr>
                <m:t>t</m:t>
              </m:r>
            </m:sup>
          </m:sSubSup>
          <m:r>
            <m:rPr>
              <m:sty m:val="p"/>
            </m:rPr>
            <m:t>}</m:t>
          </m:r>
          <m:r>
            <m:rPr>
              <m:sty m:val="p"/>
            </m:rPr>
            <m:t>=</m:t>
          </m:r>
          <m:r>
            <m:rPr>
              <m:sty m:val="p"/>
            </m:rPr>
            <m:t>min</m:t>
          </m:r>
          <m:r>
            <m:rPr>
              <m:sty m:val="p"/>
            </m:rPr>
            <m:t>{</m:t>
          </m:r>
          <m:sSubSup>
            <m:e>
              <m:r>
                <m:t>U</m:t>
              </m:r>
            </m:e>
            <m:sub>
              <m:r>
                <m:t>A</m:t>
              </m:r>
            </m:sub>
            <m:sup>
              <m:r>
                <m:rPr>
                  <m:sty m:val="p"/>
                </m:rPr>
                <m:t>L</m:t>
              </m:r>
              <m:r>
                <m:rPr>
                  <m:sty m:val="p"/>
                </m:rPr>
                <m:t>a</m:t>
              </m:r>
              <m:r>
                <m:rPr>
                  <m:sty m:val="p"/>
                </m:rPr>
                <m:t>g</m:t>
              </m:r>
            </m:sup>
          </m:sSubSup>
          <m:r>
            <m:rPr>
              <m:sty m:val="p"/>
            </m:rPr>
            <m:t>,</m:t>
          </m:r>
          <m:sSubSup>
            <m:e>
              <m:r>
                <m:t>U</m:t>
              </m:r>
            </m:e>
            <m:sub>
              <m:r>
                <m:t>A</m:t>
              </m:r>
            </m:sub>
            <m:sup>
              <m:r>
                <m:rPr>
                  <m:sty m:val="p"/>
                </m:rPr>
                <m:t>c</m:t>
              </m:r>
              <m:r>
                <m:rPr>
                  <m:sty m:val="p"/>
                </m:rPr>
                <m:t>u</m:t>
              </m:r>
              <m:r>
                <m:rPr>
                  <m:sty m:val="p"/>
                </m:rPr>
                <m:t>t</m:t>
              </m:r>
            </m:sup>
          </m:sSubSup>
          <m:r>
            <m:rPr>
              <m:sty m:val="p"/>
            </m:rPr>
            <m:t>}</m:t>
          </m:r>
          <m:r>
            <m:rPr>
              <m:sty m:val="p"/>
            </m:rPr>
            <m:t>.</m:t>
          </m:r>
          <m:r>
            <m:t>  </m:t>
          </m:r>
          <m:r>
            <m:rPr>
              <m:nor/>
              <m:sty m:val="p"/>
            </m:rPr>
            <m:t>(S22.2)</m:t>
          </m:r>
        </m:oMath>
      </m:oMathPara>
    </w:p>
    <w:p>
      <w:pPr>
        <w:widowControl/>
        <w:spacing w:after="100"/>
      </w:pPr>
      <w:r>
        <w:t xml:space="preserve">An exactly feasible broader-rights witness exceeding this minimum proves exclusion using the tighter method. To claim that it exceeds both independently evaluated ceilings, require</w:t>
      </w:r>
      <w:r>
        <w:t xml:space="preserve"> </w:t>
      </w:r>
      <m:oMath>
        <m:sSubSup>
          <m:e>
            <m:r>
              <m:t>H</m:t>
            </m:r>
          </m:e>
          <m:sub>
            <m:r>
              <m:t>B</m:t>
            </m:r>
          </m:sub>
          <m:sup>
            <m:r>
              <m:rPr>
                <m:sty m:val="p"/>
              </m:rPr>
              <m:t>c</m:t>
            </m:r>
            <m:r>
              <m:rPr>
                <m:sty m:val="p"/>
              </m:rPr>
              <m:t>e</m:t>
            </m:r>
            <m:r>
              <m:rPr>
                <m:sty m:val="p"/>
              </m:rPr>
              <m:t>r</m:t>
            </m:r>
            <m:r>
              <m:rPr>
                <m:sty m:val="p"/>
              </m:rPr>
              <m:t>t</m:t>
            </m:r>
          </m:sup>
        </m:sSubSup>
        <m:r>
          <m:rPr>
            <m:sty m:val="p"/>
          </m:rPr>
          <m:t>&gt;</m:t>
        </m:r>
        <m:r>
          <m:rPr>
            <m:sty m:val="p"/>
          </m:rPr>
          <m:t>max</m:t>
        </m:r>
        <m:d>
          <m:dPr>
            <m:begChr m:val="("/>
            <m:endChr m:val=")"/>
            <m:sepChr m:val=""/>
            <m:grow/>
          </m:dPr>
          <m:e>
            <m:sSubSup>
              <m:e>
                <m:r>
                  <m:t>U</m:t>
                </m:r>
              </m:e>
              <m:sub>
                <m:r>
                  <m:t>A</m:t>
                </m:r>
              </m:sub>
              <m:sup>
                <m:r>
                  <m:rPr>
                    <m:sty m:val="p"/>
                  </m:rPr>
                  <m:t>L</m:t>
                </m:r>
                <m:r>
                  <m:rPr>
                    <m:sty m:val="p"/>
                  </m:rPr>
                  <m:t>a</m:t>
                </m:r>
                <m:r>
                  <m:rPr>
                    <m:sty m:val="p"/>
                  </m:rPr>
                  <m:t>g</m:t>
                </m:r>
              </m:sup>
            </m:sSubSup>
            <m:r>
              <m:rPr>
                <m:sty m:val="p"/>
              </m:rPr>
              <m:t>,</m:t>
            </m:r>
            <m:sSubSup>
              <m:e>
                <m:r>
                  <m:t>U</m:t>
                </m:r>
              </m:e>
              <m:sub>
                <m:r>
                  <m:t>A</m:t>
                </m:r>
              </m:sub>
              <m:sup>
                <m:r>
                  <m:rPr>
                    <m:sty m:val="p"/>
                  </m:rPr>
                  <m:t>c</m:t>
                </m:r>
                <m:r>
                  <m:rPr>
                    <m:sty m:val="p"/>
                  </m:rPr>
                  <m:t>u</m:t>
                </m:r>
                <m:r>
                  <m:rPr>
                    <m:sty m:val="p"/>
                  </m:rPr>
                  <m:t>t</m:t>
                </m:r>
              </m:sup>
            </m:sSubSup>
          </m:e>
        </m:d>
      </m:oMath>
      <w:r>
        <w:t xml:space="preserve">. Neither test turns a hindsight witness into an information-adapted policy. A retrospective outer set can bound all realised nonanticipative trajectories while the witness remains a perfect-information construction.</w:t>
      </w:r>
    </w:p>
    <w:bookmarkEnd w:id="31"/>
    <w:bookmarkStart w:id="35" w:name="Xd0eed2f9e9e1009e43dbeb45ac48dbc50656467"/>
    <w:p>
      <w:pPr>
        <w:pStyle w:val="Heading1"/>
        <w:keepNext/>
        <w:widowControl/>
        <w:spacing w:after="100"/>
      </w:pPr>
      <w:r>
        <w:rPr>
          <w:color w:val="000000"/>
        </w:rPr>
        <w:t xml:space="preserve">S23 Programme audit and independently reproduced accounts</w:t>
      </w:r>
    </w:p>
    <w:bookmarkStart w:id="32" w:name="X6061a158132aa2483149f5aada725c7ec6326b3"/>
    <w:p>
      <w:pPr>
        <w:pStyle w:val="Heading2"/>
        <w:keepNext/>
        <w:widowControl/>
        <w:spacing w:after="100"/>
      </w:pPr>
      <w:r>
        <w:rPr>
          <w:color w:val="000000"/>
        </w:rPr>
        <w:t xml:space="preserve">Contract implementations and boundary reconciliation</w:t>
      </w:r>
    </w:p>
    <w:p>
      <w:pPr>
        <w:widowControl/>
        <w:spacing w:after="100"/>
      </w:pPr>
      <w:r>
        <w:t xml:space="preserve">The source audit fixes repository commit 323c2084e7ee668ba512fb1e33dd56b8394b32d4 of executable-service-commitments-worldmoe. It distinguishes the historical implementation, newly specified exact verifiers, and reproduced scalar accounts. Table 33 identifies the contract-relevant checks; full paths and hashes accompany the verification package.</w:t>
      </w:r>
    </w:p>
    <w:p>
      <w:pPr>
        <w:pStyle w:val="Caption"/>
        <w:keepNext/>
        <w:widowControl/>
        <w:spacing w:after="100" w:before="120"/>
      </w:pPr>
      <w:r>
        <w:t xml:space="preserve">Supplementary Table 33. Original programme behaviour and the corresponding interpretation.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960"/>
        <w:gridCol w:w="3888"/>
      </w:tblGrid>
      <w:tr>
        <w:trPr>
          <w:tblHeader w:val="true"/>
          <w:cantSplit/>
          <w:tblHeader/>
        </w:trPr>
        <w:tc>
          <w:tcPr>
            <w:tcW w:type="dxa" w:w="2376"/>
            <w:vAlign w:val="center"/>
            <w:shd w:fill="DCE6F1"/>
            <w:tcMar>
              <w:top w:w="70" w:type="dxa"/>
              <w:bottom w:w="70" w:type="dxa"/>
              <w:left w:w="85" w:type="dxa"/>
              <w:right w:w="85" w:type="dxa"/>
            </w:tcMar>
          </w:tcPr>
          <w:p>
            <w:pPr>
              <w:spacing w:after="0" w:before="0" w:line="245" w:lineRule="auto"/>
              <w:jc w:val="left"/>
            </w:pPr>
            <w:r>
              <w:rPr>
                <w:rFonts w:ascii="Times New Roman" w:hAnsi="Times New Roman"/>
                <w:b/>
                <w:color w:val="000000"/>
                <w:sz w:val="18"/>
              </w:rPr>
              <w:t xml:space="preserve">Programme</w:t>
            </w:r>
          </w:p>
        </w:tc>
        <w:tc>
          <w:tcPr>
            <w:tcW w:type="dxa" w:w="3960"/>
            <w:vAlign w:val="center"/>
            <w:shd w:fill="DCE6F1"/>
            <w:tcMar>
              <w:top w:w="70" w:type="dxa"/>
              <w:bottom w:w="70" w:type="dxa"/>
              <w:left w:w="85" w:type="dxa"/>
              <w:right w:w="85" w:type="dxa"/>
            </w:tcMar>
          </w:tcPr>
          <w:p>
            <w:pPr>
              <w:spacing w:after="0" w:before="0" w:line="245" w:lineRule="auto"/>
              <w:jc w:val="left"/>
            </w:pPr>
            <w:r>
              <w:rPr>
                <w:rFonts w:ascii="Times New Roman" w:hAnsi="Times New Roman"/>
                <w:b/>
                <w:color w:val="000000"/>
                <w:sz w:val="18"/>
              </w:rPr>
              <w:t xml:space="preserve">Observed implementation</w:t>
            </w:r>
          </w:p>
        </w:tc>
        <w:tc>
          <w:tcPr>
            <w:tcW w:type="dxa" w:w="3888"/>
            <w:vAlign w:val="center"/>
            <w:shd w:fill="DCE6F1"/>
            <w:tcMar>
              <w:top w:w="70" w:type="dxa"/>
              <w:bottom w:w="70" w:type="dxa"/>
              <w:left w:w="85" w:type="dxa"/>
              <w:right w:w="85" w:type="dxa"/>
            </w:tcMar>
          </w:tcPr>
          <w:p>
            <w:pPr>
              <w:spacing w:after="0" w:before="0" w:line="245" w:lineRule="auto"/>
              <w:jc w:val="left"/>
            </w:pPr>
            <w:r>
              <w:rPr>
                <w:rFonts w:ascii="Times New Roman" w:hAnsi="Times New Roman"/>
                <w:b/>
                <w:color w:val="000000"/>
                <w:sz w:val="18"/>
              </w:rPr>
              <w:t xml:space="preserve">Required interpretation</w:t>
            </w:r>
          </w:p>
        </w:tc>
      </w:tr>
      <w:tr>
        <w:trPr>
          <w:cantSplit/>
        </w:trPr>
        <w:tc>
          <w:tcPr>
            <w:tcW w:type="dxa" w:w="2376"/>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run_service_window.py</w:t>
            </w:r>
          </w:p>
        </w:tc>
        <w:tc>
          <w:tcPr>
            <w:tcW w:type="dxa" w:w="3960"/>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Uses 4W−1 queue offsets and tightens dispatch deadlines at year end</w:t>
            </w:r>
          </w:p>
        </w:tc>
        <w:tc>
          <w:tcPr>
            <w:tcW w:type="dxa" w:w="3888"/>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Early-service heuristic; full-W rights remain the certifier’s domain</w:t>
            </w:r>
          </w:p>
        </w:tc>
      </w:tr>
      <w:tr>
        <w:trPr>
          <w:cantSplit/>
        </w:trPr>
        <w:tc>
          <w:tcPr>
            <w:tcW w:type="dxa" w:w="2376"/>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run_g4_window.py</w:t>
            </w:r>
          </w:p>
        </w:tc>
        <w:tc>
          <w:tcPr>
            <w:tcW w:type="dxa" w:w="3960"/>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Preserves 8/48 h queue windows and a 96-slot valuation horizon</w:t>
            </w:r>
          </w:p>
        </w:tc>
        <w:tc>
          <w:tcPr>
            <w:tcW w:type="dxa" w:w="3888"/>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Contract duration and forecast horizon are separate</w:t>
            </w:r>
          </w:p>
        </w:tc>
      </w:tr>
      <w:tr>
        <w:trPr>
          <w:cantSplit/>
        </w:trPr>
        <w:tc>
          <w:tcPr>
            <w:tcW w:type="dxa" w:w="2376"/>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run_mixed_deadlines.py and audit_hetero_book.py</w:t>
            </w:r>
          </w:p>
        </w:tc>
        <w:tc>
          <w:tcPr>
            <w:tcW w:type="dxa" w:w="3960"/>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Fixed 25/50/25 classes with EDF attribution through the extended book</w:t>
            </w:r>
          </w:p>
        </w:tc>
        <w:tc>
          <w:tcPr>
            <w:tcW w:type="dxa" w:w="3888"/>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Mixed-contract feasibility requires the class-specific audit</w:t>
            </w:r>
          </w:p>
        </w:tc>
      </w:tr>
      <w:tr>
        <w:trPr>
          <w:cantSplit/>
        </w:trPr>
        <w:tc>
          <w:tcPr>
            <w:tcW w:type="dxa" w:w="2376"/>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context.py and reservation.py</w:t>
            </w:r>
          </w:p>
        </w:tc>
        <w:tc>
          <w:tcPr>
            <w:tcW w:type="dxa" w:w="3960"/>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Complete FIFO audit checks extended deadlines; legacy late counter censors some tail misses</w:t>
            </w:r>
          </w:p>
        </w:tc>
        <w:tc>
          <w:tcPr>
            <w:tcW w:type="dxa" w:w="3888"/>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Use full deadlines, per-site conservation and retained initial cohorts</w:t>
            </w:r>
          </w:p>
        </w:tc>
      </w:tr>
      <w:tr>
        <w:trPr>
          <w:cantSplit/>
        </w:trPr>
        <w:tc>
          <w:tcPr>
            <w:tcW w:type="dxa" w:w="2376"/>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controllers.py project_grid</w:t>
            </w:r>
          </w:p>
        </w:tc>
        <w:tc>
          <w:tcPr>
            <w:tcW w:type="dxa" w:w="3960"/>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Archived current projection reads same-interval realised PV/PUE</w:t>
            </w:r>
          </w:p>
        </w:tc>
        <w:tc>
          <w:tcPr>
            <w:tcW w:type="dxa" w:w="3888"/>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Distinguish this experiment from an unrevealed-physics robust executor</w:t>
            </w:r>
          </w:p>
        </w:tc>
      </w:tr>
      <w:tr>
        <w:trPr>
          <w:cantSplit/>
        </w:trPr>
        <w:tc>
          <w:tcPr>
            <w:tcW w:type="dxa" w:w="2376"/>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run_frontier_jobs.py</w:t>
            </w:r>
          </w:p>
        </w:tc>
        <w:tc>
          <w:tcPr>
            <w:tcW w:type="dxa" w:w="3960"/>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Earliest feasible fallback can finish after the requested deadline</w:t>
            </w:r>
          </w:p>
        </w:tc>
        <w:tc>
          <w:tcPr>
            <w:tcW w:type="dxa" w:w="3888"/>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Classify the outcome by its actual completion time</w:t>
            </w:r>
          </w:p>
        </w:tc>
      </w:tr>
    </w:tbl>
    <w:p>
      <w:pPr>
        <w:widowControl/>
        <w:spacing w:after="100"/>
      </w:pPr>
      <w:r>
        <w:t xml:space="preserve">The old year-end clamp restricts the controller’s choices, so it can still produce a feasible schedule under the broader original right. It must not silently restrict the feasible set used for a contract-wide savings ceiling. The legacy reservation counter increments lateness only for deadlines inside the year; the independent full-deadline check detects tail misses. The exact verifier also checks conservation separately at each site, preventing cross-site cancellation.</w:t>
      </w:r>
    </w:p>
    <w:p>
      <w:pPr>
        <w:widowControl/>
        <w:spacing w:after="100"/>
      </w:pPr>
      <w:r>
        <w:t>The archived electrical projection reads current physical forcing before computing capacity, whereas the commitment-time rule in Eqs. (S28.6)–(S28.7) uses registered physical bounds and the previous completed import. The original supplementary stress values are retained as reported, but they do not by themselves verify the newly specified information boundary. Their corrected-run linkage requires the matching programme, inputs and trajectories. Idle-load infeasibility must be recorded even when computed service capacity is clipped to zero.</w:t>
      </w:r>
    </w:p>
    <w:p>
      <w:pPr>
        <w:widowControl/>
        <w:spacing w:after="100"/>
      </w:pPr>
      <w:r>
        <w:t xml:space="preserve">For Frontier, the archived 24/30/48 h summaries contain 1,764/27/0 late jobs and 41.051989/0.794196/0 IT MWh, respectively. The 24 h immediate reference itself has 1,744 late jobs and 38.052365 IT MWh. The 48 h nonpreemptive case saves US$60,673.0370 with no reported late jobs. Table 15 now uses these archived counts; the earlier author-supplied 30 h zero has no matching replacement run in the inspected source. The retained figure is a historical rendering and its 30 h zero does not override the reconciled table.</w:t>
      </w:r>
    </w:p>
    <w:bookmarkEnd w:id="32"/>
    <w:bookmarkStart w:id="33" w:name="X9b73389f33b6542cae165b567269bae0c905fb8"/>
    <w:p>
      <w:pPr>
        <w:pStyle w:val="Heading2"/>
        <w:keepNext/>
        <w:widowControl/>
        <w:spacing w:after="100"/>
      </w:pPr>
      <w:r>
        <w:rPr>
          <w:color w:val="000000"/>
        </w:rPr>
        <w:t xml:space="preserve">Independent re-settlement of released annual trajectories</w:t>
      </w:r>
    </w:p>
    <w:p>
      <w:pPr>
        <w:widowControl/>
        <w:spacing w:after="100"/>
      </w:pPr>
      <w:r>
        <w:t xml:space="preserve">The released grid_metrics_inputs_2025.npz contains the full 35,040×4 annual price, physical, reference and three policy arrays. Independently reconstructing imports and the original energy, curtailment and deviation-fee ledger gives Table 34. The file’s SHA-256 is 5be123c40f01b111cf6503b07882e703a4c2cc29a03dde3cfb7aa4321ce2cf72. These checks reproduce observed-year settlement before any terminal-cost difference; the source reports zero terminal differences for the nominal policies.</w:t>
      </w:r>
    </w:p>
    <w:p>
      <w:pPr>
        <w:pStyle w:val="Caption"/>
        <w:keepNext/>
        <w:widowControl/>
        <w:spacing w:after="100" w:before="120"/>
      </w:pPr>
      <w:r>
        <w:t xml:space="preserve">Supplementary Table 34. Independent observed-year wholesale re-settlement from released arrays. Values are US dollars; the common reference cost is 555,168.205055697.</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2736"/>
        <w:gridCol w:w="2736"/>
        <w:gridCol w:w="3312"/>
      </w:tblGrid>
      <w:tr>
        <w:trPr>
          <w:tblHeader w:val="true"/>
          <w:cantSplit/>
          <w:tblHeader/>
        </w:trPr>
        <w:tc>
          <w:tcPr>
            <w:tcW w:type="dxa" w:w="1440"/>
            <w:vAlign w:val="center"/>
            <w:shd w:fill="DCE6F1"/>
            <w:tcMar>
              <w:top w:w="70" w:type="dxa"/>
              <w:bottom w:w="70" w:type="dxa"/>
              <w:left w:w="85" w:type="dxa"/>
              <w:right w:w="85" w:type="dxa"/>
            </w:tcMar>
          </w:tcPr>
          <w:p>
            <w:pPr>
              <w:spacing w:after="0" w:before="0" w:line="245" w:lineRule="auto"/>
              <w:jc w:val="left"/>
            </w:pPr>
            <w:r>
              <w:rPr>
                <w:rFonts w:ascii="Times New Roman" w:hAnsi="Times New Roman"/>
                <w:b/>
                <w:color w:val="000000"/>
                <w:sz w:val="18"/>
              </w:rPr>
              <w:t xml:space="preserve">Seed</w:t>
            </w:r>
          </w:p>
        </w:tc>
        <w:tc>
          <w:tcPr>
            <w:tcW w:type="dxa" w:w="2736"/>
            <w:vAlign w:val="center"/>
            <w:shd w:fill="DCE6F1"/>
            <w:tcMar>
              <w:top w:w="70" w:type="dxa"/>
              <w:bottom w:w="70" w:type="dxa"/>
              <w:left w:w="85" w:type="dxa"/>
              <w:right w:w="85" w:type="dxa"/>
            </w:tcMar>
          </w:tcPr>
          <w:p>
            <w:pPr>
              <w:spacing w:after="0" w:before="0" w:line="245" w:lineRule="auto"/>
              <w:jc w:val="right"/>
            </w:pPr>
            <w:r>
              <w:rPr>
                <w:rFonts w:ascii="Times New Roman" w:hAnsi="Times New Roman"/>
                <w:b/>
                <w:color w:val="000000"/>
                <w:sz w:val="18"/>
              </w:rPr>
              <w:t xml:space="preserve">Avoided energy value</w:t>
            </w:r>
          </w:p>
        </w:tc>
        <w:tc>
          <w:tcPr>
            <w:tcW w:type="dxa" w:w="2736"/>
            <w:vAlign w:val="center"/>
            <w:shd w:fill="DCE6F1"/>
            <w:tcMar>
              <w:top w:w="70" w:type="dxa"/>
              <w:bottom w:w="70" w:type="dxa"/>
              <w:left w:w="85" w:type="dxa"/>
              <w:right w:w="85" w:type="dxa"/>
            </w:tcMar>
          </w:tcPr>
          <w:p>
            <w:pPr>
              <w:spacing w:after="0" w:before="0" w:line="245" w:lineRule="auto"/>
              <w:jc w:val="right"/>
            </w:pPr>
            <w:r>
              <w:rPr>
                <w:rFonts w:ascii="Times New Roman" w:hAnsi="Times New Roman"/>
                <w:b/>
                <w:color w:val="000000"/>
                <w:sz w:val="18"/>
              </w:rPr>
              <w:t xml:space="preserve">Recovery energy cost</w:t>
            </w:r>
          </w:p>
        </w:tc>
        <w:tc>
          <w:tcPr>
            <w:tcW w:type="dxa" w:w="3312"/>
            <w:vAlign w:val="center"/>
            <w:shd w:fill="DCE6F1"/>
            <w:tcMar>
              <w:top w:w="70" w:type="dxa"/>
              <w:bottom w:w="70" w:type="dxa"/>
              <w:left w:w="85" w:type="dxa"/>
              <w:right w:w="85" w:type="dxa"/>
            </w:tcMar>
          </w:tcPr>
          <w:p>
            <w:pPr>
              <w:spacing w:after="0" w:before="0" w:line="245" w:lineRule="auto"/>
              <w:jc w:val="right"/>
            </w:pPr>
            <w:r>
              <w:rPr>
                <w:rFonts w:ascii="Times New Roman" w:hAnsi="Times New Roman"/>
                <w:b/>
                <w:color w:val="000000"/>
                <w:sz w:val="18"/>
              </w:rPr>
              <w:t xml:space="preserve">Net saving before terminal difference</w:t>
            </w:r>
          </w:p>
        </w:tc>
      </w:tr>
      <w:tr>
        <w:trPr>
          <w:cantSplit/>
        </w:trPr>
        <w:tc>
          <w:tcPr>
            <w:tcW w:type="dxa" w:w="1440"/>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20260920</w:t>
            </w:r>
          </w:p>
        </w:tc>
        <w:tc>
          <w:tcPr>
            <w:tcW w:type="dxa" w:w="2736"/>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172,496.174057</w:t>
            </w:r>
          </w:p>
        </w:tc>
        <w:tc>
          <w:tcPr>
            <w:tcW w:type="dxa" w:w="2736"/>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64,667.755556</w:t>
            </w:r>
          </w:p>
        </w:tc>
        <w:tc>
          <w:tcPr>
            <w:tcW w:type="dxa" w:w="3312"/>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105,565.665462</w:t>
            </w:r>
          </w:p>
        </w:tc>
      </w:tr>
      <w:tr>
        <w:trPr>
          <w:cantSplit/>
        </w:trPr>
        <w:tc>
          <w:tcPr>
            <w:tcW w:type="dxa" w:w="1440"/>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20260921</w:t>
            </w:r>
          </w:p>
        </w:tc>
        <w:tc>
          <w:tcPr>
            <w:tcW w:type="dxa" w:w="2736"/>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172,557.408233</w:t>
            </w:r>
          </w:p>
        </w:tc>
        <w:tc>
          <w:tcPr>
            <w:tcW w:type="dxa" w:w="2736"/>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65,271.835060</w:t>
            </w:r>
          </w:p>
        </w:tc>
        <w:tc>
          <w:tcPr>
            <w:tcW w:type="dxa" w:w="3312"/>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105,003.517378</w:t>
            </w:r>
          </w:p>
        </w:tc>
      </w:tr>
      <w:tr>
        <w:trPr>
          <w:cantSplit/>
        </w:trPr>
        <w:tc>
          <w:tcPr>
            <w:tcW w:type="dxa" w:w="1440"/>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20260922</w:t>
            </w:r>
          </w:p>
        </w:tc>
        <w:tc>
          <w:tcPr>
            <w:tcW w:type="dxa" w:w="2736"/>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172,476.740375</w:t>
            </w:r>
          </w:p>
        </w:tc>
        <w:tc>
          <w:tcPr>
            <w:tcW w:type="dxa" w:w="2736"/>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64,975.857243</w:t>
            </w:r>
          </w:p>
        </w:tc>
        <w:tc>
          <w:tcPr>
            <w:tcW w:type="dxa" w:w="3312"/>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105,244.002685</w:t>
            </w:r>
          </w:p>
        </w:tc>
      </w:tr>
      <w:tr>
        <w:trPr>
          <w:cantSplit/>
        </w:trPr>
        <w:tc>
          <w:tcPr>
            <w:tcW w:type="dxa" w:w="1440"/>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Mean</w:t>
            </w:r>
          </w:p>
        </w:tc>
        <w:tc>
          <w:tcPr>
            <w:tcW w:type="dxa" w:w="2736"/>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172,510.107555</w:t>
            </w:r>
          </w:p>
        </w:tc>
        <w:tc>
          <w:tcPr>
            <w:tcW w:type="dxa" w:w="2736"/>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64,971.815953</w:t>
            </w:r>
          </w:p>
        </w:tc>
        <w:tc>
          <w:tcPr>
            <w:tcW w:type="dxa" w:w="3312"/>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105,271.061842</w:t>
            </w:r>
          </w:p>
        </w:tc>
      </w:tr>
    </w:tbl>
    <w:p>
      <w:pPr>
        <w:widowControl/>
        <w:spacing w:after="100"/>
      </w:pPr>
      <w:r>
        <w:t xml:space="preserve">The mean deviation fee is US$3,348.756768 and the mean curtailment benefit is US$1,081.527007. Their inclusion reproduces the US$105,271.06 reported saving. Import reduction of 1,013.960857 MWh equals curtailment reduction of 1,081.527007 MWh minus increased facility demand of 67.566150 MWh. The largest reconstructed-import discrepancy is below</w:t>
      </w:r>
      <w:r>
        <w:t xml:space="preserve"> </w:t>
      </w:r>
      <m:oMath>
        <m:r>
          <m:t>3.24</m:t>
        </m:r>
        <m:r>
          <m:rPr>
            <m:sty m:val="p"/>
          </m:rPr>
          <m:t>×</m:t>
        </m:r>
        <m:sSup>
          <m:e>
            <m:r>
              <m:t>10</m:t>
            </m:r>
          </m:e>
          <m:sup>
            <m:r>
              <m:rPr>
                <m:sty m:val="p"/>
              </m:rPr>
              <m:t>−</m:t>
            </m:r>
            <m:r>
              <m:t>16</m:t>
            </m:r>
          </m:sup>
        </m:sSup>
      </m:oMath>
      <w:r>
        <w:t xml:space="preserve"> </w:t>
      </w:r>
      <w:r>
        <w:t xml:space="preserve">MW. This is independent re-settlement of supplied trajectories, not training replay, a reconstructed admission/deadline audit or verification of the missing hindsight witness.</w:t>
      </w:r>
    </w:p>
    <w:bookmarkEnd w:id="33"/>
    <w:bookmarkStart w:id="34" w:name="published-certificate-scalar-checks"/>
    <w:p>
      <w:pPr>
        <w:pStyle w:val="Heading2"/>
        <w:keepNext/>
        <w:widowControl/>
        <w:spacing w:after="100"/>
      </w:pPr>
      <w:r>
        <w:rPr>
          <w:color w:val="000000"/>
        </w:rPr>
        <w:t xml:space="preserve">Published certificate scalar checks</w:t>
      </w:r>
    </w:p>
    <w:p>
      <w:pPr>
        <w:widowControl/>
        <w:spacing w:after="100"/>
      </w:pPr>
      <w:r>
        <w:t xml:space="preserve">The public certificate CSVs contain 48 site rows grouped into twelve four-site cases across two years, two traces and three rights. Every recorded site floor equals the archived rule floor(dual)−1. Reaggregating site values matches the published raw totals within</w:t>
      </w:r>
      <w:r>
        <w:t xml:space="preserve"> </w:t>
      </w:r>
      <m:oMath>
        <m:r>
          <m:t>6.5</m:t>
        </m:r>
        <m:r>
          <m:rPr>
            <m:sty m:val="p"/>
          </m:rPr>
          <m:t>×</m:t>
        </m:r>
        <m:sSup>
          <m:e>
            <m:r>
              <m:t>10</m:t>
            </m:r>
          </m:e>
          <m:sup>
            <m:r>
              <m:rPr>
                <m:sty m:val="p"/>
              </m:rPr>
              <m:t>−</m:t>
            </m:r>
            <m:r>
              <m:t>11</m:t>
            </m:r>
          </m:sup>
        </m:sSup>
      </m:oMath>
      <w:r>
        <w:t xml:space="preserve"> </w:t>
      </w:r>
      <w:r>
        <w:t xml:space="preserve">US dollars; subtracting group cost floors from reference costs matches reported ceilings within</w:t>
      </w:r>
      <w:r>
        <w:t xml:space="preserve"> </w:t>
      </w:r>
      <m:oMath>
        <m:r>
          <m:t>1</m:t>
        </m:r>
        <m:r>
          <m:rPr>
            <m:sty m:val="p"/>
          </m:rPr>
          <m:t>×</m:t>
        </m:r>
        <m:sSup>
          <m:e>
            <m:r>
              <m:t>10</m:t>
            </m:r>
          </m:e>
          <m:sup>
            <m:r>
              <m:rPr>
                <m:sty m:val="p"/>
              </m:rPr>
              <m:t>−</m:t>
            </m:r>
            <m:r>
              <m:t>11</m:t>
            </m:r>
          </m:sup>
        </m:sSup>
      </m:oMath>
      <w:r>
        <w:t xml:space="preserve"> </w:t>
      </w:r>
      <w:r>
        <w:t xml:space="preserve">US dollars. The common 2025 DA charge is US$2,409.7842143056 and is included once per four-site account.</w:t>
      </w:r>
    </w:p>
    <w:p>
      <w:pPr>
        <w:widowControl/>
        <w:spacing w:after="100"/>
      </w:pPr>
      <w:r>
        <w:t xml:space="preserve">These 48 summary rows must not be confused with the twelve 2025 Eagle site-contract certificates required for the independently assembled second formulation. Scalar consistency does not reconstruct their matrices, hull facets, multipliers or exact input-error allowances. The archived primal diagnostics accept nonzero residuals; the smallest reported original-cost-minus-relaxed-primal value is −US$0.00000287457. Exact original-cost evaluation and domain dominance, rather than that tolerance check, establish a rigorous lower bound.</w:t>
      </w:r>
    </w:p>
    <w:bookmarkEnd w:id="34"/>
    <w:bookmarkEnd w:id="35"/>
    <w:bookmarkStart w:id="36" w:name="X5ce89d5266ae9f3a543252c112b4ff335fe62d7"/>
    <w:p>
      <w:pPr>
        <w:pStyle w:val="Heading1"/>
        <w:keepNext/>
        <w:widowControl/>
        <w:spacing w:after="100"/>
      </w:pPr>
      <w:r>
        <w:rPr>
          <w:color w:val="000000"/>
        </w:rPr>
        <w:t xml:space="preserve">S24 Verification materials and reproduction scope</w:t>
      </w:r>
    </w:p>
    <w:p>
      <w:pPr>
        <w:widowControl/>
        <w:spacing w:after="100"/>
      </w:pPr>
      <w:r>
        <w:t xml:space="preserve">The verification package provides the exact homogeneous repair, original-cost Lagrangian evaluator, generic finite-box verifier, scalar reaggregation, source boundary tests and independent observed-year settlement. The accompanying manifest identifies the annual materials required for the twelve site-contract instances. Blank entries remain unresolved evidence fields, not successful checks.</w:t>
      </w:r>
    </w:p>
    <w:p>
      <w:pPr>
        <w:pStyle w:val="Caption"/>
        <w:keepNext/>
        <w:widowControl/>
        <w:spacing w:after="100" w:before="120"/>
      </w:pPr>
      <w:r>
        <w:t xml:space="preserve">Supplementary Table 35. Required 2025 Eagle site-contract instances. Each instance needs its own original-cost and independently assembled epigraph records.</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3096"/>
        <w:gridCol w:w="1008"/>
        <w:gridCol w:w="4392"/>
      </w:tblGrid>
      <w:tr>
        <w:trPr>
          <w:tblHeader w:val="true"/>
          <w:cantSplit/>
          <w:tblHeader/>
        </w:trPr>
        <w:tc>
          <w:tcPr>
            <w:tcW w:type="dxa" w:w="1728"/>
            <w:vAlign w:val="center"/>
            <w:shd w:fill="DCE6F1"/>
            <w:tcMar>
              <w:top w:w="70" w:type="dxa"/>
              <w:bottom w:w="70" w:type="dxa"/>
              <w:left w:w="85" w:type="dxa"/>
              <w:right w:w="85" w:type="dxa"/>
            </w:tcMar>
          </w:tcPr>
          <w:p>
            <w:pPr>
              <w:spacing w:after="0" w:before="0" w:line="245" w:lineRule="auto"/>
              <w:jc w:val="left"/>
            </w:pPr>
            <w:r>
              <w:rPr>
                <w:rFonts w:ascii="Times New Roman" w:hAnsi="Times New Roman"/>
                <w:b/>
                <w:color w:val="000000"/>
                <w:sz w:val="18"/>
              </w:rPr>
              <w:t xml:space="preserve">Contract</w:t>
            </w:r>
          </w:p>
        </w:tc>
        <w:tc>
          <w:tcPr>
            <w:tcW w:type="dxa" w:w="3096"/>
            <w:vAlign w:val="center"/>
            <w:shd w:fill="DCE6F1"/>
            <w:tcMar>
              <w:top w:w="70" w:type="dxa"/>
              <w:bottom w:w="70" w:type="dxa"/>
              <w:left w:w="85" w:type="dxa"/>
              <w:right w:w="85" w:type="dxa"/>
            </w:tcMar>
          </w:tcPr>
          <w:p>
            <w:pPr>
              <w:spacing w:after="0" w:before="0" w:line="245" w:lineRule="auto"/>
              <w:jc w:val="left"/>
            </w:pPr>
            <w:r>
              <w:rPr>
                <w:rFonts w:ascii="Times New Roman" w:hAnsi="Times New Roman"/>
                <w:b/>
                <w:color w:val="000000"/>
                <w:sz w:val="18"/>
              </w:rPr>
              <w:t xml:space="preserve">Sites</w:t>
            </w:r>
          </w:p>
        </w:tc>
        <w:tc>
          <w:tcPr>
            <w:tcW w:type="dxa" w:w="1008"/>
            <w:vAlign w:val="center"/>
            <w:shd w:fill="DCE6F1"/>
            <w:tcMar>
              <w:top w:w="70" w:type="dxa"/>
              <w:bottom w:w="70" w:type="dxa"/>
              <w:left w:w="85" w:type="dxa"/>
              <w:right w:w="85" w:type="dxa"/>
            </w:tcMar>
          </w:tcPr>
          <w:p>
            <w:pPr>
              <w:spacing w:after="0" w:before="0" w:line="245" w:lineRule="auto"/>
              <w:jc w:val="left"/>
            </w:pPr>
            <w:r>
              <w:rPr>
                <w:rFonts w:ascii="Times New Roman" w:hAnsi="Times New Roman"/>
                <w:b/>
                <w:color w:val="000000"/>
                <w:sz w:val="18"/>
              </w:rPr>
              <w:t xml:space="preserve">Instances</w:t>
            </w:r>
          </w:p>
        </w:tc>
        <w:tc>
          <w:tcPr>
            <w:tcW w:type="dxa" w:w="4392"/>
            <w:vAlign w:val="center"/>
            <w:shd w:fill="DCE6F1"/>
            <w:tcMar>
              <w:top w:w="70" w:type="dxa"/>
              <w:bottom w:w="70" w:type="dxa"/>
              <w:left w:w="85" w:type="dxa"/>
              <w:right w:w="85" w:type="dxa"/>
            </w:tcMar>
          </w:tcPr>
          <w:p>
            <w:pPr>
              <w:spacing w:after="0" w:before="0" w:line="245" w:lineRule="auto"/>
              <w:jc w:val="left"/>
            </w:pPr>
            <w:r>
              <w:rPr>
                <w:rFonts w:ascii="Times New Roman" w:hAnsi="Times New Roman"/>
                <w:b/>
                <w:color w:val="000000"/>
                <w:sz w:val="18"/>
              </w:rPr>
              <w:t xml:space="preserve">Common matched account</w:t>
            </w:r>
          </w:p>
        </w:tc>
      </w:tr>
      <w:tr>
        <w:trPr>
          <w:cantSplit/>
        </w:trPr>
        <w:tc>
          <w:tcPr>
            <w:tcW w:type="dxa" w:w="1728"/>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12 h, 48 slots</w:t>
            </w:r>
          </w:p>
        </w:tc>
        <w:tc>
          <w:tcPr>
            <w:tcW w:type="dxa" w:w="3096"/>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WEST, CAPITL, N.Y.C., LONGIL</w:t>
            </w:r>
          </w:p>
        </w:tc>
        <w:tc>
          <w:tcPr>
            <w:tcW w:type="dxa" w:w="1008"/>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4</w:t>
            </w:r>
          </w:p>
        </w:tc>
        <w:tc>
          <w:tcPr>
            <w:tcW w:type="dxa" w:w="4392"/>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Identical admissions, physics, reference and terminal rule</w:t>
            </w:r>
          </w:p>
        </w:tc>
      </w:tr>
      <w:tr>
        <w:trPr>
          <w:cantSplit/>
        </w:trPr>
        <w:tc>
          <w:tcPr>
            <w:tcW w:type="dxa" w:w="1728"/>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16 h, 64 slots</w:t>
            </w:r>
          </w:p>
        </w:tc>
        <w:tc>
          <w:tcPr>
            <w:tcW w:type="dxa" w:w="3096"/>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WEST, CAPITL, N.Y.C., LONGIL</w:t>
            </w:r>
          </w:p>
        </w:tc>
        <w:tc>
          <w:tcPr>
            <w:tcW w:type="dxa" w:w="1008"/>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4</w:t>
            </w:r>
          </w:p>
        </w:tc>
        <w:tc>
          <w:tcPr>
            <w:tcW w:type="dxa" w:w="4392"/>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Identical admissions, physics, reference and terminal rule</w:t>
            </w:r>
          </w:p>
        </w:tc>
      </w:tr>
      <w:tr>
        <w:trPr>
          <w:cantSplit/>
        </w:trPr>
        <w:tc>
          <w:tcPr>
            <w:tcW w:type="dxa" w:w="1728"/>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24 h, 96 slots</w:t>
            </w:r>
          </w:p>
        </w:tc>
        <w:tc>
          <w:tcPr>
            <w:tcW w:type="dxa" w:w="3096"/>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WEST, CAPITL, N.Y.C., LONGIL</w:t>
            </w:r>
          </w:p>
        </w:tc>
        <w:tc>
          <w:tcPr>
            <w:tcW w:type="dxa" w:w="1008"/>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4</w:t>
            </w:r>
          </w:p>
        </w:tc>
        <w:tc>
          <w:tcPr>
            <w:tcW w:type="dxa" w:w="4392"/>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Identical admissions, physics, reference and terminal rule</w:t>
            </w:r>
          </w:p>
        </w:tc>
      </w:tr>
    </w:tbl>
    <w:p>
      <w:pPr>
        <w:pStyle w:val="Caption"/>
        <w:keepNext/>
        <w:widowControl/>
        <w:spacing w:after="100" w:before="120"/>
      </w:pPr>
      <w:r>
        <w:t xml:space="preserve">Supplementary Table 36. Minimum records for a complete annual certificate and witness audit.</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4608"/>
        <w:gridCol w:w="3384"/>
      </w:tblGrid>
      <w:tr>
        <w:trPr>
          <w:tblHeader w:val="true"/>
          <w:cantSplit/>
          <w:tblHeader/>
        </w:trPr>
        <w:tc>
          <w:tcPr>
            <w:tcW w:type="dxa" w:w="2232"/>
            <w:vAlign w:val="center"/>
            <w:shd w:fill="DCE6F1"/>
            <w:tcMar>
              <w:top w:w="70" w:type="dxa"/>
              <w:bottom w:w="70" w:type="dxa"/>
              <w:left w:w="85" w:type="dxa"/>
              <w:right w:w="85" w:type="dxa"/>
            </w:tcMar>
          </w:tcPr>
          <w:p>
            <w:pPr>
              <w:spacing w:after="0" w:before="0" w:line="245" w:lineRule="auto"/>
              <w:jc w:val="left"/>
            </w:pPr>
            <w:r>
              <w:rPr>
                <w:rFonts w:ascii="Times New Roman" w:hAnsi="Times New Roman"/>
                <w:b/>
                <w:color w:val="000000"/>
                <w:sz w:val="18"/>
              </w:rPr>
              <w:t xml:space="preserve">Material</w:t>
            </w:r>
          </w:p>
        </w:tc>
        <w:tc>
          <w:tcPr>
            <w:tcW w:type="dxa" w:w="4608"/>
            <w:vAlign w:val="center"/>
            <w:shd w:fill="DCE6F1"/>
            <w:tcMar>
              <w:top w:w="70" w:type="dxa"/>
              <w:bottom w:w="70" w:type="dxa"/>
              <w:left w:w="85" w:type="dxa"/>
              <w:right w:w="85" w:type="dxa"/>
            </w:tcMar>
          </w:tcPr>
          <w:p>
            <w:pPr>
              <w:spacing w:after="0" w:before="0" w:line="245" w:lineRule="auto"/>
              <w:jc w:val="left"/>
            </w:pPr>
            <w:r>
              <w:rPr>
                <w:rFonts w:ascii="Times New Roman" w:hAnsi="Times New Roman"/>
                <w:b/>
                <w:color w:val="000000"/>
                <w:sz w:val="18"/>
              </w:rPr>
              <w:t xml:space="preserve">Minimum contents</w:t>
            </w:r>
          </w:p>
        </w:tc>
        <w:tc>
          <w:tcPr>
            <w:tcW w:type="dxa" w:w="3384"/>
            <w:vAlign w:val="center"/>
            <w:shd w:fill="DCE6F1"/>
            <w:tcMar>
              <w:top w:w="70" w:type="dxa"/>
              <w:bottom w:w="70" w:type="dxa"/>
              <w:left w:w="85" w:type="dxa"/>
              <w:right w:w="85" w:type="dxa"/>
            </w:tcMar>
          </w:tcPr>
          <w:p>
            <w:pPr>
              <w:spacing w:after="0" w:before="0" w:line="245" w:lineRule="auto"/>
              <w:jc w:val="left"/>
            </w:pPr>
            <w:r>
              <w:rPr>
                <w:rFonts w:ascii="Times New Roman" w:hAnsi="Times New Roman"/>
                <w:b/>
                <w:color w:val="000000"/>
                <w:sz w:val="18"/>
              </w:rPr>
              <w:t xml:space="preserve">Evidence status</w:t>
            </w:r>
          </w:p>
        </w:tc>
      </w:tr>
      <w:tr>
        <w:trPr>
          <w:cantSplit/>
        </w:trPr>
        <w:tc>
          <w:tcPr>
            <w:tcW w:type="dxa" w:w="2232"/>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Original contract inputs</w:t>
            </w:r>
          </w:p>
        </w:tc>
        <w:tc>
          <w:tcPr>
            <w:tcW w:type="dxa" w:w="4608"/>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Admissions, initial cohorts, capacities, physical data, reference, terminal rates, units and hashes</w:t>
            </w:r>
          </w:p>
        </w:tc>
        <w:tc>
          <w:tcPr>
            <w:tcW w:type="dxa" w:w="3384"/>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Annual physical/policy arrays available; original admissions and full recovery books absent</w:t>
            </w:r>
          </w:p>
        </w:tc>
      </w:tr>
      <w:tr>
        <w:trPr>
          <w:cantSplit/>
        </w:trPr>
        <w:tc>
          <w:tcPr>
            <w:tcW w:type="dxa" w:w="2232"/>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First formulation</w:t>
            </w:r>
          </w:p>
        </w:tc>
        <w:tc>
          <w:tcPr>
            <w:tcW w:type="dxa" w:w="4608"/>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Source hash, all multipliers, exact breakpoint minima and correction ledger</w:t>
            </w:r>
          </w:p>
        </w:tc>
        <w:tc>
          <w:tcPr>
            <w:tcW w:type="dxa" w:w="3384"/>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Source and scalar summaries available; annual multiplier records absent</w:t>
            </w:r>
          </w:p>
        </w:tc>
      </w:tr>
      <w:tr>
        <w:trPr>
          <w:cantSplit/>
        </w:trPr>
        <w:tc>
          <w:tcPr>
            <w:tcW w:type="dxa" w:w="2232"/>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Independent epigraph formulation</w:t>
            </w:r>
          </w:p>
        </w:tc>
        <w:tc>
          <w:tcPr>
            <w:tcW w:type="dxa" w:w="4608"/>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Separately assembled sparse rows, finite bounds, every facet and all dual multipliers</w:t>
            </w:r>
          </w:p>
        </w:tc>
        <w:tc>
          <w:tcPr>
            <w:tcW w:type="dxa" w:w="3384"/>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Manuscript reports summaries; twelve original NPZ certificates absent</w:t>
            </w:r>
          </w:p>
        </w:tc>
      </w:tr>
      <w:tr>
        <w:trPr>
          <w:cantSplit/>
        </w:trPr>
        <w:tc>
          <w:tcPr>
            <w:tcW w:type="dxa" w:w="2232"/>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Feasible broader-rights witness</w:t>
            </w:r>
          </w:p>
        </w:tc>
        <w:tc>
          <w:tcPr>
            <w:tcW w:type="dxa" w:w="4608"/>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Complete cohort assignment, recovery boundaries, exact residuals and original re-settlement</w:t>
            </w:r>
          </w:p>
        </w:tc>
        <w:tc>
          <w:tcPr>
            <w:tcW w:type="dxa" w:w="3384"/>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Raw saving and diagnostic maxima reported; original annual assignment absent</w:t>
            </w:r>
          </w:p>
        </w:tc>
      </w:tr>
      <w:tr>
        <w:trPr>
          <w:cantSplit/>
        </w:trPr>
        <w:tc>
          <w:tcPr>
            <w:tcW w:type="dxa" w:w="2232"/>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Exact reference verifiers</w:t>
            </w:r>
          </w:p>
        </w:tc>
        <w:tc>
          <w:tcPr>
            <w:tcW w:type="dxa" w:w="4608"/>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Arithmetic representation, test fixtures, outputs and error allowances</w:t>
            </w:r>
          </w:p>
        </w:tc>
        <w:tc>
          <w:tcPr>
            <w:tcW w:type="dxa" w:w="3384"/>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Supplied and tested on stated fixtures</w:t>
            </w:r>
          </w:p>
        </w:tc>
      </w:tr>
      <w:tr>
        <w:trPr>
          <w:cantSplit/>
        </w:trPr>
        <w:tc>
          <w:tcPr>
            <w:tcW w:type="dxa" w:w="2232"/>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Decision-time information</w:t>
            </w:r>
          </w:p>
        </w:tc>
        <w:tc>
          <w:tcPr>
            <w:tcW w:type="dxa" w:w="4608"/>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Immutable first releases, receipt and processing times, checkpoint and action hashes</w:t>
            </w:r>
          </w:p>
        </w:tc>
        <w:tc>
          <w:tcPr>
            <w:tcW w:type="dxa" w:w="3384"/>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Timing rules and fixed assets available; complete first-release replay not established</w:t>
            </w:r>
          </w:p>
        </w:tc>
      </w:tr>
    </w:tbl>
    <w:p>
      <w:pPr>
        <w:widowControl/>
        <w:spacing w:after="100"/>
      </w:pPr>
      <w:r>
        <w:t xml:space="preserve">The finite-box input schema records objective coefficients, equality and inequality matrices, right-hand sides, all finite variable bounds, and equality/inequality multipliers. The original-cost schema additionally records arrivals, capacity, RT prices, PV, PUE, idle load, work conversion, reference imports, terminal price and common charges. The repair schema accepts candidate execution, admissions, capacities, duration, initial cohort deadlines and the exact closing rule. Binary floats and decimal strings have explicitly different exact interpretations; the chosen interpretation is recorded with input hashes.</w:t>
      </w:r>
    </w:p>
    <w:p>
      <w:pPr>
        <w:pStyle w:val="Caption"/>
        <w:keepNext/>
        <w:widowControl/>
        <w:spacing w:after="100" w:before="120"/>
      </w:pPr>
      <w:r>
        <w:t xml:space="preserve">Supplementary Table 37. Verification procedures delivered with this revision and their scope.</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2448"/>
        <w:gridCol w:w="4608"/>
      </w:tblGrid>
      <w:tr>
        <w:trPr>
          <w:tblHeader w:val="true"/>
          <w:cantSplit/>
          <w:tblHeader/>
        </w:trPr>
        <w:tc>
          <w:tcPr>
            <w:tcW w:type="dxa" w:w="3168"/>
            <w:vAlign w:val="center"/>
            <w:shd w:fill="DCE6F1"/>
            <w:tcMar>
              <w:top w:w="70" w:type="dxa"/>
              <w:bottom w:w="70" w:type="dxa"/>
              <w:left w:w="85" w:type="dxa"/>
              <w:right w:w="85" w:type="dxa"/>
            </w:tcMar>
          </w:tcPr>
          <w:p>
            <w:pPr>
              <w:spacing w:after="0" w:before="0" w:line="245" w:lineRule="auto"/>
              <w:jc w:val="left"/>
            </w:pPr>
            <w:r>
              <w:rPr>
                <w:rFonts w:ascii="Times New Roman" w:hAnsi="Times New Roman"/>
                <w:b/>
                <w:color w:val="000000"/>
                <w:sz w:val="18"/>
              </w:rPr>
              <w:t xml:space="preserve">Procedure</w:t>
            </w:r>
          </w:p>
        </w:tc>
        <w:tc>
          <w:tcPr>
            <w:tcW w:type="dxa" w:w="2448"/>
            <w:vAlign w:val="center"/>
            <w:shd w:fill="DCE6F1"/>
            <w:tcMar>
              <w:top w:w="70" w:type="dxa"/>
              <w:bottom w:w="70" w:type="dxa"/>
              <w:left w:w="85" w:type="dxa"/>
              <w:right w:w="85" w:type="dxa"/>
            </w:tcMar>
          </w:tcPr>
          <w:p>
            <w:pPr>
              <w:spacing w:after="0" w:before="0" w:line="245" w:lineRule="auto"/>
              <w:jc w:val="left"/>
            </w:pPr>
            <w:r>
              <w:rPr>
                <w:rFonts w:ascii="Times New Roman" w:hAnsi="Times New Roman"/>
                <w:b/>
                <w:color w:val="000000"/>
                <w:sz w:val="18"/>
              </w:rPr>
              <w:t xml:space="preserve">Completed checks</w:t>
            </w:r>
          </w:p>
        </w:tc>
        <w:tc>
          <w:tcPr>
            <w:tcW w:type="dxa" w:w="4608"/>
            <w:vAlign w:val="center"/>
            <w:shd w:fill="DCE6F1"/>
            <w:tcMar>
              <w:top w:w="70" w:type="dxa"/>
              <w:bottom w:w="70" w:type="dxa"/>
              <w:left w:w="85" w:type="dxa"/>
              <w:right w:w="85" w:type="dxa"/>
            </w:tcMar>
          </w:tcPr>
          <w:p>
            <w:pPr>
              <w:spacing w:after="0" w:before="0" w:line="245" w:lineRule="auto"/>
              <w:jc w:val="left"/>
            </w:pPr>
            <w:r>
              <w:rPr>
                <w:rFonts w:ascii="Times New Roman" w:hAnsi="Times New Roman"/>
                <w:b/>
                <w:color w:val="000000"/>
                <w:sz w:val="18"/>
              </w:rPr>
              <w:t xml:space="preserve">What the result establishes</w:t>
            </w:r>
          </w:p>
        </w:tc>
      </w:tr>
      <w:tr>
        <w:trPr>
          <w:cantSplit/>
        </w:trPr>
        <w:tc>
          <w:tcPr>
            <w:tcW w:type="dxa" w:w="3168"/>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reference_verifier.py</w:t>
            </w:r>
          </w:p>
        </w:tc>
        <w:tc>
          <w:tcPr>
            <w:tcW w:type="dxa" w:w="2448"/>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12 regression tests</w:t>
            </w:r>
          </w:p>
        </w:tc>
        <w:tc>
          <w:tcPr>
            <w:tcW w:type="dxa" w:w="4608"/>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Signs, finite boxes, facets, rounding and arithmetic identities</w:t>
            </w:r>
          </w:p>
        </w:tc>
      </w:tr>
      <w:tr>
        <w:trPr>
          <w:cantSplit/>
        </w:trPr>
        <w:tc>
          <w:tcPr>
            <w:tcW w:type="dxa" w:w="3168"/>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annual_dual_revaluation.py</w:t>
            </w:r>
          </w:p>
        </w:tc>
        <w:tc>
          <w:tcPr>
            <w:tcW w:type="dxa" w:w="2448"/>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5 small-contract tests</w:t>
            </w:r>
          </w:p>
        </w:tc>
        <w:tc>
          <w:tcPr>
            <w:tcW w:type="dxa" w:w="4608"/>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Original-cost breakpoint minima and terminal Lagrangian terms</w:t>
            </w:r>
          </w:p>
        </w:tc>
      </w:tr>
      <w:tr>
        <w:trPr>
          <w:cantSplit/>
        </w:trPr>
        <w:tc>
          <w:tcPr>
            <w:tcW w:type="dxa" w:w="3168"/>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exact_witness_repair.py</w:t>
            </w:r>
          </w:p>
        </w:tc>
        <w:tc>
          <w:tcPr>
            <w:tcW w:type="dxa" w:w="2448"/>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13 checks including 729 rational paths</w:t>
            </w:r>
          </w:p>
        </w:tc>
        <w:tc>
          <w:tcPr>
            <w:tcW w:type="dxa" w:w="4608"/>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Exact homogeneous prefix repair and its perturbation bound</w:t>
            </w:r>
          </w:p>
        </w:tc>
      </w:tr>
      <w:tr>
        <w:trPr>
          <w:cantSplit/>
        </w:trPr>
        <w:tc>
          <w:tcPr>
            <w:tcW w:type="dxa" w:w="3168"/>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source_contract_checks.py</w:t>
            </w:r>
          </w:p>
        </w:tc>
        <w:tc>
          <w:tcPr>
            <w:tcW w:type="dxa" w:w="2448"/>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16 original-function boundary fixtures</w:t>
            </w:r>
          </w:p>
        </w:tc>
        <w:tc>
          <w:tcPr>
            <w:tcW w:type="dxa" w:w="4608"/>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Recorded deadline, tail and physical-projection behaviour</w:t>
            </w:r>
          </w:p>
        </w:tc>
      </w:tr>
      <w:tr>
        <w:trPr>
          <w:cantSplit/>
        </w:trPr>
        <w:tc>
          <w:tcPr>
            <w:tcW w:type="dxa" w:w="3168"/>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independent_settlement_check.py</w:t>
            </w:r>
          </w:p>
        </w:tc>
        <w:tc>
          <w:tcPr>
            <w:tcW w:type="dxa" w:w="2448"/>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Three full-year policy arrays</w:t>
            </w:r>
          </w:p>
        </w:tc>
        <w:tc>
          <w:tcPr>
            <w:tcW w:type="dxa" w:w="4608"/>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Reproduction of the observed-year wholesale account</w:t>
            </w:r>
          </w:p>
        </w:tc>
      </w:tr>
      <w:tr>
        <w:trPr>
          <w:cantSplit/>
        </w:trPr>
        <w:tc>
          <w:tcPr>
            <w:tcW w:type="dxa" w:w="3168"/>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published_bound_scalar_audit.json</w:t>
            </w:r>
          </w:p>
        </w:tc>
        <w:tc>
          <w:tcPr>
            <w:tcW w:type="dxa" w:w="2448"/>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48 site rows, twelve groups</w:t>
            </w:r>
          </w:p>
        </w:tc>
        <w:tc>
          <w:tcPr>
            <w:tcW w:type="dxa" w:w="4608"/>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Internal consistency of supplied certificate summaries</w:t>
            </w:r>
          </w:p>
        </w:tc>
      </w:tr>
    </w:tbl>
    <w:p>
      <w:pPr>
        <w:widowControl/>
        <w:spacing w:after="100"/>
      </w:pPr>
      <w:r>
        <w:t xml:space="preserve">The annual_dual_revaluation evaluator uses complete exact scalar terms and a declared downward quantum. The repair verifier supplies an exactly feasible output only when its own original-domain guards pass. A sample four-slot input is an algorithm fixture and contributes no empirical WorldMoE result. The new tests leave Tables 9, 10 and 29, all original ablation values and all six figure images unchanged.</w:t>
      </w:r>
    </w:p>
    <w:p>
      <w:pPr>
        <w:widowControl/>
        <w:spacing w:after="100"/>
      </w:pPr>
      <w:r>
        <w:t xml:space="preserve">An annual verification closes only after the required original arrays, recovered witness and both formulations’ records are bound to a common manifest and all exact checks pass. Nonanticipativity is a separate record-level test: each numerical input must have been available after receipt and processing before the committed action. Re-settlement under realised prices, fixed pre-evaluation parameters and an admissible information rule establish different parts of that argument and are reported separately.</w:t>
      </w:r>
    </w:p>
    <w:bookmarkEnd w:id="36"/>
    <w:p>
      <w:r>
        <w:br w:type="page"/>
      </w:r>
    </w:p>
    <w:bookmarkStart w:id="24" w:name="s25-information-and-net-contract-value"/>
    <w:p>
      <w:pPr>
        <w:pStyle w:val="Heading1"/>
        <w:keepNext/>
        <w:widowControl/>
        <w:spacing w:after="100"/>
      </w:pPr>
      <w:r>
        <w:rPr>
          <w:color w:val="000000"/>
        </w:rPr>
        <w:t xml:space="preserve">S25 Information and net contract value</w:t>
      </w:r>
    </w:p>
    <w:bookmarkStart w:id="20" w:name="X097699efaf67859eb9a6c8ec66f3d21370a33c0"/>
    <w:p>
      <w:pPr>
        <w:pStyle w:val="Heading2"/>
        <w:keepNext/>
        <w:widowControl/>
        <w:spacing w:after="100"/>
      </w:pPr>
      <w:r>
        <w:rPr>
          <w:color w:val="000000"/>
        </w:rPr>
        <w:t xml:space="preserve">S25.1 A common account and three value objects</w:t>
      </w:r>
    </w:p>
    <w:p>
      <w:pPr>
        <w:widowControl/>
        <w:spacing w:after="100"/>
      </w:pPr>
      <w:r>
        <w:t xml:space="preserve">Fix admissions, physical equipment, site assignments, the reference execution and the original electricity/service account. The cost</w:t>
      </w:r>
      <w:r>
        <w:t xml:space="preserve"> </w:t>
      </w:r>
      <m:oMath>
        <m:r>
          <m:t>C</m:t>
        </m:r>
        <m:d>
          <m:dPr>
            <m:begChr m:val="("/>
            <m:endChr m:val=")"/>
            <m:sepChr m:val=""/>
            <m:grow/>
          </m:dPr>
          <m:e>
            <m:r>
              <m:t>x</m:t>
            </m:r>
            <m:r>
              <m:rPr>
                <m:sty m:val="p"/>
              </m:rPr>
              <m:t>,</m:t>
            </m:r>
            <m:r>
              <m:t>ω</m:t>
            </m:r>
          </m:e>
        </m:d>
      </m:oMath>
      <w:r>
        <w:t xml:space="preserve"> </w:t>
      </w:r>
      <w:r>
        <w:t xml:space="preserve">includes energy, the existing import-deviation and curtailment charges, and the declared terminal treatment. The realised path</w:t>
      </w:r>
      <w:r>
        <w:t xml:space="preserve"> </w:t>
      </w:r>
      <m:oMath>
        <m:r>
          <m:t>ω</m:t>
        </m:r>
      </m:oMath>
      <w:r>
        <w:t xml:space="preserve"> </w:t>
      </w:r>
      <w:r>
        <w:t xml:space="preserve">contains prices, physical forcing and other uncertain inputs. It has a probability law</w:t>
      </w:r>
      <w:r>
        <w:t xml:space="preserve"> </w:t>
      </w:r>
      <m:oMath>
        <m:r>
          <m:rPr>
            <m:sty m:val="p"/>
            <m:scr m:val="double-struck"/>
          </m:rPr>
          <m:t>P</m:t>
        </m:r>
      </m:oMath>
      <w:r>
        <w:t xml:space="preserve"> </w:t>
      </w:r>
      <w:r>
        <w:t xml:space="preserve">and decision-time filtration</w:t>
      </w:r>
      <w:r>
        <w:t xml:space="preserve"> </w:t>
      </w:r>
      <m:oMath>
        <m:r>
          <m:rPr>
            <m:sty m:val="p"/>
            <m:scr m:val="script"/>
          </m:rPr>
          <m:t>F</m:t>
        </m:r>
        <m:r>
          <m:rPr>
            <m:sty m:val="p"/>
          </m:rPr>
          <m:t>=</m:t>
        </m:r>
        <m:sSub>
          <m:e>
            <m:d>
              <m:dPr>
                <m:begChr m:val="("/>
                <m:endChr m:val=")"/>
                <m:sepChr m:val=""/>
                <m:grow/>
              </m:dPr>
              <m:e>
                <m:sSub>
                  <m:e>
                    <m:r>
                      <m:rPr>
                        <m:sty m:val="p"/>
                        <m:scr m:val="script"/>
                      </m:rPr>
                      <m:t>F</m:t>
                    </m:r>
                  </m:e>
                  <m:sub>
                    <m:r>
                      <m:t>t</m:t>
                    </m:r>
                  </m:sub>
                </m:sSub>
              </m:e>
            </m:d>
          </m:e>
          <m:sub>
            <m:r>
              <m:t>t</m:t>
            </m:r>
          </m:sub>
        </m:sSub>
      </m:oMath>
      <w:r>
        <w:t xml:space="preserve">. The expectation below can be conditional on information available at contract signing. It must use the same law and reference for every contract.</w:t>
      </w:r>
    </w:p>
    <w:p>
      <w:pPr>
        <w:widowControl/>
        <w:spacing w:after="100"/>
      </w:pPr>
      <w:r>
        <w:t xml:space="preserve">For right</w:t>
      </w:r>
      <w:r>
        <w:t xml:space="preserve"> </w:t>
      </w:r>
      <m:oMath>
        <m:r>
          <m:t>W</m:t>
        </m:r>
      </m:oMath>
      <w:r>
        <w:t xml:space="preserve">, let</w:t>
      </w:r>
      <w:r>
        <w:t xml:space="preserve"> </w:t>
      </w:r>
      <m:oMath>
        <m:sSub>
          <m:e>
            <m:r>
              <m:rPr>
                <m:sty m:val="p"/>
                <m:scr m:val="script"/>
              </m:rPr>
              <m:t>X</m:t>
            </m:r>
          </m:e>
          <m:sub>
            <m:r>
              <m:t>W</m:t>
            </m:r>
          </m:sub>
        </m:sSub>
        <m:d>
          <m:dPr>
            <m:begChr m:val="("/>
            <m:endChr m:val=")"/>
            <m:sepChr m:val=""/>
            <m:grow/>
          </m:dPr>
          <m:e>
            <m:r>
              <m:t>ω</m:t>
            </m:r>
          </m:e>
        </m:d>
      </m:oMath>
      <w:r>
        <w:t xml:space="preserve"> </w:t>
      </w:r>
      <w:r>
        <w:t xml:space="preserve">be the complete pathwise service-feasible set and</w:t>
      </w:r>
      <w:r>
        <w:t xml:space="preserve"> </w:t>
      </w:r>
      <m:oMath>
        <m:sSubSup>
          <m:e>
            <m:r>
              <m:t>Π</m:t>
            </m:r>
          </m:e>
          <m:sub>
            <m:r>
              <m:t>W</m:t>
            </m:r>
          </m:sub>
          <m:sup>
            <m:r>
              <m:rPr>
                <m:sty m:val="p"/>
                <m:scr m:val="script"/>
              </m:rPr>
              <m:t>F</m:t>
            </m:r>
          </m:sup>
        </m:sSubSup>
      </m:oMath>
      <w:r>
        <w:t xml:space="preserve"> </w:t>
      </w:r>
      <w:r>
        <w:t xml:space="preserve">the class of policies whose committed actions are adapted to</w:t>
      </w:r>
      <w:r>
        <w:t xml:space="preserve"> </w:t>
      </w:r>
      <m:oMath>
        <m:r>
          <m:rPr>
            <m:sty m:val="p"/>
            <m:scr m:val="script"/>
          </m:rPr>
          <m:t>F</m:t>
        </m:r>
      </m:oMath>
      <w:r>
        <w:t xml:space="preserve"> </w:t>
      </w:r>
      <w:r>
        <w:t xml:space="preserve">and satisfy those constraints almost surely. Each policy must preserve the original deadline, electrical and terminal definitions. For a selected policy and a realised path, the historical operating saving is</w:t>
      </w:r>
    </w:p>
    <w:p>
      <w:pPr>
        <w:keepLines/>
        <w:widowControl/>
        <w:spacing w:after="120" w:before="80"/>
        <w:jc w:val="center"/>
      </w:pPr>
      <m:oMathPara>
        <m:oMathParaPr>
          <m:jc m:val="center"/>
        </m:oMathParaPr>
        <m:oMath>
          <m:sSubSup>
            <m:e>
              <m:r>
                <m:t>S</m:t>
              </m:r>
            </m:e>
            <m:sub>
              <m:r>
                <m:t>W</m:t>
              </m:r>
            </m:sub>
            <m:sup>
              <m:r>
                <m:t>π</m:t>
              </m:r>
            </m:sup>
          </m:sSubSup>
          <m:d>
            <m:dPr>
              <m:begChr m:val="("/>
              <m:endChr m:val=")"/>
              <m:sepChr m:val=""/>
              <m:grow/>
            </m:dPr>
            <m:e>
              <m:r>
                <m:t>ω</m:t>
              </m:r>
            </m:e>
          </m:d>
          <m:r>
            <m:rPr>
              <m:sty m:val="p"/>
            </m:rPr>
            <m:t>=</m:t>
          </m:r>
          <m:sSub>
            <m:e>
              <m:r>
                <m:t>C</m:t>
              </m:r>
            </m:e>
            <m:sub>
              <m:r>
                <m:t>0</m:t>
              </m:r>
            </m:sub>
          </m:sSub>
          <m:d>
            <m:dPr>
              <m:begChr m:val="("/>
              <m:endChr m:val=")"/>
              <m:sepChr m:val=""/>
              <m:grow/>
            </m:dPr>
            <m:e>
              <m:r>
                <m:t>ω</m:t>
              </m:r>
            </m:e>
          </m:d>
          <m:r>
            <m:rPr>
              <m:sty m:val="p"/>
            </m:rPr>
            <m:t>−</m:t>
          </m:r>
          <m:r>
            <m:t>C</m:t>
          </m:r>
          <m:d>
            <m:dPr>
              <m:begChr m:val="("/>
              <m:endChr m:val=")"/>
              <m:sepChr m:val=""/>
              <m:grow/>
            </m:dPr>
            <m:e>
              <m:r>
                <m:t>π</m:t>
              </m:r>
              <m:r>
                <m:rPr>
                  <m:sty m:val="p"/>
                </m:rPr>
                <m:t>,</m:t>
              </m:r>
              <m:r>
                <m:t>ω</m:t>
              </m:r>
            </m:e>
          </m:d>
          <m:r>
            <m:rPr>
              <m:sty m:val="p"/>
            </m:rPr>
            <m:t>.</m:t>
          </m:r>
          <m:r>
            <m:t>  </m:t>
          </m:r>
          <m:r>
            <m:rPr>
              <m:nor/>
              <m:sty m:val="p"/>
            </m:rPr>
            <m:t>(S25.1)</m:t>
          </m:r>
        </m:oMath>
      </m:oMathPara>
    </w:p>
    <w:p>
      <w:pPr>
        <w:widowControl/>
        <w:spacing w:after="100"/>
      </w:pPr>
      <w:r>
        <w:t xml:space="preserve">The perfect-information opportunity and the optimal nonanticipative expected value are different objects:</w:t>
      </w:r>
    </w:p>
    <w:p>
      <w:pPr>
        <w:keepLines/>
        <w:widowControl/>
        <w:spacing w:after="120" w:before="80"/>
        <w:jc w:val="center"/>
      </w:pPr>
      <m:oMathPara>
        <m:oMathParaPr>
          <m:jc m:val="center"/>
        </m:oMathParaPr>
        <m:oMath>
          <m:m>
            <m:mPr>
              <m:baseJc m:val="center"/>
              <m:plcHide m:val="on"/>
              <m:mcs>
                <m:mc>
                  <m:mcPr>
                    <m:mcJc m:val="right"/>
                    <m:count m:val="1"/>
                  </m:mcPr>
                </m:mc>
                <m:mc>
                  <m:mcPr>
                    <m:mcJc m:val="left"/>
                    <m:count m:val="1"/>
                  </m:mcPr>
                </m:mc>
              </m:mcs>
            </m:mPr>
            <m:mr>
              <m:e>
                <m:sSubSup>
                  <m:e>
                    <m:r>
                      <m:t>V</m:t>
                    </m:r>
                  </m:e>
                  <m:sub>
                    <m:r>
                      <m:t>W</m:t>
                    </m:r>
                  </m:sub>
                  <m:sup>
                    <m:r>
                      <m:rPr>
                        <m:sty m:val="p"/>
                      </m:rPr>
                      <m:t>P</m:t>
                    </m:r>
                    <m:r>
                      <m:rPr>
                        <m:sty m:val="p"/>
                      </m:rPr>
                      <m:t>I</m:t>
                    </m:r>
                  </m:sup>
                </m:sSubSup>
                <m:d>
                  <m:dPr>
                    <m:begChr m:val="("/>
                    <m:endChr m:val=")"/>
                    <m:sepChr m:val=""/>
                    <m:grow/>
                  </m:dPr>
                  <m:e>
                    <m:r>
                      <m:t>ω</m:t>
                    </m:r>
                  </m:e>
                </m:d>
              </m:e>
              <m:e>
                <m:r>
                  <m:rPr>
                    <m:sty m:val="p"/>
                  </m:rPr>
                  <m:t>=</m:t>
                </m:r>
                <m:limLow>
                  <m:e>
                    <m:r>
                      <m:rPr>
                        <m:sty m:val="p"/>
                      </m:rPr>
                      <m:t>sup</m:t>
                    </m:r>
                  </m:e>
                  <m:lim>
                    <m:r>
                      <m:t>x</m:t>
                    </m:r>
                    <m:r>
                      <m:rPr>
                        <m:sty m:val="p"/>
                      </m:rPr>
                      <m:t>∈</m:t>
                    </m:r>
                    <m:sSub>
                      <m:e>
                        <m:r>
                          <m:rPr>
                            <m:sty m:val="p"/>
                            <m:scr m:val="script"/>
                          </m:rPr>
                          <m:t>X</m:t>
                        </m:r>
                      </m:e>
                      <m:sub>
                        <m:r>
                          <m:t>W</m:t>
                        </m:r>
                      </m:sub>
                    </m:sSub>
                    <m:d>
                      <m:dPr>
                        <m:begChr m:val="("/>
                        <m:endChr m:val=")"/>
                        <m:sepChr m:val=""/>
                        <m:grow/>
                      </m:dPr>
                      <m:e>
                        <m:r>
                          <m:t>ω</m:t>
                        </m:r>
                      </m:e>
                    </m:d>
                  </m:lim>
                </m:limLow>
                <m:d>
                  <m:dPr>
                    <m:begChr m:val="("/>
                    <m:endChr m:val=")"/>
                    <m:sepChr m:val=""/>
                    <m:grow/>
                  </m:dPr>
                  <m:e>
                    <m:sSub>
                      <m:e>
                        <m:r>
                          <m:t>C</m:t>
                        </m:r>
                      </m:e>
                      <m:sub>
                        <m:r>
                          <m:t>0</m:t>
                        </m:r>
                      </m:sub>
                    </m:sSub>
                    <m:d>
                      <m:dPr>
                        <m:begChr m:val="("/>
                        <m:endChr m:val=")"/>
                        <m:sepChr m:val=""/>
                        <m:grow/>
                      </m:dPr>
                      <m:e>
                        <m:r>
                          <m:t>ω</m:t>
                        </m:r>
                      </m:e>
                    </m:d>
                    <m:r>
                      <m:rPr>
                        <m:sty m:val="p"/>
                      </m:rPr>
                      <m:t>−</m:t>
                    </m:r>
                    <m:r>
                      <m:t>C</m:t>
                    </m:r>
                    <m:d>
                      <m:dPr>
                        <m:begChr m:val="("/>
                        <m:endChr m:val=")"/>
                        <m:sepChr m:val=""/>
                        <m:grow/>
                      </m:dPr>
                      <m:e>
                        <m:r>
                          <m:t>x</m:t>
                        </m:r>
                        <m:r>
                          <m:rPr>
                            <m:sty m:val="p"/>
                          </m:rPr>
                          <m:t>,</m:t>
                        </m:r>
                        <m:r>
                          <m:t>ω</m:t>
                        </m:r>
                      </m:e>
                    </m:d>
                  </m:e>
                </m:d>
                <m:r>
                  <m:rPr>
                    <m:sty m:val="p"/>
                  </m:rPr>
                  <m:t>,</m:t>
                </m:r>
              </m:e>
            </m:mr>
            <m:mr>
              <m:e>
                <m:sSubSup>
                  <m:e>
                    <m:r>
                      <m:t>V</m:t>
                    </m:r>
                  </m:e>
                  <m:sub>
                    <m:r>
                      <m:t>W</m:t>
                    </m:r>
                  </m:sub>
                  <m:sup>
                    <m:r>
                      <m:rPr>
                        <m:sty m:val="p"/>
                        <m:scr m:val="script"/>
                      </m:rPr>
                      <m:t>F</m:t>
                    </m:r>
                  </m:sup>
                </m:sSubSup>
              </m:e>
              <m:e>
                <m:r>
                  <m:rPr>
                    <m:sty m:val="p"/>
                  </m:rPr>
                  <m:t>=</m:t>
                </m:r>
                <m:limLow>
                  <m:e>
                    <m:r>
                      <m:rPr>
                        <m:sty m:val="p"/>
                      </m:rPr>
                      <m:t>sup</m:t>
                    </m:r>
                  </m:e>
                  <m:lim>
                    <m:r>
                      <m:t>π</m:t>
                    </m:r>
                    <m:r>
                      <m:rPr>
                        <m:sty m:val="p"/>
                      </m:rPr>
                      <m:t>∈</m:t>
                    </m:r>
                    <m:sSubSup>
                      <m:e>
                        <m:r>
                          <m:t>Π</m:t>
                        </m:r>
                      </m:e>
                      <m:sub>
                        <m:r>
                          <m:t>W</m:t>
                        </m:r>
                      </m:sub>
                      <m:sup>
                        <m:r>
                          <m:rPr>
                            <m:sty m:val="p"/>
                            <m:scr m:val="script"/>
                          </m:rPr>
                          <m:t>F</m:t>
                        </m:r>
                      </m:sup>
                    </m:sSubSup>
                  </m:lim>
                </m:limLow>
                <m:r>
                  <m:rPr>
                    <m:sty m:val="p"/>
                    <m:scr m:val="double-struck"/>
                  </m:rPr>
                  <m:t>E</m:t>
                </m:r>
                <m:r>
                  <m:rPr>
                    <m:sty m:val="p"/>
                  </m:rPr>
                  <m:t>[</m:t>
                </m:r>
                <m:sSubSup>
                  <m:e>
                    <m:r>
                      <m:t>S</m:t>
                    </m:r>
                  </m:e>
                  <m:sub>
                    <m:r>
                      <m:t>W</m:t>
                    </m:r>
                  </m:sub>
                  <m:sup>
                    <m:r>
                      <m:t>π</m:t>
                    </m:r>
                  </m:sup>
                </m:sSubSup>
                <m:r>
                  <m:rPr>
                    <m:sty m:val="p"/>
                  </m:rPr>
                  <m:t>]</m:t>
                </m:r>
                <m:r>
                  <m:rPr>
                    <m:sty m:val="p"/>
                  </m:rPr>
                  <m:t>.</m:t>
                </m:r>
              </m:e>
            </m:mr>
          </m:m>
          <m:r>
            <m:t>  </m:t>
          </m:r>
          <m:r>
            <m:rPr>
              <m:nor/>
              <m:sty m:val="p"/>
            </m:rPr>
            <m:t>(S25.2)</m:t>
          </m:r>
        </m:oMath>
      </m:oMathPara>
    </w:p>
    <w:p>
      <w:pPr>
        <w:widowControl/>
        <w:spacing w:after="100"/>
      </w:pPr>
      <w:r>
        <w:t xml:space="preserve">The first optimiser may inspect the entire realised path. The second selects a policy whose actions use only available information. Assume the relevant value functions are measurable, finite and integrable. Every feasible adapted policy produces a pathwise feasible schedule, giving</w:t>
      </w:r>
    </w:p>
    <w:p>
      <w:pPr>
        <w:keepLines/>
        <w:widowControl/>
        <w:spacing w:after="120" w:before="80"/>
        <w:jc w:val="center"/>
      </w:pPr>
      <m:oMathPara>
        <m:oMathParaPr>
          <m:jc m:val="center"/>
        </m:oMathParaPr>
        <m:oMath>
          <m:r>
            <m:rPr>
              <m:sty m:val="p"/>
              <m:scr m:val="double-struck"/>
            </m:rPr>
            <m:t>E</m:t>
          </m:r>
          <m:r>
            <m:rPr>
              <m:sty m:val="p"/>
            </m:rPr>
            <m:t>[</m:t>
          </m:r>
          <m:sSubSup>
            <m:e>
              <m:r>
                <m:t>S</m:t>
              </m:r>
            </m:e>
            <m:sub>
              <m:r>
                <m:t>W</m:t>
              </m:r>
            </m:sub>
            <m:sup>
              <m:r>
                <m:t>π</m:t>
              </m:r>
            </m:sup>
          </m:sSubSup>
          <m:r>
            <m:rPr>
              <m:sty m:val="p"/>
            </m:rPr>
            <m:t>]</m:t>
          </m:r>
          <m:r>
            <m:rPr>
              <m:sty m:val="p"/>
            </m:rPr>
            <m:t>≤</m:t>
          </m:r>
          <m:sSubSup>
            <m:e>
              <m:r>
                <m:t>V</m:t>
              </m:r>
            </m:e>
            <m:sub>
              <m:r>
                <m:t>W</m:t>
              </m:r>
            </m:sub>
            <m:sup>
              <m:r>
                <m:rPr>
                  <m:sty m:val="p"/>
                  <m:scr m:val="script"/>
                </m:rPr>
                <m:t>F</m:t>
              </m:r>
            </m:sup>
          </m:sSubSup>
          <m:r>
            <m:rPr>
              <m:sty m:val="p"/>
            </m:rPr>
            <m:t>≤</m:t>
          </m:r>
          <m:r>
            <m:rPr>
              <m:sty m:val="p"/>
              <m:scr m:val="double-struck"/>
            </m:rPr>
            <m:t>E</m:t>
          </m:r>
          <m:r>
            <m:rPr>
              <m:sty m:val="p"/>
            </m:rPr>
            <m:t>[</m:t>
          </m:r>
          <m:sSubSup>
            <m:e>
              <m:r>
                <m:t>V</m:t>
              </m:r>
            </m:e>
            <m:sub>
              <m:r>
                <m:t>W</m:t>
              </m:r>
            </m:sub>
            <m:sup>
              <m:r>
                <m:rPr>
                  <m:sty m:val="p"/>
                </m:rPr>
                <m:t>P</m:t>
              </m:r>
              <m:r>
                <m:rPr>
                  <m:sty m:val="p"/>
                </m:rPr>
                <m:t>I</m:t>
              </m:r>
            </m:sup>
          </m:sSubSup>
          <m:r>
            <m:rPr>
              <m:sty m:val="p"/>
            </m:rPr>
            <m:t>]</m:t>
          </m:r>
          <m:r>
            <m:rPr>
              <m:sty m:val="p"/>
            </m:rPr>
            <m:t>.</m:t>
          </m:r>
          <m:r>
            <m:t>  </m:t>
          </m:r>
          <m:r>
            <m:rPr>
              <m:nor/>
              <m:sty m:val="p"/>
            </m:rPr>
            <m:t>(S25.3)</m:t>
          </m:r>
        </m:oMath>
      </m:oMathPara>
    </w:p>
    <w:p>
      <w:pPr>
        <w:widowControl/>
        <w:spacing w:after="100"/>
      </w:pPr>
      <w:r>
        <w:t xml:space="preserve">The proof first applies</w:t>
      </w:r>
      <w:r>
        <w:t xml:space="preserve"> </w:t>
      </w:r>
      <m:oMath>
        <m:sSubSup>
          <m:e>
            <m:r>
              <m:t>S</m:t>
            </m:r>
          </m:e>
          <m:sub>
            <m:r>
              <m:t>W</m:t>
            </m:r>
          </m:sub>
          <m:sup>
            <m:r>
              <m:t>π</m:t>
            </m:r>
          </m:sup>
        </m:sSubSup>
        <m:d>
          <m:dPr>
            <m:begChr m:val="("/>
            <m:endChr m:val=")"/>
            <m:sepChr m:val=""/>
            <m:grow/>
          </m:dPr>
          <m:e>
            <m:r>
              <m:t>ω</m:t>
            </m:r>
          </m:e>
        </m:d>
        <m:r>
          <m:rPr>
            <m:sty m:val="p"/>
          </m:rPr>
          <m:t>≤</m:t>
        </m:r>
        <m:sSubSup>
          <m:e>
            <m:r>
              <m:t>V</m:t>
            </m:r>
          </m:e>
          <m:sub>
            <m:r>
              <m:t>W</m:t>
            </m:r>
          </m:sub>
          <m:sup>
            <m:r>
              <m:rPr>
                <m:sty m:val="p"/>
              </m:rPr>
              <m:t>P</m:t>
            </m:r>
            <m:r>
              <m:rPr>
                <m:sty m:val="p"/>
              </m:rPr>
              <m:t>I</m:t>
            </m:r>
          </m:sup>
        </m:sSubSup>
        <m:d>
          <m:dPr>
            <m:begChr m:val="("/>
            <m:endChr m:val=")"/>
            <m:sepChr m:val=""/>
            <m:grow/>
          </m:dPr>
          <m:e>
            <m:r>
              <m:t>ω</m:t>
            </m:r>
          </m:e>
        </m:d>
      </m:oMath>
      <w:r>
        <w:t xml:space="preserve"> </w:t>
      </w:r>
      <w:r>
        <w:t xml:space="preserve">almost surely, takes expectations, and then takes the supremum over admissible policies. It does not interchange a supremum and an expectation. A single historical value of Eq. (S25.1) does not identify either expectation. Re-settlement establishes an account for supplied actions; the actual input vintages establish their information admissibility. A nonanticipative rule does not by itself supply a probability law or an expected-value guarantee.</w:t>
      </w:r>
    </w:p>
    <w:bookmarkEnd w:id="20"/>
    <w:bookmarkStart w:id="21" w:name="X45ab58a97c457cea28bc254be31506de1d3efef"/>
    <w:p>
      <w:pPr>
        <w:pStyle w:val="Heading2"/>
        <w:keepNext/>
        <w:widowControl/>
        <w:spacing w:after="100"/>
      </w:pPr>
      <w:r>
        <w:rPr>
          <w:color w:val="000000"/>
        </w:rPr>
        <w:t xml:space="preserve">S25.2 Information gaps and nested-rights increments</w:t>
      </w:r>
    </w:p>
    <w:p>
      <w:pPr>
        <w:widowControl/>
        <w:spacing w:after="100"/>
      </w:pPr>
      <w:r>
        <w:t xml:space="preserve">Suppose the expansion</w:t>
      </w:r>
      <w:r>
        <w:t xml:space="preserve"> </w:t>
      </w:r>
      <m:oMath>
        <m:r>
          <m:t>A</m:t>
        </m:r>
        <m:r>
          <m:rPr>
            <m:sty m:val="p"/>
          </m:rPr>
          <m:t>⊆</m:t>
        </m:r>
        <m:r>
          <m:t>B</m:t>
        </m:r>
      </m:oMath>
      <w:r>
        <w:t xml:space="preserve"> </w:t>
      </w:r>
      <w:r>
        <w:t xml:space="preserve">preserves all common inputs and constraints and allows every</w:t>
      </w:r>
      <w:r>
        <w:t xml:space="preserve"> </w:t>
      </w:r>
      <m:oMath>
        <m:r>
          <m:t>A</m:t>
        </m:r>
      </m:oMath>
      <w:r>
        <w:t xml:space="preserve"> </w:t>
      </w:r>
      <w:r>
        <w:t xml:space="preserve">policy under</w:t>
      </w:r>
      <w:r>
        <w:t xml:space="preserve"> </w:t>
      </w:r>
      <m:oMath>
        <m:r>
          <m:t>B</m:t>
        </m:r>
      </m:oMath>
      <w:r>
        <w:t xml:space="preserve">. Then both the pathwise perfect-information optimum and the optimal adapted expected value are nondecreasing. Define the information gap</w:t>
      </w:r>
    </w:p>
    <w:p>
      <w:pPr>
        <w:keepLines/>
        <w:widowControl/>
        <w:spacing w:after="120" w:before="80"/>
        <w:jc w:val="center"/>
      </w:pPr>
      <m:oMathPara>
        <m:oMathParaPr>
          <m:jc m:val="center"/>
        </m:oMathParaPr>
        <m:oMath>
          <m:sSub>
            <m:e>
              <m:r>
                <m:t>I</m:t>
              </m:r>
            </m:e>
            <m:sub>
              <m:r>
                <m:t>W</m:t>
              </m:r>
            </m:sub>
          </m:sSub>
          <m:r>
            <m:rPr>
              <m:sty m:val="p"/>
            </m:rPr>
            <m:t>=</m:t>
          </m:r>
          <m:r>
            <m:rPr>
              <m:sty m:val="p"/>
              <m:scr m:val="double-struck"/>
            </m:rPr>
            <m:t>E</m:t>
          </m:r>
          <m:r>
            <m:rPr>
              <m:sty m:val="p"/>
            </m:rPr>
            <m:t>[</m:t>
          </m:r>
          <m:sSubSup>
            <m:e>
              <m:r>
                <m:t>V</m:t>
              </m:r>
            </m:e>
            <m:sub>
              <m:r>
                <m:t>W</m:t>
              </m:r>
            </m:sub>
            <m:sup>
              <m:r>
                <m:rPr>
                  <m:sty m:val="p"/>
                </m:rPr>
                <m:t>P</m:t>
              </m:r>
              <m:r>
                <m:rPr>
                  <m:sty m:val="p"/>
                </m:rPr>
                <m:t>I</m:t>
              </m:r>
            </m:sup>
          </m:sSubSup>
          <m:r>
            <m:rPr>
              <m:sty m:val="p"/>
            </m:rPr>
            <m:t>]</m:t>
          </m:r>
          <m:r>
            <m:rPr>
              <m:sty m:val="p"/>
            </m:rPr>
            <m:t>−</m:t>
          </m:r>
          <m:sSubSup>
            <m:e>
              <m:r>
                <m:t>V</m:t>
              </m:r>
            </m:e>
            <m:sub>
              <m:r>
                <m:t>W</m:t>
              </m:r>
            </m:sub>
            <m:sup>
              <m:r>
                <m:rPr>
                  <m:sty m:val="p"/>
                  <m:scr m:val="script"/>
                </m:rPr>
                <m:t>F</m:t>
              </m:r>
            </m:sup>
          </m:sSubSup>
          <m:r>
            <m:rPr>
              <m:sty m:val="p"/>
            </m:rPr>
            <m:t>≥</m:t>
          </m:r>
          <m:r>
            <m:t>0</m:t>
          </m:r>
          <m:r>
            <m:rPr>
              <m:sty m:val="p"/>
            </m:rPr>
            <m:t>.</m:t>
          </m:r>
          <m:r>
            <m:t>  </m:t>
          </m:r>
          <m:r>
            <m:rPr>
              <m:nor/>
              <m:sty m:val="p"/>
            </m:rPr>
            <m:t>(S25.4)</m:t>
          </m:r>
        </m:oMath>
      </m:oMathPara>
    </w:p>
    <w:p>
      <w:pPr>
        <w:widowControl/>
        <w:spacing w:after="100"/>
      </w:pPr>
      <w:r>
        <w:t xml:space="preserve">Subtracting the two definitions gives the exact decomposition</w:t>
      </w:r>
    </w:p>
    <w:p>
      <w:pPr>
        <w:keepLines/>
        <w:widowControl/>
        <w:spacing w:after="120" w:before="80"/>
        <w:jc w:val="center"/>
      </w:pPr>
      <m:oMathPara>
        <m:oMathParaPr>
          <m:jc m:val="center"/>
        </m:oMathParaPr>
        <m:oMath>
          <m:sSubSup>
            <m:e>
              <m:r>
                <m:t>V</m:t>
              </m:r>
            </m:e>
            <m:sub>
              <m:r>
                <m:t>B</m:t>
              </m:r>
            </m:sub>
            <m:sup>
              <m:r>
                <m:rPr>
                  <m:sty m:val="p"/>
                  <m:scr m:val="script"/>
                </m:rPr>
                <m:t>F</m:t>
              </m:r>
            </m:sup>
          </m:sSubSup>
          <m:r>
            <m:rPr>
              <m:sty m:val="p"/>
            </m:rPr>
            <m:t>−</m:t>
          </m:r>
          <m:sSubSup>
            <m:e>
              <m:r>
                <m:t>V</m:t>
              </m:r>
            </m:e>
            <m:sub>
              <m:r>
                <m:t>A</m:t>
              </m:r>
            </m:sub>
            <m:sup>
              <m:r>
                <m:rPr>
                  <m:sty m:val="p"/>
                  <m:scr m:val="script"/>
                </m:rPr>
                <m:t>F</m:t>
              </m:r>
            </m:sup>
          </m:sSubSup>
          <m:r>
            <m:rPr>
              <m:sty m:val="p"/>
            </m:rPr>
            <m:t>=</m:t>
          </m:r>
          <m:r>
            <m:rPr>
              <m:sty m:val="p"/>
              <m:scr m:val="double-struck"/>
            </m:rPr>
            <m:t>E</m:t>
          </m:r>
          <m:r>
            <m:rPr>
              <m:sty m:val="p"/>
            </m:rPr>
            <m:t>[</m:t>
          </m:r>
          <m:sSubSup>
            <m:e>
              <m:r>
                <m:t>V</m:t>
              </m:r>
            </m:e>
            <m:sub>
              <m:r>
                <m:t>B</m:t>
              </m:r>
            </m:sub>
            <m:sup>
              <m:r>
                <m:rPr>
                  <m:sty m:val="p"/>
                </m:rPr>
                <m:t>P</m:t>
              </m:r>
              <m:r>
                <m:rPr>
                  <m:sty m:val="p"/>
                </m:rPr>
                <m:t>I</m:t>
              </m:r>
            </m:sup>
          </m:sSubSup>
          <m:r>
            <m:rPr>
              <m:sty m:val="p"/>
            </m:rPr>
            <m:t>−</m:t>
          </m:r>
          <m:sSubSup>
            <m:e>
              <m:r>
                <m:t>V</m:t>
              </m:r>
            </m:e>
            <m:sub>
              <m:r>
                <m:t>A</m:t>
              </m:r>
            </m:sub>
            <m:sup>
              <m:r>
                <m:rPr>
                  <m:sty m:val="p"/>
                </m:rPr>
                <m:t>P</m:t>
              </m:r>
              <m:r>
                <m:rPr>
                  <m:sty m:val="p"/>
                </m:rPr>
                <m:t>I</m:t>
              </m:r>
            </m:sup>
          </m:sSubSup>
          <m:r>
            <m:rPr>
              <m:sty m:val="p"/>
            </m:rPr>
            <m:t>]</m:t>
          </m:r>
          <m:r>
            <m:rPr>
              <m:sty m:val="p"/>
            </m:rPr>
            <m:t>−</m:t>
          </m:r>
          <m:d>
            <m:dPr>
              <m:begChr m:val="("/>
              <m:endChr m:val=")"/>
              <m:sepChr m:val=""/>
              <m:grow/>
            </m:dPr>
            <m:e>
              <m:sSub>
                <m:e>
                  <m:r>
                    <m:t>I</m:t>
                  </m:r>
                </m:e>
                <m:sub>
                  <m:r>
                    <m:t>B</m:t>
                  </m:r>
                </m:sub>
              </m:sSub>
              <m:r>
                <m:rPr>
                  <m:sty m:val="p"/>
                </m:rPr>
                <m:t>−</m:t>
              </m:r>
              <m:sSub>
                <m:e>
                  <m:r>
                    <m:t>I</m:t>
                  </m:r>
                </m:e>
                <m:sub>
                  <m:r>
                    <m:t>A</m:t>
                  </m:r>
                </m:sub>
              </m:sSub>
            </m:e>
          </m:d>
          <m:r>
            <m:rPr>
              <m:sty m:val="p"/>
            </m:rPr>
            <m:t>.</m:t>
          </m:r>
          <m:r>
            <m:t>  </m:t>
          </m:r>
          <m:r>
            <m:rPr>
              <m:nor/>
              <m:sty m:val="p"/>
            </m:rPr>
            <m:t>(S25.5)</m:t>
          </m:r>
        </m:oMath>
      </m:oMathPara>
    </w:p>
    <w:p>
      <w:pPr>
        <w:widowControl/>
        <w:spacing w:after="100"/>
      </w:pPr>
      <w:r>
        <w:t xml:space="preserve">Although each information gap is nonnegative, their difference need not have a fixed sign. Therefore an expected perfect-information upgrade is not generally an upper or lower bound on the adapted expected upgrade. Table 38 supplies two exact counterexamples. Each has two equiprobable states and an action selected before the state is observed. The actions have abstract payoff pairs; they are not claimed to arise from the paper’s deadline-only expansion.</w:t>
      </w:r>
    </w:p>
    <w:p>
      <w:pPr>
        <w:pStyle w:val="Caption"/>
        <w:keepNext/>
        <w:widowControl/>
        <w:spacing w:after="100" w:before="120"/>
      </w:pPr>
      <w:r>
        <w:t xml:space="preserve">Supplementary Table 38. Abstract nested-action examples separating the two incremental values. Values are illustrative utility units, not market observations. In each row, B retains every A action.</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1944"/>
        <w:gridCol w:w="2592"/>
        <w:gridCol w:w="1728"/>
        <w:gridCol w:w="1728"/>
      </w:tblGrid>
      <w:tr>
        <w:trPr>
          <w:tblHeader w:val="true"/>
          <w:cantSplit/>
          <w:tblHeader/>
        </w:trPr>
        <w:tc>
          <w:tcPr>
            <w:tcW w:type="dxa" w:w="2232"/>
            <w:vAlign w:val="center"/>
            <w:shd w:fill="DCE6F1"/>
            <w:tcMar>
              <w:top w:w="70" w:type="dxa"/>
              <w:bottom w:w="70" w:type="dxa"/>
              <w:left w:w="85" w:type="dxa"/>
              <w:right w:w="85" w:type="dxa"/>
            </w:tcMar>
          </w:tcPr>
          <w:p>
            <w:pPr>
              <w:spacing w:after="0" w:before="0" w:line="245" w:lineRule="auto"/>
              <w:jc w:val="left"/>
            </w:pPr>
            <w:r>
              <w:rPr>
                <w:rFonts w:ascii="Times New Roman" w:hAnsi="Times New Roman"/>
                <w:b/>
                <w:color w:val="000000"/>
                <w:sz w:val="18"/>
              </w:rPr>
              <w:t xml:space="preserve">Example</w:t>
            </w:r>
          </w:p>
        </w:tc>
        <w:tc>
          <w:tcPr>
            <w:tcW w:type="dxa" w:w="1944"/>
            <w:vAlign w:val="center"/>
            <w:shd w:fill="DCE6F1"/>
            <w:tcMar>
              <w:top w:w="70" w:type="dxa"/>
              <w:bottom w:w="70" w:type="dxa"/>
              <w:left w:w="85" w:type="dxa"/>
              <w:right w:w="85" w:type="dxa"/>
            </w:tcMar>
          </w:tcPr>
          <w:p>
            <w:pPr>
              <w:spacing w:after="0" w:before="0" w:line="245" w:lineRule="auto"/>
              <w:jc w:val="left"/>
            </w:pPr>
            <w:r>
              <w:rPr>
                <w:rFonts w:ascii="Times New Roman" w:hAnsi="Times New Roman"/>
                <w:b/>
                <w:color w:val="000000"/>
                <w:sz w:val="18"/>
              </w:rPr>
              <w:t xml:space="preserve">A action payoffs</w:t>
            </w:r>
          </w:p>
        </w:tc>
        <w:tc>
          <w:tcPr>
            <w:tcW w:type="dxa" w:w="2592"/>
            <w:vAlign w:val="center"/>
            <w:shd w:fill="DCE6F1"/>
            <w:tcMar>
              <w:top w:w="70" w:type="dxa"/>
              <w:bottom w:w="70" w:type="dxa"/>
              <w:left w:w="85" w:type="dxa"/>
              <w:right w:w="85" w:type="dxa"/>
            </w:tcMar>
          </w:tcPr>
          <w:p>
            <w:pPr>
              <w:spacing w:after="0" w:before="0" w:line="245" w:lineRule="auto"/>
              <w:jc w:val="left"/>
            </w:pPr>
            <w:r>
              <w:rPr>
                <w:rFonts w:ascii="Times New Roman" w:hAnsi="Times New Roman"/>
                <w:b/>
                <w:color w:val="000000"/>
                <w:sz w:val="18"/>
              </w:rPr>
              <w:t xml:space="preserve">Additional B action payoffs</w:t>
            </w:r>
          </w:p>
        </w:tc>
        <w:tc>
          <w:tcPr>
            <w:tcW w:type="dxa" w:w="1728"/>
            <w:vAlign w:val="center"/>
            <w:shd w:fill="DCE6F1"/>
            <w:tcMar>
              <w:top w:w="70" w:type="dxa"/>
              <w:bottom w:w="70" w:type="dxa"/>
              <w:left w:w="85" w:type="dxa"/>
              <w:right w:w="85" w:type="dxa"/>
            </w:tcMar>
          </w:tcPr>
          <w:p>
            <w:pPr>
              <w:spacing w:after="0" w:before="0" w:line="245" w:lineRule="auto"/>
              <w:jc w:val="left"/>
            </w:pPr>
            <w:r>
              <w:rPr>
                <w:rFonts w:ascii="Times New Roman" w:hAnsi="Times New Roman"/>
                <w:b/>
                <w:color w:val="000000"/>
                <w:sz w:val="18"/>
              </w:rPr>
              <w:t xml:space="preserve">Expected PI increment</w:t>
            </w:r>
          </w:p>
        </w:tc>
        <w:tc>
          <w:tcPr>
            <w:tcW w:type="dxa" w:w="1728"/>
            <w:vAlign w:val="center"/>
            <w:shd w:fill="DCE6F1"/>
            <w:tcMar>
              <w:top w:w="70" w:type="dxa"/>
              <w:bottom w:w="70" w:type="dxa"/>
              <w:left w:w="85" w:type="dxa"/>
              <w:right w:w="85" w:type="dxa"/>
            </w:tcMar>
          </w:tcPr>
          <w:p>
            <w:pPr>
              <w:spacing w:after="0" w:before="0" w:line="245" w:lineRule="auto"/>
              <w:jc w:val="left"/>
            </w:pPr>
            <w:r>
              <w:rPr>
                <w:rFonts w:ascii="Times New Roman" w:hAnsi="Times New Roman"/>
                <w:b/>
                <w:color w:val="000000"/>
                <w:sz w:val="18"/>
              </w:rPr>
              <w:t xml:space="preserve">Adapted expected increment</w:t>
            </w:r>
          </w:p>
        </w:tc>
      </w:tr>
      <w:tr>
        <w:trPr>
          <w:cantSplit/>
        </w:trPr>
        <w:tc>
          <w:tcPr>
            <w:tcW w:type="dxa" w:w="2232"/>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Information becomes more useful</w:t>
            </w:r>
          </w:p>
        </w:tc>
        <w:tc>
          <w:tcPr>
            <w:tcW w:type="dxa" w:w="1944"/>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(0, 0)</w:t>
            </w:r>
          </w:p>
        </w:tc>
        <w:tc>
          <w:tcPr>
            <w:tcW w:type="dxa" w:w="2592"/>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(1, −1), (−1, 1)</w:t>
            </w:r>
          </w:p>
        </w:tc>
        <w:tc>
          <w:tcPr>
            <w:tcW w:type="dxa" w:w="1728"/>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1</w:t>
            </w:r>
          </w:p>
        </w:tc>
        <w:tc>
          <w:tcPr>
            <w:tcW w:type="dxa" w:w="1728"/>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0</w:t>
            </w:r>
          </w:p>
        </w:tc>
      </w:tr>
      <w:tr>
        <w:trPr>
          <w:cantSplit/>
        </w:trPr>
        <w:tc>
          <w:tcPr>
            <w:tcW w:type="dxa" w:w="2232"/>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New action removes information dependence</w:t>
            </w:r>
          </w:p>
        </w:tc>
        <w:tc>
          <w:tcPr>
            <w:tcW w:type="dxa" w:w="1944"/>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(2, 0), (0, 2)</w:t>
            </w:r>
          </w:p>
        </w:tc>
        <w:tc>
          <w:tcPr>
            <w:tcW w:type="dxa" w:w="2592"/>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(2, 2)</w:t>
            </w:r>
          </w:p>
        </w:tc>
        <w:tc>
          <w:tcPr>
            <w:tcW w:type="dxa" w:w="1728"/>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0</w:t>
            </w:r>
          </w:p>
        </w:tc>
        <w:tc>
          <w:tcPr>
            <w:tcW w:type="dxa" w:w="1728"/>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1</w:t>
            </w:r>
          </w:p>
        </w:tc>
      </w:tr>
    </w:tbl>
    <w:p>
      <w:pPr>
        <w:widowControl/>
        <w:spacing w:after="100"/>
      </w:pPr>
      <w:r>
        <w:t xml:space="preserve">In the first row, every available action has expected payoff zero, but hindsight selects the positive-payoff action in either state. Thus</w:t>
      </w:r>
      <w:r>
        <w:t xml:space="preserve"> </w:t>
      </w:r>
      <m:oMath>
        <m:sSub>
          <m:e>
            <m:r>
              <m:t>I</m:t>
            </m:r>
          </m:e>
          <m:sub>
            <m:r>
              <m:t>A</m:t>
            </m:r>
          </m:sub>
        </m:sSub>
        <m:r>
          <m:rPr>
            <m:sty m:val="p"/>
          </m:rPr>
          <m:t>=</m:t>
        </m:r>
        <m:r>
          <m:t>0</m:t>
        </m:r>
      </m:oMath>
      <w:r>
        <w:t xml:space="preserve"> </w:t>
      </w:r>
      <w:r>
        <w:t xml:space="preserve">and</w:t>
      </w:r>
      <w:r>
        <w:t xml:space="preserve"> </w:t>
      </w:r>
      <m:oMath>
        <m:sSub>
          <m:e>
            <m:r>
              <m:t>I</m:t>
            </m:r>
          </m:e>
          <m:sub>
            <m:r>
              <m:t>B</m:t>
            </m:r>
          </m:sub>
        </m:sSub>
        <m:r>
          <m:rPr>
            <m:sty m:val="p"/>
          </m:rPr>
          <m:t>=</m:t>
        </m:r>
        <m:r>
          <m:t>1</m:t>
        </m:r>
      </m:oMath>
      <w:r>
        <w:t xml:space="preserve">. In the second row, A’s best ex-ante action yields one and its statewise maximum yields two; B’s new action yields two in both states. Thus</w:t>
      </w:r>
      <w:r>
        <w:t xml:space="preserve"> </w:t>
      </w:r>
      <m:oMath>
        <m:sSub>
          <m:e>
            <m:r>
              <m:t>I</m:t>
            </m:r>
          </m:e>
          <m:sub>
            <m:r>
              <m:t>A</m:t>
            </m:r>
          </m:sub>
        </m:sSub>
        <m:r>
          <m:rPr>
            <m:sty m:val="p"/>
          </m:rPr>
          <m:t>=</m:t>
        </m:r>
        <m:r>
          <m:t>1</m:t>
        </m:r>
      </m:oMath>
      <w:r>
        <w:t xml:space="preserve"> </w:t>
      </w:r>
      <w:r>
        <w:t xml:space="preserve">and</w:t>
      </w:r>
      <w:r>
        <w:t xml:space="preserve"> </w:t>
      </w:r>
      <m:oMath>
        <m:sSub>
          <m:e>
            <m:r>
              <m:t>I</m:t>
            </m:r>
          </m:e>
          <m:sub>
            <m:r>
              <m:t>B</m:t>
            </m:r>
          </m:sub>
        </m:sSub>
        <m:r>
          <m:rPr>
            <m:sty m:val="p"/>
          </m:rPr>
          <m:t>=</m:t>
        </m:r>
        <m:r>
          <m:t>0</m:t>
        </m:r>
      </m:oMath>
      <w:r>
        <w:t xml:space="preserve">. These calculations verify Eq. (S25.5) and both possible orderings.</w:t>
      </w:r>
    </w:p>
    <w:p>
      <w:pPr>
        <w:widowControl/>
        <w:spacing w:after="100"/>
      </w:pPr>
      <w:r>
        <w:t xml:space="preserve">There is a corresponding historical-policy decomposition. For an exactly feasible policy, define</w:t>
      </w:r>
      <w:r>
        <w:t xml:space="preserve"> </w:t>
      </w:r>
      <m:oMath>
        <m:sSubSup>
          <m:e>
            <m:r>
              <m:t>r</m:t>
            </m:r>
          </m:e>
          <m:sub>
            <m:r>
              <m:t>W</m:t>
            </m:r>
          </m:sub>
          <m:sup>
            <m:r>
              <m:t>π</m:t>
            </m:r>
          </m:sup>
        </m:sSubSup>
        <m:d>
          <m:dPr>
            <m:begChr m:val="("/>
            <m:endChr m:val=")"/>
            <m:sepChr m:val=""/>
            <m:grow/>
          </m:dPr>
          <m:e>
            <m:r>
              <m:t>ω</m:t>
            </m:r>
          </m:e>
        </m:d>
        <m:r>
          <m:rPr>
            <m:sty m:val="p"/>
          </m:rPr>
          <m:t>=</m:t>
        </m:r>
        <m:sSubSup>
          <m:e>
            <m:r>
              <m:t>V</m:t>
            </m:r>
          </m:e>
          <m:sub>
            <m:r>
              <m:t>W</m:t>
            </m:r>
          </m:sub>
          <m:sup>
            <m:r>
              <m:rPr>
                <m:sty m:val="p"/>
              </m:rPr>
              <m:t>P</m:t>
            </m:r>
            <m:r>
              <m:rPr>
                <m:sty m:val="p"/>
              </m:rPr>
              <m:t>I</m:t>
            </m:r>
          </m:sup>
        </m:sSubSup>
        <m:d>
          <m:dPr>
            <m:begChr m:val="("/>
            <m:endChr m:val=")"/>
            <m:sepChr m:val=""/>
            <m:grow/>
          </m:dPr>
          <m:e>
            <m:r>
              <m:t>ω</m:t>
            </m:r>
          </m:e>
        </m:d>
        <m:r>
          <m:rPr>
            <m:sty m:val="p"/>
          </m:rPr>
          <m:t>−</m:t>
        </m:r>
        <m:sSubSup>
          <m:e>
            <m:r>
              <m:t>S</m:t>
            </m:r>
          </m:e>
          <m:sub>
            <m:r>
              <m:t>W</m:t>
            </m:r>
          </m:sub>
          <m:sup>
            <m:r>
              <m:t>π</m:t>
            </m:r>
          </m:sup>
        </m:sSubSup>
        <m:d>
          <m:dPr>
            <m:begChr m:val="("/>
            <m:endChr m:val=")"/>
            <m:sepChr m:val=""/>
            <m:grow/>
          </m:dPr>
          <m:e>
            <m:r>
              <m:t>ω</m:t>
            </m:r>
          </m:e>
        </m:d>
        <m:r>
          <m:rPr>
            <m:sty m:val="p"/>
          </m:rPr>
          <m:t>≥</m:t>
        </m:r>
        <m:r>
          <m:t>0</m:t>
        </m:r>
      </m:oMath>
      <w:r>
        <w:t xml:space="preserve">. Then</w:t>
      </w:r>
    </w:p>
    <w:p>
      <w:pPr>
        <w:keepLines/>
        <w:widowControl/>
        <w:spacing w:after="120" w:before="80"/>
        <w:jc w:val="center"/>
      </w:pPr>
      <m:oMathPara>
        <m:oMathParaPr>
          <m:jc m:val="center"/>
        </m:oMathParaPr>
        <m:oMath>
          <m:sSubSup>
            <m:e>
              <m:r>
                <m:t>S</m:t>
              </m:r>
            </m:e>
            <m:sub>
              <m:r>
                <m:t>B</m:t>
              </m:r>
            </m:sub>
            <m:sup>
              <m:sSub>
                <m:e>
                  <m:r>
                    <m:t>π</m:t>
                  </m:r>
                </m:e>
                <m:sub>
                  <m:r>
                    <m:t>B</m:t>
                  </m:r>
                </m:sub>
              </m:sSub>
            </m:sup>
          </m:sSubSup>
          <m:r>
            <m:rPr>
              <m:sty m:val="p"/>
            </m:rPr>
            <m:t>−</m:t>
          </m:r>
          <m:sSubSup>
            <m:e>
              <m:r>
                <m:t>S</m:t>
              </m:r>
            </m:e>
            <m:sub>
              <m:r>
                <m:t>A</m:t>
              </m:r>
            </m:sub>
            <m:sup>
              <m:sSub>
                <m:e>
                  <m:r>
                    <m:t>π</m:t>
                  </m:r>
                </m:e>
                <m:sub>
                  <m:r>
                    <m:t>A</m:t>
                  </m:r>
                </m:sub>
              </m:sSub>
            </m:sup>
          </m:sSubSup>
          <m:r>
            <m:rPr>
              <m:sty m:val="p"/>
            </m:rPr>
            <m:t>=</m:t>
          </m:r>
          <m:sSubSup>
            <m:e>
              <m:r>
                <m:t>V</m:t>
              </m:r>
            </m:e>
            <m:sub>
              <m:r>
                <m:t>B</m:t>
              </m:r>
            </m:sub>
            <m:sup>
              <m:r>
                <m:rPr>
                  <m:sty m:val="p"/>
                </m:rPr>
                <m:t>P</m:t>
              </m:r>
              <m:r>
                <m:rPr>
                  <m:sty m:val="p"/>
                </m:rPr>
                <m:t>I</m:t>
              </m:r>
            </m:sup>
          </m:sSubSup>
          <m:r>
            <m:rPr>
              <m:sty m:val="p"/>
            </m:rPr>
            <m:t>−</m:t>
          </m:r>
          <m:sSubSup>
            <m:e>
              <m:r>
                <m:t>V</m:t>
              </m:r>
            </m:e>
            <m:sub>
              <m:r>
                <m:t>A</m:t>
              </m:r>
            </m:sub>
            <m:sup>
              <m:r>
                <m:rPr>
                  <m:sty m:val="p"/>
                </m:rPr>
                <m:t>P</m:t>
              </m:r>
              <m:r>
                <m:rPr>
                  <m:sty m:val="p"/>
                </m:rPr>
                <m:t>I</m:t>
              </m:r>
            </m:sup>
          </m:sSubSup>
          <m:r>
            <m:rPr>
              <m:sty m:val="p"/>
            </m:rPr>
            <m:t>−</m:t>
          </m:r>
          <m:d>
            <m:dPr>
              <m:begChr m:val="("/>
              <m:endChr m:val=")"/>
              <m:sepChr m:val=""/>
              <m:grow/>
            </m:dPr>
            <m:e>
              <m:sSubSup>
                <m:e>
                  <m:r>
                    <m:t>r</m:t>
                  </m:r>
                </m:e>
                <m:sub>
                  <m:r>
                    <m:t>B</m:t>
                  </m:r>
                </m:sub>
                <m:sup>
                  <m:sSub>
                    <m:e>
                      <m:r>
                        <m:t>π</m:t>
                      </m:r>
                    </m:e>
                    <m:sub>
                      <m:r>
                        <m:t>B</m:t>
                      </m:r>
                    </m:sub>
                  </m:sSub>
                </m:sup>
              </m:sSubSup>
              <m:r>
                <m:rPr>
                  <m:sty m:val="p"/>
                </m:rPr>
                <m:t>−</m:t>
              </m:r>
              <m:sSubSup>
                <m:e>
                  <m:r>
                    <m:t>r</m:t>
                  </m:r>
                </m:e>
                <m:sub>
                  <m:r>
                    <m:t>A</m:t>
                  </m:r>
                </m:sub>
                <m:sup>
                  <m:sSub>
                    <m:e>
                      <m:r>
                        <m:t>π</m:t>
                      </m:r>
                    </m:e>
                    <m:sub>
                      <m:r>
                        <m:t>A</m:t>
                      </m:r>
                    </m:sub>
                  </m:sSub>
                </m:sup>
              </m:sSubSup>
            </m:e>
          </m:d>
          <m:r>
            <m:rPr>
              <m:sty m:val="p"/>
            </m:rPr>
            <m:t>.</m:t>
          </m:r>
          <m:r>
            <m:t>  </m:t>
          </m:r>
          <m:r>
            <m:rPr>
              <m:nor/>
              <m:sty m:val="p"/>
            </m:rPr>
            <m:t>(S25.6)</m:t>
          </m:r>
        </m:oMath>
      </m:oMathPara>
    </w:p>
    <w:p>
      <w:pPr>
        <w:widowControl/>
        <w:spacing w:after="100"/>
      </w:pPr>
      <w:r>
        <w:t xml:space="preserve">A same-controller historical upgrade therefore combines the change in optimal opportunity with the change in that controller’s unused opportunity. The paired values in S26 are operating comparisons; they do not independently identify the optimal rights premium.</w:t>
      </w:r>
    </w:p>
    <w:bookmarkEnd w:id="21"/>
    <w:bookmarkStart w:id="22" w:name="X240c53fe36279f7e73a656b5e057eddeceb8b87"/>
    <w:p>
      <w:pPr>
        <w:pStyle w:val="Heading2"/>
        <w:keepNext/>
        <w:widowControl/>
        <w:spacing w:after="100"/>
      </w:pPr>
      <w:r>
        <w:rPr>
          <w:color w:val="000000"/>
        </w:rPr>
        <w:t xml:space="preserve">S25.3 Incremental bounds under a stated criterion</w:t>
      </w:r>
    </w:p>
    <w:p>
      <w:pPr>
        <w:widowControl/>
        <w:spacing w:after="100"/>
      </w:pPr>
      <w:r>
        <w:t xml:space="preserve">Let</w:t>
      </w:r>
      <w:r>
        <w:t xml:space="preserve"> </w:t>
      </w:r>
      <m:oMath>
        <m:sSub>
          <m:e>
            <m:r>
              <m:t>H</m:t>
            </m:r>
          </m:e>
          <m:sub>
            <m:r>
              <m:t>A</m:t>
            </m:r>
          </m:sub>
        </m:sSub>
        <m:r>
          <m:rPr>
            <m:sty m:val="p"/>
          </m:rPr>
          <m:t>,</m:t>
        </m:r>
        <m:sSub>
          <m:e>
            <m:r>
              <m:t>H</m:t>
            </m:r>
          </m:e>
          <m:sub>
            <m:r>
              <m:t>B</m:t>
            </m:r>
          </m:sub>
        </m:sSub>
      </m:oMath>
      <w:r>
        <w:t xml:space="preserve"> </w:t>
      </w:r>
      <w:r>
        <w:t xml:space="preserve">be exactly feasible savings, including their monetary correction, and let</w:t>
      </w:r>
      <w:r>
        <w:t xml:space="preserve"> </w:t>
      </w:r>
      <m:oMath>
        <m:sSub>
          <m:e>
            <m:r>
              <m:t>U</m:t>
            </m:r>
          </m:e>
          <m:sub>
            <m:r>
              <m:t>A</m:t>
            </m:r>
          </m:sub>
        </m:sSub>
        <m:r>
          <m:rPr>
            <m:sty m:val="p"/>
          </m:rPr>
          <m:t>,</m:t>
        </m:r>
        <m:sSub>
          <m:e>
            <m:r>
              <m:t>U</m:t>
            </m:r>
          </m:e>
          <m:sub>
            <m:r>
              <m:t>B</m:t>
            </m:r>
          </m:sub>
        </m:sSub>
      </m:oMath>
      <w:r>
        <w:t xml:space="preserve"> </w:t>
      </w:r>
      <w:r>
        <w:t xml:space="preserve">be valid savings ceilings for the same realised path and account. The corrected incremental interval is</w:t>
      </w:r>
    </w:p>
    <w:p>
      <w:pPr>
        <w:keepLines/>
        <w:widowControl/>
        <w:spacing w:after="120" w:before="80"/>
        <w:jc w:val="center"/>
      </w:pPr>
      <m:oMathPara>
        <m:oMathParaPr>
          <m:jc m:val="center"/>
        </m:oMathParaPr>
        <m:oMath>
          <m:r>
            <m:rPr>
              <m:sty m:val="p"/>
            </m:rPr>
            <m:t>max</m:t>
          </m:r>
          <m:d>
            <m:dPr>
              <m:begChr m:val="("/>
              <m:endChr m:val=")"/>
              <m:sepChr m:val=""/>
              <m:grow/>
            </m:dPr>
            <m:e>
              <m:r>
                <m:t>0</m:t>
              </m:r>
              <m:r>
                <m:rPr>
                  <m:sty m:val="p"/>
                </m:rPr>
                <m:t>,</m:t>
              </m:r>
              <m:sSub>
                <m:e>
                  <m:r>
                    <m:t>H</m:t>
                  </m:r>
                </m:e>
                <m:sub>
                  <m:r>
                    <m:t>B</m:t>
                  </m:r>
                </m:sub>
              </m:sSub>
              <m:r>
                <m:rPr>
                  <m:sty m:val="p"/>
                </m:rPr>
                <m:t>−</m:t>
              </m:r>
              <m:sSub>
                <m:e>
                  <m:r>
                    <m:t>U</m:t>
                  </m:r>
                </m:e>
                <m:sub>
                  <m:r>
                    <m:t>A</m:t>
                  </m:r>
                </m:sub>
              </m:sSub>
            </m:e>
          </m:d>
          <m:r>
            <m:rPr>
              <m:sty m:val="p"/>
            </m:rPr>
            <m:t>≤</m:t>
          </m:r>
          <m:sSubSup>
            <m:e>
              <m:r>
                <m:t>V</m:t>
              </m:r>
            </m:e>
            <m:sub>
              <m:r>
                <m:t>B</m:t>
              </m:r>
            </m:sub>
            <m:sup>
              <m:r>
                <m:rPr>
                  <m:sty m:val="p"/>
                </m:rPr>
                <m:t>P</m:t>
              </m:r>
              <m:r>
                <m:rPr>
                  <m:sty m:val="p"/>
                </m:rPr>
                <m:t>I</m:t>
              </m:r>
            </m:sup>
          </m:sSubSup>
          <m:r>
            <m:rPr>
              <m:sty m:val="p"/>
            </m:rPr>
            <m:t>−</m:t>
          </m:r>
          <m:sSubSup>
            <m:e>
              <m:r>
                <m:t>V</m:t>
              </m:r>
            </m:e>
            <m:sub>
              <m:r>
                <m:t>A</m:t>
              </m:r>
            </m:sub>
            <m:sup>
              <m:r>
                <m:rPr>
                  <m:sty m:val="p"/>
                </m:rPr>
                <m:t>P</m:t>
              </m:r>
              <m:r>
                <m:rPr>
                  <m:sty m:val="p"/>
                </m:rPr>
                <m:t>I</m:t>
              </m:r>
            </m:sup>
          </m:sSubSup>
          <m:r>
            <m:rPr>
              <m:sty m:val="p"/>
            </m:rPr>
            <m:t>≤</m:t>
          </m:r>
          <m:sSub>
            <m:e>
              <m:r>
                <m:t>U</m:t>
              </m:r>
            </m:e>
            <m:sub>
              <m:r>
                <m:t>B</m:t>
              </m:r>
            </m:sub>
          </m:sSub>
          <m:r>
            <m:rPr>
              <m:sty m:val="p"/>
            </m:rPr>
            <m:t>−</m:t>
          </m:r>
          <m:sSub>
            <m:e>
              <m:r>
                <m:t>H</m:t>
              </m:r>
            </m:e>
            <m:sub>
              <m:r>
                <m:t>A</m:t>
              </m:r>
            </m:sub>
          </m:sSub>
          <m:r>
            <m:rPr>
              <m:sty m:val="p"/>
            </m:rPr>
            <m:t>.</m:t>
          </m:r>
          <m:r>
            <m:t>  </m:t>
          </m:r>
          <m:r>
            <m:rPr>
              <m:nor/>
              <m:sty m:val="p"/>
            </m:rPr>
            <m:t>(S25.7)</m:t>
          </m:r>
        </m:oMath>
      </m:oMathPara>
    </w:p>
    <w:p>
      <w:pPr>
        <w:widowControl/>
        <w:spacing w:after="100"/>
      </w:pPr>
      <w:r>
        <w:t xml:space="preserve">The lower difference follows from</w:t>
      </w:r>
      <w:r>
        <w:t xml:space="preserve"> </w:t>
      </w:r>
      <m:oMath>
        <m:sSubSup>
          <m:e>
            <m:r>
              <m:t>V</m:t>
            </m:r>
          </m:e>
          <m:sub>
            <m:r>
              <m:t>B</m:t>
            </m:r>
          </m:sub>
          <m:sup>
            <m:r>
              <m:rPr>
                <m:sty m:val="p"/>
              </m:rPr>
              <m:t>P</m:t>
            </m:r>
            <m:r>
              <m:rPr>
                <m:sty m:val="p"/>
              </m:rPr>
              <m:t>I</m:t>
            </m:r>
          </m:sup>
        </m:sSubSup>
        <m:r>
          <m:rPr>
            <m:sty m:val="p"/>
          </m:rPr>
          <m:t>≥</m:t>
        </m:r>
        <m:sSub>
          <m:e>
            <m:r>
              <m:t>H</m:t>
            </m:r>
          </m:e>
          <m:sub>
            <m:r>
              <m:t>B</m:t>
            </m:r>
          </m:sub>
        </m:sSub>
      </m:oMath>
      <w:r>
        <w:t xml:space="preserve"> </w:t>
      </w:r>
      <w:r>
        <w:t xml:space="preserve">and</w:t>
      </w:r>
      <w:r>
        <w:t xml:space="preserve"> </w:t>
      </w:r>
      <m:oMath>
        <m:sSubSup>
          <m:e>
            <m:r>
              <m:t>V</m:t>
            </m:r>
          </m:e>
          <m:sub>
            <m:r>
              <m:t>A</m:t>
            </m:r>
          </m:sub>
          <m:sup>
            <m:r>
              <m:rPr>
                <m:sty m:val="p"/>
              </m:rPr>
              <m:t>P</m:t>
            </m:r>
            <m:r>
              <m:rPr>
                <m:sty m:val="p"/>
              </m:rPr>
              <m:t>I</m:t>
            </m:r>
          </m:sup>
        </m:sSubSup>
        <m:r>
          <m:rPr>
            <m:sty m:val="p"/>
          </m:rPr>
          <m:t>≤</m:t>
        </m:r>
        <m:sSub>
          <m:e>
            <m:r>
              <m:t>U</m:t>
            </m:r>
          </m:e>
          <m:sub>
            <m:r>
              <m:t>A</m:t>
            </m:r>
          </m:sub>
        </m:sSub>
      </m:oMath>
      <w:r>
        <w:t xml:space="preserve">; nesting adds zero as a lower bound. The opposite pair gives the upper difference. Subtracting two ceilings or two witnesses does not establish this interval. For example, A and B value intervals [50, 100] and [80, 120] permit nested true values (99, 100) or (50, 120). The corresponding increments are 1 and 70, while the difference of witness endpoints is 30 and the difference of ceiling endpoints is 20. The valid general increment interval is [0, 70].</w:t>
      </w:r>
    </w:p>
    <w:p>
      <w:pPr>
        <w:widowControl/>
        <w:spacing w:after="100"/>
      </w:pPr>
      <w:r>
        <w:t xml:space="preserve">Using</w:t>
      </w:r>
      <w:r>
        <w:t xml:space="preserve"> </w:t>
      </w:r>
      <m:oMath>
        <m:sSub>
          <m:e>
            <m:r>
              <m:t>H</m:t>
            </m:r>
          </m:e>
          <m:sub>
            <m:r>
              <m:t>B</m:t>
            </m:r>
          </m:sub>
        </m:sSub>
        <m:r>
          <m:rPr>
            <m:sty m:val="p"/>
          </m:rPr>
          <m:t>=</m:t>
        </m:r>
        <m:sSubSup>
          <m:e>
            <m:r>
              <m:t>H</m:t>
            </m:r>
          </m:e>
          <m:sub>
            <m:r>
              <m:t>B</m:t>
            </m:r>
          </m:sub>
          <m:sup>
            <m:r>
              <m:rPr>
                <m:sty m:val="p"/>
              </m:rPr>
              <m:t>r</m:t>
            </m:r>
            <m:r>
              <m:rPr>
                <m:sty m:val="p"/>
              </m:rPr>
              <m:t>a</m:t>
            </m:r>
            <m:r>
              <m:rPr>
                <m:sty m:val="p"/>
              </m:rPr>
              <m:t>w</m:t>
            </m:r>
          </m:sup>
        </m:sSubSup>
        <m:r>
          <m:rPr>
            <m:sty m:val="p"/>
          </m:rPr>
          <m:t>−</m:t>
        </m:r>
        <m:sSub>
          <m:e>
            <m:r>
              <m:t>δ</m:t>
            </m:r>
          </m:e>
          <m:sub>
            <m:r>
              <m:t>B</m:t>
            </m:r>
          </m:sub>
        </m:sSub>
      </m:oMath>
      <w:r>
        <w:t xml:space="preserve"> </w:t>
      </w:r>
      <w:r>
        <w:t xml:space="preserve">and</w:t>
      </w:r>
      <w:r>
        <w:t xml:space="preserve"> </w:t>
      </w:r>
      <m:oMath>
        <m:sSub>
          <m:e>
            <m:r>
              <m:t>H</m:t>
            </m:r>
          </m:e>
          <m:sub>
            <m:r>
              <m:t>A</m:t>
            </m:r>
          </m:sub>
        </m:sSub>
        <m:r>
          <m:rPr>
            <m:sty m:val="p"/>
          </m:rPr>
          <m:t>=</m:t>
        </m:r>
        <m:sSubSup>
          <m:e>
            <m:r>
              <m:t>H</m:t>
            </m:r>
          </m:e>
          <m:sub>
            <m:r>
              <m:t>A</m:t>
            </m:r>
          </m:sub>
          <m:sup>
            <m:r>
              <m:rPr>
                <m:sty m:val="p"/>
              </m:rPr>
              <m:t>r</m:t>
            </m:r>
            <m:r>
              <m:rPr>
                <m:sty m:val="p"/>
              </m:rPr>
              <m:t>a</m:t>
            </m:r>
            <m:r>
              <m:rPr>
                <m:sty m:val="p"/>
              </m:rPr>
              <m:t>w</m:t>
            </m:r>
          </m:sup>
        </m:sSubSup>
        <m:r>
          <m:rPr>
            <m:sty m:val="p"/>
          </m:rPr>
          <m:t>−</m:t>
        </m:r>
        <m:sSub>
          <m:e>
            <m:r>
              <m:t>δ</m:t>
            </m:r>
          </m:e>
          <m:sub>
            <m:r>
              <m:t>A</m:t>
            </m:r>
          </m:sub>
        </m:sSub>
      </m:oMath>
      <w:r>
        <w:t xml:space="preserve"> </w:t>
      </w:r>
      <w:r>
        <w:t xml:space="preserve">makes the lower endpoint</w:t>
      </w:r>
      <w:r>
        <w:t xml:space="preserve"> </w:t>
      </w:r>
      <m:oMath>
        <m:r>
          <m:rPr>
            <m:sty m:val="p"/>
          </m:rPr>
          <m:t>max</m:t>
        </m:r>
        <m:d>
          <m:dPr>
            <m:begChr m:val="("/>
            <m:endChr m:val=")"/>
            <m:sepChr m:val=""/>
            <m:grow/>
          </m:dPr>
          <m:e>
            <m:r>
              <m:t>0</m:t>
            </m:r>
            <m:r>
              <m:rPr>
                <m:sty m:val="p"/>
              </m:rPr>
              <m:t>,</m:t>
            </m:r>
            <m:sSubSup>
              <m:e>
                <m:r>
                  <m:t>H</m:t>
                </m:r>
              </m:e>
              <m:sub>
                <m:r>
                  <m:t>B</m:t>
                </m:r>
              </m:sub>
              <m:sup>
                <m:r>
                  <m:rPr>
                    <m:sty m:val="p"/>
                  </m:rPr>
                  <m:t>r</m:t>
                </m:r>
                <m:r>
                  <m:rPr>
                    <m:sty m:val="p"/>
                  </m:rPr>
                  <m:t>a</m:t>
                </m:r>
                <m:r>
                  <m:rPr>
                    <m:sty m:val="p"/>
                  </m:rPr>
                  <m:t>w</m:t>
                </m:r>
              </m:sup>
            </m:sSubSup>
            <m:r>
              <m:rPr>
                <m:sty m:val="p"/>
              </m:rPr>
              <m:t>−</m:t>
            </m:r>
            <m:sSub>
              <m:e>
                <m:r>
                  <m:t>δ</m:t>
                </m:r>
              </m:e>
              <m:sub>
                <m:r>
                  <m:t>B</m:t>
                </m:r>
              </m:sub>
            </m:sSub>
            <m:r>
              <m:rPr>
                <m:sty m:val="p"/>
              </m:rPr>
              <m:t>−</m:t>
            </m:r>
            <m:sSub>
              <m:e>
                <m:r>
                  <m:t>U</m:t>
                </m:r>
              </m:e>
              <m:sub>
                <m:r>
                  <m:t>A</m:t>
                </m:r>
              </m:sub>
            </m:sSub>
          </m:e>
        </m:d>
      </m:oMath>
      <w:r>
        <w:t xml:space="preserve"> </w:t>
      </w:r>
      <w:r>
        <w:t xml:space="preserve">and the upper endpoint</w:t>
      </w:r>
      <w:r>
        <w:t xml:space="preserve"> </w:t>
      </w:r>
      <m:oMath>
        <m:sSub>
          <m:e>
            <m:r>
              <m:t>U</m:t>
            </m:r>
          </m:e>
          <m:sub>
            <m:r>
              <m:t>B</m:t>
            </m:r>
          </m:sub>
        </m:sSub>
        <m:r>
          <m:rPr>
            <m:sty m:val="p"/>
          </m:rPr>
          <m:t>−</m:t>
        </m:r>
        <m:sSubSup>
          <m:e>
            <m:r>
              <m:t>H</m:t>
            </m:r>
          </m:e>
          <m:sub>
            <m:r>
              <m:t>A</m:t>
            </m:r>
          </m:sub>
          <m:sup>
            <m:r>
              <m:rPr>
                <m:sty m:val="p"/>
              </m:rPr>
              <m:t>r</m:t>
            </m:r>
            <m:r>
              <m:rPr>
                <m:sty m:val="p"/>
              </m:rPr>
              <m:t>a</m:t>
            </m:r>
            <m:r>
              <m:rPr>
                <m:sty m:val="p"/>
              </m:rPr>
              <m:t>w</m:t>
            </m:r>
          </m:sup>
        </m:sSubSup>
        <m:r>
          <m:rPr>
            <m:sty m:val="p"/>
          </m:rPr>
          <m:t>+</m:t>
        </m:r>
        <m:sSub>
          <m:e>
            <m:r>
              <m:t>δ</m:t>
            </m:r>
          </m:e>
          <m:sub>
            <m:r>
              <m:t>A</m:t>
            </m:r>
          </m:sub>
        </m:sSub>
      </m:oMath>
      <w:r>
        <w:t xml:space="preserve">. A’s repair allowance must therefore be retained when reporting an upper incremental bound. Any additional ceiling allowance enters in its adverse direction. Independent implementations combine through the smaller valid savings ceiling; exceeding both separately requires comparison with the larger ceiling. These statements apply to any original or newly constructed certificate once its domain, objective dominance and verification conditions have been established.</w:t>
      </w:r>
    </w:p>
    <w:p>
      <w:pPr>
        <w:widowControl/>
        <w:spacing w:after="100"/>
      </w:pPr>
      <w:r>
        <w:t xml:space="preserve">For the ex-ante criterion, a constructive test uses an admissible B policy</w:t>
      </w:r>
      <w:r>
        <w:t xml:space="preserve"> </w:t>
      </w:r>
      <m:oMath>
        <m:sSub>
          <m:e>
            <m:r>
              <m:t>π</m:t>
            </m:r>
          </m:e>
          <m:sub>
            <m:r>
              <m:t>B</m:t>
            </m:r>
          </m:sub>
        </m:sSub>
      </m:oMath>
      <w:r>
        <w:t xml:space="preserve"> </w:t>
      </w:r>
      <w:r>
        <w:t xml:space="preserve">and a validated lower bound</w:t>
      </w:r>
      <w:r>
        <w:t xml:space="preserve"> </w:t>
      </w:r>
      <m:oMath>
        <m:sSubSup>
          <m:e>
            <m:r>
              <m:t>h</m:t>
            </m:r>
          </m:e>
          <m:sub>
            <m:r>
              <m:t>B</m:t>
            </m:r>
          </m:sub>
          <m:sup>
            <m:r>
              <m:rPr>
                <m:sty m:val="p"/>
                <m:scr m:val="script"/>
              </m:rPr>
              <m:t>F</m:t>
            </m:r>
          </m:sup>
        </m:sSubSup>
      </m:oMath>
      <w:r>
        <w:t xml:space="preserve"> </w:t>
      </w:r>
      <w:r>
        <w:t xml:space="preserve">on its expected saving. If</w:t>
      </w:r>
      <w:r>
        <w:t xml:space="preserve"> </w:t>
      </w:r>
      <m:oMath>
        <m:sSubSup>
          <m:e>
            <m:r>
              <m:t>u</m:t>
            </m:r>
          </m:e>
          <m:sub>
            <m:r>
              <m:t>A</m:t>
            </m:r>
          </m:sub>
          <m:sup>
            <m:r>
              <m:rPr>
                <m:sty m:val="p"/>
                <m:scr m:val="script"/>
              </m:rPr>
              <m:t>F</m:t>
            </m:r>
          </m:sup>
        </m:sSubSup>
      </m:oMath>
      <w:r>
        <w:t xml:space="preserve"> </w:t>
      </w:r>
      <w:r>
        <w:t xml:space="preserve">upper-bounds</w:t>
      </w:r>
      <w:r>
        <w:t xml:space="preserve"> </w:t>
      </w:r>
      <m:oMath>
        <m:sSubSup>
          <m:e>
            <m:r>
              <m:t>V</m:t>
            </m:r>
          </m:e>
          <m:sub>
            <m:r>
              <m:t>A</m:t>
            </m:r>
          </m:sub>
          <m:sup>
            <m:r>
              <m:rPr>
                <m:sty m:val="p"/>
                <m:scr m:val="script"/>
              </m:rPr>
              <m:t>F</m:t>
            </m:r>
          </m:sup>
        </m:sSubSup>
      </m:oMath>
      <w:r>
        <w:t xml:space="preserve">, then</w:t>
      </w:r>
    </w:p>
    <w:p>
      <w:pPr>
        <w:keepLines/>
        <w:widowControl/>
        <w:spacing w:after="120" w:before="80"/>
        <w:jc w:val="center"/>
      </w:pPr>
      <m:oMathPara>
        <m:oMathParaPr>
          <m:jc m:val="center"/>
        </m:oMathParaPr>
        <m:oMath>
          <m:sSubSup>
            <m:e>
              <m:r>
                <m:t>V</m:t>
              </m:r>
            </m:e>
            <m:sub>
              <m:r>
                <m:t>B</m:t>
              </m:r>
            </m:sub>
            <m:sup>
              <m:r>
                <m:rPr>
                  <m:sty m:val="p"/>
                  <m:scr m:val="script"/>
                </m:rPr>
                <m:t>F</m:t>
              </m:r>
            </m:sup>
          </m:sSubSup>
          <m:r>
            <m:rPr>
              <m:sty m:val="p"/>
            </m:rPr>
            <m:t>−</m:t>
          </m:r>
          <m:sSubSup>
            <m:e>
              <m:r>
                <m:t>V</m:t>
              </m:r>
            </m:e>
            <m:sub>
              <m:r>
                <m:t>A</m:t>
              </m:r>
            </m:sub>
            <m:sup>
              <m:r>
                <m:rPr>
                  <m:sty m:val="p"/>
                  <m:scr m:val="script"/>
                </m:rPr>
                <m:t>F</m:t>
              </m:r>
            </m:sup>
          </m:sSubSup>
          <m:r>
            <m:rPr>
              <m:sty m:val="p"/>
            </m:rPr>
            <m:t>≥</m:t>
          </m:r>
          <m:sSubSup>
            <m:e>
              <m:r>
                <m:t>h</m:t>
              </m:r>
            </m:e>
            <m:sub>
              <m:r>
                <m:t>B</m:t>
              </m:r>
            </m:sub>
            <m:sup>
              <m:r>
                <m:rPr>
                  <m:sty m:val="p"/>
                  <m:scr m:val="script"/>
                </m:rPr>
                <m:t>F</m:t>
              </m:r>
            </m:sup>
          </m:sSubSup>
          <m:r>
            <m:rPr>
              <m:sty m:val="p"/>
            </m:rPr>
            <m:t>−</m:t>
          </m:r>
          <m:sSubSup>
            <m:e>
              <m:r>
                <m:t>u</m:t>
              </m:r>
            </m:e>
            <m:sub>
              <m:r>
                <m:t>A</m:t>
              </m:r>
            </m:sub>
            <m:sup>
              <m:r>
                <m:rPr>
                  <m:sty m:val="p"/>
                  <m:scr m:val="script"/>
                </m:rPr>
                <m:t>F</m:t>
              </m:r>
            </m:sup>
          </m:sSubSup>
          <m:r>
            <m:rPr>
              <m:sty m:val="p"/>
            </m:rPr>
            <m:t>.</m:t>
          </m:r>
          <m:r>
            <m:t>  </m:t>
          </m:r>
          <m:r>
            <m:rPr>
              <m:nor/>
              <m:sty m:val="p"/>
            </m:rPr>
            <m:t>(S25.8)</m:t>
          </m:r>
        </m:oMath>
      </m:oMathPara>
    </w:p>
    <w:p>
      <w:pPr>
        <w:widowControl/>
        <w:spacing w:after="100"/>
      </w:pPr>
      <w:r>
        <w:t xml:space="preserve">An integrable pathwise ceiling gives</w:t>
      </w:r>
      <w:r>
        <w:t xml:space="preserve"> </w:t>
      </w:r>
      <m:oMath>
        <m:sSubSup>
          <m:e>
            <m:r>
              <m:t>V</m:t>
            </m:r>
          </m:e>
          <m:sub>
            <m:r>
              <m:t>A</m:t>
            </m:r>
          </m:sub>
          <m:sup>
            <m:r>
              <m:rPr>
                <m:sty m:val="p"/>
                <m:scr m:val="script"/>
              </m:rPr>
              <m:t>F</m:t>
            </m:r>
          </m:sup>
        </m:sSubSup>
        <m:r>
          <m:rPr>
            <m:sty m:val="p"/>
          </m:rPr>
          <m:t>≤</m:t>
        </m:r>
        <m:r>
          <m:rPr>
            <m:sty m:val="p"/>
            <m:scr m:val="double-struck"/>
          </m:rPr>
          <m:t>E</m:t>
        </m:r>
        <m:r>
          <m:rPr>
            <m:sty m:val="p"/>
          </m:rPr>
          <m:t>[</m:t>
        </m:r>
        <m:sSub>
          <m:e>
            <m:r>
              <m:t>U</m:t>
            </m:r>
          </m:e>
          <m:sub>
            <m:r>
              <m:t>A</m:t>
            </m:r>
          </m:sub>
        </m:sSub>
        <m:r>
          <m:rPr>
            <m:sty m:val="p"/>
          </m:rPr>
          <m:t>]</m:t>
        </m:r>
      </m:oMath>
      <w:r>
        <w:t xml:space="preserve">, so a valid upper bound on that expectation can supply</w:t>
      </w:r>
      <w:r>
        <w:t xml:space="preserve"> </w:t>
      </w:r>
      <m:oMath>
        <m:sSubSup>
          <m:e>
            <m:r>
              <m:t>u</m:t>
            </m:r>
          </m:e>
          <m:sub>
            <m:r>
              <m:t>A</m:t>
            </m:r>
          </m:sub>
          <m:sup>
            <m:r>
              <m:rPr>
                <m:sty m:val="p"/>
                <m:scr m:val="script"/>
              </m:rPr>
              <m:t>F</m:t>
            </m:r>
          </m:sup>
        </m:sSubSup>
      </m:oMath>
      <w:r>
        <w:t xml:space="preserve">. The B lower bound must come from an implementable policy under the same law; a hindsight witness cannot replace it. Scenario-specific hindsight choices are not a nonanticipative policy unless their decisions agree whenever the available histories agree. If either endpoint is statistically estimated, the claimed coverage of their difference must hold jointly. The original annual hindsight scalar and one observed policy year do not establish Eq. (S25.8) numerically.</w:t>
      </w:r>
    </w:p>
    <w:bookmarkEnd w:id="22"/>
    <w:bookmarkStart w:id="23" w:name="X6b9da610d4a23cdac8c3146f5856286a4647ad8"/>
    <w:p>
      <w:pPr>
        <w:pStyle w:val="Heading2"/>
        <w:keepNext/>
        <w:widowControl/>
        <w:spacing w:after="100"/>
      </w:pPr>
      <w:r>
        <w:rPr>
          <w:color w:val="000000"/>
        </w:rPr>
        <w:t xml:space="preserve">S25.4 Net operator value and bilateral participation</w:t>
      </w:r>
    </w:p>
    <w:p>
      <w:pPr>
        <w:widowControl/>
        <w:spacing w:after="100"/>
      </w:pPr>
      <w:r>
        <w:t xml:space="preserve">Let</w:t>
      </w:r>
      <w:r>
        <w:t xml:space="preserve"> </w:t>
      </w:r>
      <m:oMath>
        <m:r>
          <m:t>g</m:t>
        </m:r>
      </m:oMath>
      <w:r>
        <w:t xml:space="preserve"> </w:t>
      </w:r>
      <w:r>
        <w:t xml:space="preserve">denote an explicitly identified incremental operating-value criterion: a historical policy contrast, a pathwise PI difference, or the adapted expected difference. Let</w:t>
      </w:r>
      <w:r>
        <w:t xml:space="preserve"> </w:t>
      </w:r>
      <m:oMath>
        <m:r>
          <m:t>F</m:t>
        </m:r>
      </m:oMath>
      <w:r>
        <w:t xml:space="preserve"> </w:t>
      </w:r>
      <w:r>
        <w:t xml:space="preserve">be an incremental tenant transfer and</w:t>
      </w:r>
      <w:r>
        <w:t xml:space="preserve"> </w:t>
      </w:r>
      <m:oMath>
        <m:sSub>
          <m:e>
            <m:r>
              <m:t>K</m:t>
            </m:r>
          </m:e>
          <m:sub>
            <m:r>
              <m:t>o</m:t>
            </m:r>
          </m:sub>
        </m:sSub>
      </m:oMath>
      <w:r>
        <w:t xml:space="preserve"> </w:t>
      </w:r>
      <w:r>
        <w:t xml:space="preserve">the operator’s incremental implementation, contracting and verification cost, all relative to retaining A. If these charges are fixed and independent of dispatch, the operator net increment is</w:t>
      </w:r>
    </w:p>
    <w:p>
      <w:pPr>
        <w:keepLines/>
        <w:widowControl/>
        <w:spacing w:after="120" w:before="80"/>
        <w:jc w:val="center"/>
      </w:pPr>
      <m:oMathPara>
        <m:oMathParaPr>
          <m:jc m:val="center"/>
        </m:oMathParaPr>
        <m:oMath>
          <m:sSub>
            <m:e>
              <m:r>
                <m:t>N</m:t>
              </m:r>
            </m:e>
            <m:sub>
              <m:r>
                <m:t>o</m:t>
              </m:r>
            </m:sub>
          </m:sSub>
          <m:r>
            <m:rPr>
              <m:sty m:val="p"/>
            </m:rPr>
            <m:t>=</m:t>
          </m:r>
          <m:r>
            <m:t>g</m:t>
          </m:r>
          <m:r>
            <m:rPr>
              <m:sty m:val="p"/>
            </m:rPr>
            <m:t>−</m:t>
          </m:r>
          <m:r>
            <m:t>F</m:t>
          </m:r>
          <m:r>
            <m:rPr>
              <m:sty m:val="p"/>
            </m:rPr>
            <m:t>−</m:t>
          </m:r>
          <m:sSub>
            <m:e>
              <m:r>
                <m:t>K</m:t>
              </m:r>
            </m:e>
            <m:sub>
              <m:r>
                <m:t>o</m:t>
              </m:r>
            </m:sub>
          </m:sSub>
          <m:r>
            <m:rPr>
              <m:sty m:val="p"/>
            </m:rPr>
            <m:t>.</m:t>
          </m:r>
          <m:r>
            <m:t>  </m:t>
          </m:r>
          <m:r>
            <m:rPr>
              <m:nor/>
              <m:sty m:val="p"/>
            </m:rPr>
            <m:t>(S25.9)</m:t>
          </m:r>
        </m:oMath>
      </m:oMathPara>
    </w:p>
    <w:p>
      <w:pPr>
        <w:widowControl/>
        <w:spacing w:after="100"/>
      </w:pPr>
      <w:r>
        <w:t xml:space="preserve">The ex-ante version uses</w:t>
      </w:r>
      <w:r>
        <w:t xml:space="preserve"> </w:t>
      </w:r>
      <m:oMath>
        <m:r>
          <m:t>g</m:t>
        </m:r>
        <m:r>
          <m:rPr>
            <m:sty m:val="p"/>
          </m:rPr>
          <m:t>=</m:t>
        </m:r>
        <m:sSubSup>
          <m:e>
            <m:r>
              <m:t>V</m:t>
            </m:r>
          </m:e>
          <m:sub>
            <m:r>
              <m:t>B</m:t>
            </m:r>
          </m:sub>
          <m:sup>
            <m:r>
              <m:rPr>
                <m:sty m:val="p"/>
                <m:scr m:val="script"/>
              </m:rPr>
              <m:t>F</m:t>
            </m:r>
          </m:sup>
        </m:sSubSup>
        <m:r>
          <m:rPr>
            <m:sty m:val="p"/>
          </m:rPr>
          <m:t>−</m:t>
        </m:r>
        <m:sSubSup>
          <m:e>
            <m:r>
              <m:t>V</m:t>
            </m:r>
          </m:e>
          <m:sub>
            <m:r>
              <m:t>A</m:t>
            </m:r>
          </m:sub>
          <m:sup>
            <m:r>
              <m:rPr>
                <m:sty m:val="p"/>
                <m:scr m:val="script"/>
              </m:rPr>
              <m:t>F</m:t>
            </m:r>
          </m:sup>
        </m:sSubSup>
      </m:oMath>
      <w:r>
        <w:t xml:space="preserve">; the historical sensitivity in S26 uses the selected policy’s realised difference. These substitutions must not be mixed. If the chosen criterion has a valid interval</w:t>
      </w:r>
      <w:r>
        <w:t xml:space="preserve"> </w:t>
      </w:r>
      <m:oMath>
        <m:r>
          <m:t>g</m:t>
        </m:r>
        <m:r>
          <m:rPr>
            <m:sty m:val="p"/>
          </m:rPr>
          <m:t>∈</m:t>
        </m:r>
        <m:r>
          <m:rPr>
            <m:sty m:val="p"/>
          </m:rPr>
          <m:t>[</m:t>
        </m:r>
        <m:sSub>
          <m:e>
            <m:r>
              <m:t>g</m:t>
            </m:r>
          </m:e>
          <m:sub>
            <m:r>
              <m:t>L</m:t>
            </m:r>
          </m:sub>
        </m:sSub>
        <m:r>
          <m:rPr>
            <m:sty m:val="p"/>
          </m:rPr>
          <m:t>,</m:t>
        </m:r>
        <m:sSub>
          <m:e>
            <m:r>
              <m:t>g</m:t>
            </m:r>
          </m:e>
          <m:sub>
            <m:r>
              <m:t>U</m:t>
            </m:r>
          </m:sub>
        </m:sSub>
        <m:r>
          <m:rPr>
            <m:sty m:val="p"/>
          </m:rPr>
          <m:t>]</m:t>
        </m:r>
      </m:oMath>
      <w:r>
        <w:t xml:space="preserve"> </w:t>
      </w:r>
      <w:r>
        <w:t xml:space="preserve">and the additional charges satisfy</w:t>
      </w:r>
      <w:r>
        <w:t xml:space="preserve"> </w:t>
      </w:r>
      <m:oMath>
        <m:r>
          <m:t>F</m:t>
        </m:r>
        <m:r>
          <m:rPr>
            <m:sty m:val="p"/>
          </m:rPr>
          <m:t>∈</m:t>
        </m:r>
        <m:r>
          <m:rPr>
            <m:sty m:val="p"/>
          </m:rPr>
          <m:t>[</m:t>
        </m:r>
        <m:sSub>
          <m:e>
            <m:r>
              <m:t>F</m:t>
            </m:r>
          </m:e>
          <m:sub>
            <m:r>
              <m:t>L</m:t>
            </m:r>
          </m:sub>
        </m:sSub>
        <m:r>
          <m:rPr>
            <m:sty m:val="p"/>
          </m:rPr>
          <m:t>,</m:t>
        </m:r>
        <m:sSub>
          <m:e>
            <m:r>
              <m:t>F</m:t>
            </m:r>
          </m:e>
          <m:sub>
            <m:r>
              <m:t>U</m:t>
            </m:r>
          </m:sub>
        </m:sSub>
        <m:r>
          <m:rPr>
            <m:sty m:val="p"/>
          </m:rPr>
          <m:t>]</m:t>
        </m:r>
      </m:oMath>
      <w:r>
        <w:t xml:space="preserve"> </w:t>
      </w:r>
      <w:r>
        <w:t xml:space="preserve">and</w:t>
      </w:r>
      <w:r>
        <w:t xml:space="preserve"> </w:t>
      </w:r>
      <m:oMath>
        <m:sSub>
          <m:e>
            <m:r>
              <m:t>K</m:t>
            </m:r>
          </m:e>
          <m:sub>
            <m:r>
              <m:t>o</m:t>
            </m:r>
          </m:sub>
        </m:sSub>
        <m:r>
          <m:rPr>
            <m:sty m:val="p"/>
          </m:rPr>
          <m:t>∈</m:t>
        </m:r>
        <m:r>
          <m:rPr>
            <m:sty m:val="p"/>
          </m:rPr>
          <m:t>[</m:t>
        </m:r>
        <m:sSub>
          <m:e>
            <m:r>
              <m:t>K</m:t>
            </m:r>
          </m:e>
          <m:sub>
            <m:r>
              <m:t>L</m:t>
            </m:r>
          </m:sub>
        </m:sSub>
        <m:r>
          <m:rPr>
            <m:sty m:val="p"/>
          </m:rPr>
          <m:t>,</m:t>
        </m:r>
        <m:sSub>
          <m:e>
            <m:r>
              <m:t>K</m:t>
            </m:r>
          </m:e>
          <m:sub>
            <m:r>
              <m:t>U</m:t>
            </m:r>
          </m:sub>
        </m:sSub>
        <m:r>
          <m:rPr>
            <m:sty m:val="p"/>
          </m:rPr>
          <m:t>]</m:t>
        </m:r>
      </m:oMath>
      <w:r>
        <w:t xml:space="preserve">, a safe enclosure is</w:t>
      </w:r>
    </w:p>
    <w:p>
      <w:pPr>
        <w:keepLines/>
        <w:widowControl/>
        <w:spacing w:after="120" w:before="80"/>
        <w:jc w:val="center"/>
      </w:pPr>
      <m:oMathPara>
        <m:oMathParaPr>
          <m:jc m:val="center"/>
        </m:oMathParaPr>
        <m:oMath>
          <m:sSub>
            <m:e>
              <m:r>
                <m:t>g</m:t>
              </m:r>
            </m:e>
            <m:sub>
              <m:r>
                <m:t>L</m:t>
              </m:r>
            </m:sub>
          </m:sSub>
          <m:r>
            <m:rPr>
              <m:sty m:val="p"/>
            </m:rPr>
            <m:t>−</m:t>
          </m:r>
          <m:sSub>
            <m:e>
              <m:r>
                <m:t>F</m:t>
              </m:r>
            </m:e>
            <m:sub>
              <m:r>
                <m:t>U</m:t>
              </m:r>
            </m:sub>
          </m:sSub>
          <m:r>
            <m:rPr>
              <m:sty m:val="p"/>
            </m:rPr>
            <m:t>−</m:t>
          </m:r>
          <m:sSub>
            <m:e>
              <m:r>
                <m:t>K</m:t>
              </m:r>
            </m:e>
            <m:sub>
              <m:r>
                <m:t>U</m:t>
              </m:r>
            </m:sub>
          </m:sSub>
          <m:r>
            <m:rPr>
              <m:sty m:val="p"/>
            </m:rPr>
            <m:t>≤</m:t>
          </m:r>
          <m:sSub>
            <m:e>
              <m:r>
                <m:t>N</m:t>
              </m:r>
            </m:e>
            <m:sub>
              <m:r>
                <m:t>o</m:t>
              </m:r>
            </m:sub>
          </m:sSub>
          <m:r>
            <m:rPr>
              <m:sty m:val="p"/>
            </m:rPr>
            <m:t>≤</m:t>
          </m:r>
          <m:sSub>
            <m:e>
              <m:r>
                <m:t>g</m:t>
              </m:r>
            </m:e>
            <m:sub>
              <m:r>
                <m:t>U</m:t>
              </m:r>
            </m:sub>
          </m:sSub>
          <m:r>
            <m:rPr>
              <m:sty m:val="p"/>
            </m:rPr>
            <m:t>−</m:t>
          </m:r>
          <m:sSub>
            <m:e>
              <m:r>
                <m:t>F</m:t>
              </m:r>
            </m:e>
            <m:sub>
              <m:r>
                <m:t>L</m:t>
              </m:r>
            </m:sub>
          </m:sSub>
          <m:r>
            <m:rPr>
              <m:sty m:val="p"/>
            </m:rPr>
            <m:t>−</m:t>
          </m:r>
          <m:sSub>
            <m:e>
              <m:r>
                <m:t>K</m:t>
              </m:r>
            </m:e>
            <m:sub>
              <m:r>
                <m:t>L</m:t>
              </m:r>
            </m:sub>
          </m:sSub>
          <m:r>
            <m:rPr>
              <m:sty m:val="p"/>
            </m:rPr>
            <m:t>.</m:t>
          </m:r>
          <m:r>
            <m:t>  </m:t>
          </m:r>
          <m:r>
            <m:rPr>
              <m:nor/>
              <m:sty m:val="p"/>
            </m:rPr>
            <m:t>(S25.10)</m:t>
          </m:r>
        </m:oMath>
      </m:oMathPara>
    </w:p>
    <w:p>
      <w:pPr>
        <w:widowControl/>
        <w:spacing w:after="100"/>
      </w:pPr>
      <w:r>
        <w:t xml:space="preserve">A positive lower endpoint proves a positive margin under that criterion, and a negative upper endpoint rules one out. An interval containing zero does not identify strict profitability. Correlation among uncertain costs may make the enclosure loose; simultaneous bounds remain sufficient. Costs already charged in the original operating ledger are not deducted again. Dispatch-dependent compensation must enter the optimisation and the corresponding certificate directly.</w:t>
      </w:r>
    </w:p>
    <w:p>
      <w:pPr>
        <w:widowControl/>
        <w:spacing w:after="100"/>
      </w:pPr>
      <w:r>
        <w:t xml:space="preserve">For fixed-calendar monetary amounts or common risk-neutral expectations, let</w:t>
      </w:r>
      <w:r>
        <w:t xml:space="preserve"> </w:t>
      </w:r>
      <m:oMath>
        <m:r>
          <m:t>D</m:t>
        </m:r>
      </m:oMath>
      <w:r>
        <w:t xml:space="preserve"> </w:t>
      </w:r>
      <w:r>
        <w:t xml:space="preserve">be the tenant’s incremental delay/disruption cost and</w:t>
      </w:r>
      <w:r>
        <w:t xml:space="preserve"> </w:t>
      </w:r>
      <m:oMath>
        <m:sSub>
          <m:e>
            <m:r>
              <m:t>K</m:t>
            </m:r>
          </m:e>
          <m:sub>
            <m:r>
              <m:t>t</m:t>
            </m:r>
          </m:sub>
        </m:sSub>
      </m:oMath>
      <w:r>
        <w:t xml:space="preserve"> </w:t>
      </w:r>
      <w:r>
        <w:t xml:space="preserve">its incremental implementation cost. Its net benefit is</w:t>
      </w:r>
      <w:r>
        <w:t xml:space="preserve"> </w:t>
      </w:r>
      <m:oMath>
        <m:r>
          <m:t>F</m:t>
        </m:r>
        <m:r>
          <m:rPr>
            <m:sty m:val="p"/>
          </m:rPr>
          <m:t>−</m:t>
        </m:r>
        <m:r>
          <m:t>D</m:t>
        </m:r>
        <m:r>
          <m:rPr>
            <m:sty m:val="p"/>
          </m:rPr>
          <m:t>−</m:t>
        </m:r>
        <m:sSub>
          <m:e>
            <m:r>
              <m:t>K</m:t>
            </m:r>
          </m:e>
          <m:sub>
            <m:r>
              <m:t>t</m:t>
            </m:r>
          </m:sub>
        </m:sSub>
      </m:oMath>
      <w:r>
        <w:t xml:space="preserve">. Binary bilateral weak participation requires</w:t>
      </w:r>
    </w:p>
    <w:p>
      <w:pPr>
        <w:keepLines/>
        <w:widowControl/>
        <w:spacing w:after="120" w:before="80"/>
        <w:jc w:val="center"/>
      </w:pPr>
      <m:oMathPara>
        <m:oMathParaPr>
          <m:jc m:val="center"/>
        </m:oMathParaPr>
        <m:oMath>
          <m:r>
            <m:t>D</m:t>
          </m:r>
          <m:r>
            <m:rPr>
              <m:sty m:val="p"/>
            </m:rPr>
            <m:t>+</m:t>
          </m:r>
          <m:sSub>
            <m:e>
              <m:r>
                <m:t>K</m:t>
              </m:r>
            </m:e>
            <m:sub>
              <m:r>
                <m:t>t</m:t>
              </m:r>
            </m:sub>
          </m:sSub>
          <m:r>
            <m:rPr>
              <m:sty m:val="p"/>
            </m:rPr>
            <m:t>≤</m:t>
          </m:r>
          <m:r>
            <m:t>F</m:t>
          </m:r>
          <m:r>
            <m:rPr>
              <m:sty m:val="p"/>
            </m:rPr>
            <m:t>≤</m:t>
          </m:r>
          <m:r>
            <m:t>g</m:t>
          </m:r>
          <m:r>
            <m:rPr>
              <m:sty m:val="p"/>
            </m:rPr>
            <m:t>−</m:t>
          </m:r>
          <m:sSub>
            <m:e>
              <m:r>
                <m:t>K</m:t>
              </m:r>
            </m:e>
            <m:sub>
              <m:r>
                <m:t>o</m:t>
              </m:r>
            </m:sub>
          </m:sSub>
          <m:r>
            <m:rPr>
              <m:sty m:val="p"/>
            </m:rPr>
            <m:t>,</m:t>
          </m:r>
          <m:r>
            <m:t>  </m:t>
          </m:r>
          <m:sSub>
            <m:e>
              <m:r>
                <m:t>N</m:t>
              </m:r>
            </m:e>
            <m:sub>
              <m:r>
                <m:rPr>
                  <m:sty m:val="p"/>
                </m:rPr>
                <m:t>j</m:t>
              </m:r>
              <m:r>
                <m:rPr>
                  <m:sty m:val="p"/>
                </m:rPr>
                <m:t>o</m:t>
              </m:r>
              <m:r>
                <m:rPr>
                  <m:sty m:val="p"/>
                </m:rPr>
                <m:t>i</m:t>
              </m:r>
              <m:r>
                <m:rPr>
                  <m:sty m:val="p"/>
                </m:rPr>
                <m:t>n</m:t>
              </m:r>
              <m:r>
                <m:rPr>
                  <m:sty m:val="p"/>
                </m:rPr>
                <m:t>t</m:t>
              </m:r>
            </m:sub>
          </m:sSub>
          <m:r>
            <m:rPr>
              <m:sty m:val="p"/>
            </m:rPr>
            <m:t>=</m:t>
          </m:r>
          <m:r>
            <m:t>g</m:t>
          </m:r>
          <m:r>
            <m:rPr>
              <m:sty m:val="p"/>
            </m:rPr>
            <m:t>−</m:t>
          </m:r>
          <m:r>
            <m:t>D</m:t>
          </m:r>
          <m:r>
            <m:rPr>
              <m:sty m:val="p"/>
            </m:rPr>
            <m:t>−</m:t>
          </m:r>
          <m:sSub>
            <m:e>
              <m:r>
                <m:t>K</m:t>
              </m:r>
            </m:e>
            <m:sub>
              <m:r>
                <m:t>o</m:t>
              </m:r>
            </m:sub>
          </m:sSub>
          <m:r>
            <m:rPr>
              <m:sty m:val="p"/>
            </m:rPr>
            <m:t>−</m:t>
          </m:r>
          <m:sSub>
            <m:e>
              <m:r>
                <m:t>K</m:t>
              </m:r>
            </m:e>
            <m:sub>
              <m:r>
                <m:t>t</m:t>
              </m:r>
            </m:sub>
          </m:sSub>
          <m:r>
            <m:rPr>
              <m:sty m:val="p"/>
            </m:rPr>
            <m:t>.</m:t>
          </m:r>
          <m:r>
            <m:t>  </m:t>
          </m:r>
          <m:r>
            <m:rPr>
              <m:nor/>
              <m:sty m:val="p"/>
            </m:rPr>
            <m:t>(S25.11)</m:t>
          </m:r>
        </m:oMath>
      </m:oMathPara>
    </w:p>
    <w:p>
      <w:pPr>
        <w:widowControl/>
        <w:spacing w:after="100"/>
      </w:pPr>
      <w:r>
        <w:t xml:space="preserve">The transfer cancels from joint surplus. Strict improvement on both sides requires strict inequalities and</w:t>
      </w:r>
      <w:r>
        <w:t xml:space="preserve"> </w:t>
      </w:r>
      <m:oMath>
        <m:r>
          <m:t>g</m:t>
        </m:r>
        <m:r>
          <m:rPr>
            <m:sty m:val="p"/>
          </m:rPr>
          <m:t>&gt;</m:t>
        </m:r>
        <m:r>
          <m:t>D</m:t>
        </m:r>
        <m:r>
          <m:rPr>
            <m:sty m:val="p"/>
          </m:rPr>
          <m:t>+</m:t>
        </m:r>
        <m:sSub>
          <m:e>
            <m:r>
              <m:t>K</m:t>
            </m:r>
          </m:e>
          <m:sub>
            <m:r>
              <m:t>o</m:t>
            </m:r>
          </m:sub>
        </m:sSub>
        <m:r>
          <m:rPr>
            <m:sty m:val="p"/>
          </m:rPr>
          <m:t>+</m:t>
        </m:r>
        <m:sSub>
          <m:e>
            <m:r>
              <m:t>K</m:t>
            </m:r>
          </m:e>
          <m:sub>
            <m:r>
              <m:t>t</m:t>
            </m:r>
          </m:sub>
        </m:sSub>
      </m:oMath>
      <w:r>
        <w:t xml:space="preserve">. This participation interval does not establish incentive compatibility for a menu of private types. The original IC conditions require their own type-dependent costs and incentive comparisons; no such empirical distribution is inferred here.</w:t>
      </w:r>
    </w:p>
    <w:p>
      <w:pPr>
        <w:widowControl/>
        <w:spacing w:after="100"/>
      </w:pPr>
      <w:r>
        <w:t xml:space="preserve">Risk adjustments also require a consistent monetary unit. The objective</w:t>
      </w:r>
      <w:r>
        <w:t xml:space="preserve"> </w:t>
      </w:r>
      <m:oMath>
        <m:r>
          <m:rPr>
            <m:sty m:val="p"/>
            <m:scr m:val="double-struck"/>
          </m:rPr>
          <m:t>E</m:t>
        </m:r>
        <m:r>
          <m:rPr>
            <m:sty m:val="p"/>
          </m:rPr>
          <m:t>[</m:t>
        </m:r>
        <m:r>
          <m:t>L</m:t>
        </m:r>
        <m:r>
          <m:rPr>
            <m:sty m:val="p"/>
          </m:rPr>
          <m:t>]</m:t>
        </m:r>
        <m:r>
          <m:rPr>
            <m:sty m:val="p"/>
          </m:rPr>
          <m:t>+</m:t>
        </m:r>
        <m:r>
          <m:t>ρ</m:t>
        </m:r>
        <m:sSub>
          <m:e>
            <m:r>
              <m:rPr>
                <m:sty m:val="p"/>
              </m:rPr>
              <m:t>CVaR</m:t>
            </m:r>
          </m:e>
          <m:sub>
            <m:r>
              <m:t>α</m:t>
            </m:r>
          </m:sub>
        </m:sSub>
        <m:d>
          <m:dPr>
            <m:begChr m:val="("/>
            <m:endChr m:val=")"/>
            <m:sepChr m:val=""/>
            <m:grow/>
          </m:dPr>
          <m:e>
            <m:r>
              <m:t>L</m:t>
            </m:r>
          </m:e>
        </m:d>
      </m:oMath>
      <w:r>
        <w:t xml:space="preserve"> </w:t>
      </w:r>
      <w:r>
        <w:t xml:space="preserve">changes by</w:t>
      </w:r>
      <w:r>
        <w:t xml:space="preserve"> </w:t>
      </w:r>
      <m:oMath>
        <m:d>
          <m:dPr>
            <m:begChr m:val="("/>
            <m:endChr m:val=")"/>
            <m:sepChr m:val=""/>
            <m:grow/>
          </m:dPr>
          <m:e>
            <m:r>
              <m:t>1</m:t>
            </m:r>
            <m:r>
              <m:rPr>
                <m:sty m:val="p"/>
              </m:rPr>
              <m:t>+</m:t>
            </m:r>
            <m:r>
              <m:t>ρ</m:t>
            </m:r>
          </m:e>
        </m:d>
        <m:r>
          <m:t>F</m:t>
        </m:r>
      </m:oMath>
      <w:r>
        <w:t xml:space="preserve"> </w:t>
      </w:r>
      <w:r>
        <w:t xml:space="preserve">when a deterministic fee</w:t>
      </w:r>
      <w:r>
        <w:t xml:space="preserve"> </w:t>
      </w:r>
      <m:oMath>
        <m:r>
          <m:t>F</m:t>
        </m:r>
      </m:oMath>
      <w:r>
        <w:t xml:space="preserve"> </w:t>
      </w:r>
      <w:r>
        <w:t xml:space="preserve">is added inside the loss, because both components are cash-additive. Deducting only</w:t>
      </w:r>
      <w:r>
        <w:t xml:space="preserve"> </w:t>
      </w:r>
      <m:oMath>
        <m:r>
          <m:t>F</m:t>
        </m:r>
      </m:oMath>
      <w:r>
        <w:t xml:space="preserve"> </w:t>
      </w:r>
      <w:r>
        <w:t xml:space="preserve">from that objective would be inconsistent. One cash-normalized alternative is</w:t>
      </w:r>
      <w:r>
        <w:t xml:space="preserve"> </w:t>
      </w:r>
      <m:oMath>
        <m:d>
          <m:dPr>
            <m:begChr m:val="("/>
            <m:endChr m:val=")"/>
            <m:sepChr m:val=""/>
            <m:grow/>
          </m:dPr>
          <m:e>
            <m:r>
              <m:t>1</m:t>
            </m:r>
            <m:r>
              <m:rPr>
                <m:sty m:val="p"/>
              </m:rPr>
              <m:t>−</m:t>
            </m:r>
            <m:r>
              <m:t>γ</m:t>
            </m:r>
          </m:e>
        </m:d>
        <m:r>
          <m:rPr>
            <m:sty m:val="p"/>
            <m:scr m:val="double-struck"/>
          </m:rPr>
          <m:t>E</m:t>
        </m:r>
        <m:r>
          <m:rPr>
            <m:sty m:val="p"/>
          </m:rPr>
          <m:t>[</m:t>
        </m:r>
        <m:r>
          <m:t>L</m:t>
        </m:r>
        <m:r>
          <m:rPr>
            <m:sty m:val="p"/>
          </m:rPr>
          <m:t>]</m:t>
        </m:r>
        <m:r>
          <m:rPr>
            <m:sty m:val="p"/>
          </m:rPr>
          <m:t>+</m:t>
        </m:r>
        <m:r>
          <m:t>γ</m:t>
        </m:r>
        <m:sSub>
          <m:e>
            <m:r>
              <m:rPr>
                <m:sty m:val="p"/>
              </m:rPr>
              <m:t>CVaR</m:t>
            </m:r>
          </m:e>
          <m:sub>
            <m:r>
              <m:t>α</m:t>
            </m:r>
          </m:sub>
        </m:sSub>
        <m:d>
          <m:dPr>
            <m:begChr m:val="("/>
            <m:endChr m:val=")"/>
            <m:sepChr m:val=""/>
            <m:grow/>
          </m:dPr>
          <m:e>
            <m:r>
              <m:t>L</m:t>
            </m:r>
          </m:e>
        </m:d>
      </m:oMath>
      <w:r>
        <w:t xml:space="preserve"> </w:t>
      </w:r>
      <w:r>
        <w:t xml:space="preserve">with</w:t>
      </w:r>
      <w:r>
        <w:t xml:space="preserve"> </w:t>
      </w:r>
      <m:oMath>
        <m:r>
          <m:t>0</m:t>
        </m:r>
        <m:r>
          <m:rPr>
            <m:sty m:val="p"/>
          </m:rPr>
          <m:t>≤</m:t>
        </m:r>
        <m:r>
          <m:t>γ</m:t>
        </m:r>
        <m:r>
          <m:rPr>
            <m:sty m:val="p"/>
          </m:rPr>
          <m:t>≤</m:t>
        </m:r>
        <m:r>
          <m:t>1</m:t>
        </m:r>
      </m:oMath>
      <w:r>
        <w:t xml:space="preserve">. Another convention places deterministic fees outside an explicitly defined risk premium on operating uncertainty. In either convention, the risk functional and its parameter must be declared before comparing contracts. The difference between two CVaRs does not generally equal the CVaR of their paired loss difference.</w:t>
      </w:r>
    </w:p>
    <w:bookmarkEnd w:id="23"/>
    <w:bookmarkEnd w:id="24"/>
    <w:bookmarkStart w:id="29" w:name="X5dc9e0bf73274bbb238e33b96359bc3d801a26a"/>
    <w:p>
      <w:pPr>
        <w:pStyle w:val="Heading1"/>
        <w:keepNext/>
        <w:pageBreakBefore/>
        <w:widowControl/>
        <w:spacing w:after="100"/>
      </w:pPr>
      <w:r>
        <w:rPr>
          <w:color w:val="000000"/>
        </w:rPr>
        <w:t xml:space="preserve">S26 Matched contract increments and fee sensitivity</w:t>
      </w:r>
    </w:p>
    <w:bookmarkStart w:id="25" w:name="s26.1-retained-paired-annual-evidence"/>
    <w:p>
      <w:pPr>
        <w:pStyle w:val="Heading2"/>
        <w:keepNext/>
        <w:widowControl/>
        <w:spacing w:after="100"/>
      </w:pPr>
      <w:r>
        <w:rPr>
          <w:color w:val="000000"/>
        </w:rPr>
        <w:t xml:space="preserve">S26.1 Retained paired annual evidence</w:t>
      </w:r>
    </w:p>
    <w:p>
      <w:pPr>
        <w:widowControl/>
        <w:spacing w:after="100"/>
      </w:pPr>
      <w:r>
        <w:t xml:space="preserve">The released file source_data/current/fig3_service_windows.csv contains nine observations: each of the three frozen WorldMoE checkpoints appears under 12, 16 and 24 h rights. Within a seed, the full checkpoint SHA-256 is unchanged across rights. All nine rows use the common reference cost US$555,168.2050556969. The annual saving fields satisfy reference cost minus adjusted cost to within US$4×10⁻¹¹ of their printed decimal representations. The aggregate means independently match source_data/current/0927_adapted_window_contrasts.csv.</w:t>
      </w:r>
    </w:p>
    <w:p>
      <w:pPr>
        <w:widowControl/>
        <w:spacing w:after="100"/>
      </w:pPr>
      <w:r>
        <w:t xml:space="preserve">The archived controller verifies the selected configuration and checkpoint before the 2025 run, constructs the contract-specific queue and uses the common measurement function. Its year-end dispatch tightening is retained as the implemented heuristic described in S23. The pairing holds the trained model fixed while changing the service right and its resulting queue state. Table 39 presents every paired observation and their arithmetic mean. The values retain the original operating charges and terminal convention; no tenant payment has been added.</w:t>
      </w:r>
    </w:p>
    <w:p>
      <w:pPr>
        <w:pStyle w:val="Caption"/>
        <w:keepNext/>
        <w:widowControl/>
        <w:spacing w:after="100" w:before="120"/>
      </w:pPr>
      <w:r>
        <w:t xml:space="preserve">Supplementary Table 39. Full historical same-checkpoint contract pairing, annual four-site US dollars. Differences are calculated from unrounded source values before display rounding. The mean and refinement spread describe one calendar.</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1512"/>
        <w:gridCol w:w="1512"/>
        <w:gridCol w:w="1512"/>
        <w:gridCol w:w="1512"/>
        <w:gridCol w:w="1512"/>
        <w:gridCol w:w="1512"/>
      </w:tblGrid>
      <w:tr>
        <w:trPr>
          <w:tblHeader w:val="true"/>
          <w:cantSplit/>
          <w:tblHeader/>
        </w:trPr>
        <w:tc>
          <w:tcPr>
            <w:tcW w:type="dxa" w:w="1152"/>
            <w:vAlign w:val="center"/>
            <w:shd w:fill="DCE6F1"/>
            <w:tcMar>
              <w:top w:w="70" w:type="dxa"/>
              <w:bottom w:w="70" w:type="dxa"/>
              <w:left w:w="85" w:type="dxa"/>
              <w:right w:w="85" w:type="dxa"/>
            </w:tcMar>
          </w:tcPr>
          <w:p>
            <w:pPr>
              <w:spacing w:after="0" w:before="0" w:line="245" w:lineRule="auto"/>
              <w:jc w:val="left"/>
            </w:pPr>
            <w:r>
              <w:rPr>
                <w:rFonts w:ascii="Times New Roman" w:hAnsi="Times New Roman"/>
                <w:b/>
                <w:color w:val="000000"/>
                <w:sz w:val="18"/>
              </w:rPr>
              <w:t xml:space="preserve">Seed</w:t>
            </w:r>
          </w:p>
        </w:tc>
        <w:tc>
          <w:tcPr>
            <w:tcW w:type="dxa" w:w="1512"/>
            <w:vAlign w:val="center"/>
            <w:shd w:fill="DCE6F1"/>
            <w:tcMar>
              <w:top w:w="70" w:type="dxa"/>
              <w:bottom w:w="70" w:type="dxa"/>
              <w:left w:w="85" w:type="dxa"/>
              <w:right w:w="85" w:type="dxa"/>
            </w:tcMar>
          </w:tcPr>
          <w:p>
            <w:pPr>
              <w:spacing w:after="0" w:before="0" w:line="245" w:lineRule="auto"/>
              <w:jc w:val="right"/>
            </w:pPr>
            <w:r>
              <w:rPr>
                <w:rFonts w:ascii="Times New Roman" w:hAnsi="Times New Roman"/>
                <w:b/>
                <w:color w:val="000000"/>
                <w:sz w:val="18"/>
              </w:rPr>
              <w:t xml:space="preserve">12 h saving</w:t>
            </w:r>
          </w:p>
        </w:tc>
        <w:tc>
          <w:tcPr>
            <w:tcW w:type="dxa" w:w="1512"/>
            <w:vAlign w:val="center"/>
            <w:shd w:fill="DCE6F1"/>
            <w:tcMar>
              <w:top w:w="70" w:type="dxa"/>
              <w:bottom w:w="70" w:type="dxa"/>
              <w:left w:w="85" w:type="dxa"/>
              <w:right w:w="85" w:type="dxa"/>
            </w:tcMar>
          </w:tcPr>
          <w:p>
            <w:pPr>
              <w:spacing w:after="0" w:before="0" w:line="245" w:lineRule="auto"/>
              <w:jc w:val="right"/>
            </w:pPr>
            <w:r>
              <w:rPr>
                <w:rFonts w:ascii="Times New Roman" w:hAnsi="Times New Roman"/>
                <w:b/>
                <w:color w:val="000000"/>
                <w:sz w:val="18"/>
              </w:rPr>
              <w:t xml:space="preserve">16 h saving</w:t>
            </w:r>
          </w:p>
        </w:tc>
        <w:tc>
          <w:tcPr>
            <w:tcW w:type="dxa" w:w="1512"/>
            <w:vAlign w:val="center"/>
            <w:shd w:fill="DCE6F1"/>
            <w:tcMar>
              <w:top w:w="70" w:type="dxa"/>
              <w:bottom w:w="70" w:type="dxa"/>
              <w:left w:w="85" w:type="dxa"/>
              <w:right w:w="85" w:type="dxa"/>
            </w:tcMar>
          </w:tcPr>
          <w:p>
            <w:pPr>
              <w:spacing w:after="0" w:before="0" w:line="245" w:lineRule="auto"/>
              <w:jc w:val="right"/>
            </w:pPr>
            <w:r>
              <w:rPr>
                <w:rFonts w:ascii="Times New Roman" w:hAnsi="Times New Roman"/>
                <w:b/>
                <w:color w:val="000000"/>
                <w:sz w:val="18"/>
              </w:rPr>
              <w:t xml:space="preserve">24 h saving</w:t>
            </w:r>
          </w:p>
        </w:tc>
        <w:tc>
          <w:tcPr>
            <w:tcW w:type="dxa" w:w="1512"/>
            <w:vAlign w:val="center"/>
            <w:shd w:fill="DCE6F1"/>
            <w:tcMar>
              <w:top w:w="70" w:type="dxa"/>
              <w:bottom w:w="70" w:type="dxa"/>
              <w:left w:w="85" w:type="dxa"/>
              <w:right w:w="85" w:type="dxa"/>
            </w:tcMar>
          </w:tcPr>
          <w:p>
            <w:pPr>
              <w:spacing w:after="0" w:before="0" w:line="245" w:lineRule="auto"/>
              <w:jc w:val="right"/>
            </w:pPr>
            <w:r>
              <w:rPr>
                <w:rFonts w:ascii="Times New Roman" w:hAnsi="Times New Roman"/>
                <w:b/>
                <w:color w:val="000000"/>
                <w:sz w:val="18"/>
              </w:rPr>
              <w:t xml:space="preserve">12→16 increment</w:t>
            </w:r>
          </w:p>
        </w:tc>
        <w:tc>
          <w:tcPr>
            <w:tcW w:type="dxa" w:w="1512"/>
            <w:vAlign w:val="center"/>
            <w:shd w:fill="DCE6F1"/>
            <w:tcMar>
              <w:top w:w="70" w:type="dxa"/>
              <w:bottom w:w="70" w:type="dxa"/>
              <w:left w:w="85" w:type="dxa"/>
              <w:right w:w="85" w:type="dxa"/>
            </w:tcMar>
          </w:tcPr>
          <w:p>
            <w:pPr>
              <w:spacing w:after="0" w:before="0" w:line="245" w:lineRule="auto"/>
              <w:jc w:val="right"/>
            </w:pPr>
            <w:r>
              <w:rPr>
                <w:rFonts w:ascii="Times New Roman" w:hAnsi="Times New Roman"/>
                <w:b/>
                <w:color w:val="000000"/>
                <w:sz w:val="18"/>
              </w:rPr>
              <w:t xml:space="preserve">16→24 increment</w:t>
            </w:r>
          </w:p>
        </w:tc>
        <w:tc>
          <w:tcPr>
            <w:tcW w:type="dxa" w:w="1512"/>
            <w:vAlign w:val="center"/>
            <w:shd w:fill="DCE6F1"/>
            <w:tcMar>
              <w:top w:w="70" w:type="dxa"/>
              <w:bottom w:w="70" w:type="dxa"/>
              <w:left w:w="85" w:type="dxa"/>
              <w:right w:w="85" w:type="dxa"/>
            </w:tcMar>
          </w:tcPr>
          <w:p>
            <w:pPr>
              <w:spacing w:after="0" w:before="0" w:line="245" w:lineRule="auto"/>
              <w:jc w:val="right"/>
            </w:pPr>
            <w:r>
              <w:rPr>
                <w:rFonts w:ascii="Times New Roman" w:hAnsi="Times New Roman"/>
                <w:b/>
                <w:color w:val="000000"/>
                <w:sz w:val="18"/>
              </w:rPr>
              <w:t xml:space="preserve">12→24 increment</w:t>
            </w:r>
          </w:p>
        </w:tc>
      </w:tr>
      <w:tr>
        <w:trPr>
          <w:cantSplit/>
        </w:trPr>
        <w:tc>
          <w:tcPr>
            <w:tcW w:type="dxa" w:w="1152"/>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20260920</w:t>
            </w:r>
          </w:p>
        </w:tc>
        <w:tc>
          <w:tcPr>
            <w:tcW w:type="dxa" w:w="1512"/>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72,361.65</w:t>
            </w:r>
          </w:p>
        </w:tc>
        <w:tc>
          <w:tcPr>
            <w:tcW w:type="dxa" w:w="1512"/>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86,257.34</w:t>
            </w:r>
          </w:p>
        </w:tc>
        <w:tc>
          <w:tcPr>
            <w:tcW w:type="dxa" w:w="1512"/>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105,565.67</w:t>
            </w:r>
          </w:p>
        </w:tc>
        <w:tc>
          <w:tcPr>
            <w:tcW w:type="dxa" w:w="1512"/>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13,895.69</w:t>
            </w:r>
          </w:p>
        </w:tc>
        <w:tc>
          <w:tcPr>
            <w:tcW w:type="dxa" w:w="1512"/>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19,308.33</w:t>
            </w:r>
          </w:p>
        </w:tc>
        <w:tc>
          <w:tcPr>
            <w:tcW w:type="dxa" w:w="1512"/>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33,204.02</w:t>
            </w:r>
          </w:p>
        </w:tc>
      </w:tr>
      <w:tr>
        <w:trPr>
          <w:cantSplit/>
        </w:trPr>
        <w:tc>
          <w:tcPr>
            <w:tcW w:type="dxa" w:w="1152"/>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20260921</w:t>
            </w:r>
          </w:p>
        </w:tc>
        <w:tc>
          <w:tcPr>
            <w:tcW w:type="dxa" w:w="1512"/>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72,099.98</w:t>
            </w:r>
          </w:p>
        </w:tc>
        <w:tc>
          <w:tcPr>
            <w:tcW w:type="dxa" w:w="1512"/>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85,833.93</w:t>
            </w:r>
          </w:p>
        </w:tc>
        <w:tc>
          <w:tcPr>
            <w:tcW w:type="dxa" w:w="1512"/>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105,003.52</w:t>
            </w:r>
          </w:p>
        </w:tc>
        <w:tc>
          <w:tcPr>
            <w:tcW w:type="dxa" w:w="1512"/>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13,733.95</w:t>
            </w:r>
          </w:p>
        </w:tc>
        <w:tc>
          <w:tcPr>
            <w:tcW w:type="dxa" w:w="1512"/>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19,169.59</w:t>
            </w:r>
          </w:p>
        </w:tc>
        <w:tc>
          <w:tcPr>
            <w:tcW w:type="dxa" w:w="1512"/>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32,903.54</w:t>
            </w:r>
          </w:p>
        </w:tc>
      </w:tr>
      <w:tr>
        <w:trPr>
          <w:cantSplit/>
        </w:trPr>
        <w:tc>
          <w:tcPr>
            <w:tcW w:type="dxa" w:w="1152"/>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20260922</w:t>
            </w:r>
          </w:p>
        </w:tc>
        <w:tc>
          <w:tcPr>
            <w:tcW w:type="dxa" w:w="1512"/>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72,201.28</w:t>
            </w:r>
          </w:p>
        </w:tc>
        <w:tc>
          <w:tcPr>
            <w:tcW w:type="dxa" w:w="1512"/>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86,024.40</w:t>
            </w:r>
          </w:p>
        </w:tc>
        <w:tc>
          <w:tcPr>
            <w:tcW w:type="dxa" w:w="1512"/>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105,244.00</w:t>
            </w:r>
          </w:p>
        </w:tc>
        <w:tc>
          <w:tcPr>
            <w:tcW w:type="dxa" w:w="1512"/>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13,823.11</w:t>
            </w:r>
          </w:p>
        </w:tc>
        <w:tc>
          <w:tcPr>
            <w:tcW w:type="dxa" w:w="1512"/>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19,219.61</w:t>
            </w:r>
          </w:p>
        </w:tc>
        <w:tc>
          <w:tcPr>
            <w:tcW w:type="dxa" w:w="1512"/>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33,042.72</w:t>
            </w:r>
          </w:p>
        </w:tc>
      </w:tr>
      <w:tr>
        <w:trPr>
          <w:cantSplit/>
        </w:trPr>
        <w:tc>
          <w:tcPr>
            <w:tcW w:type="dxa" w:w="1152"/>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Mean</w:t>
            </w:r>
          </w:p>
        </w:tc>
        <w:tc>
          <w:tcPr>
            <w:tcW w:type="dxa" w:w="1512"/>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72,220.97</w:t>
            </w:r>
          </w:p>
        </w:tc>
        <w:tc>
          <w:tcPr>
            <w:tcW w:type="dxa" w:w="1512"/>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86,038.55</w:t>
            </w:r>
          </w:p>
        </w:tc>
        <w:tc>
          <w:tcPr>
            <w:tcW w:type="dxa" w:w="1512"/>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105,271.06</w:t>
            </w:r>
          </w:p>
        </w:tc>
        <w:tc>
          <w:tcPr>
            <w:tcW w:type="dxa" w:w="1512"/>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13,817.58</w:t>
            </w:r>
          </w:p>
        </w:tc>
        <w:tc>
          <w:tcPr>
            <w:tcW w:type="dxa" w:w="1512"/>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19,232.51</w:t>
            </w:r>
          </w:p>
        </w:tc>
        <w:tc>
          <w:tcPr>
            <w:tcW w:type="dxa" w:w="1512"/>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33,050.09</w:t>
            </w:r>
          </w:p>
        </w:tc>
      </w:tr>
    </w:tbl>
    <w:p>
      <w:pPr>
        <w:widowControl/>
        <w:spacing w:after="100"/>
      </w:pPr>
      <w:r>
        <w:t xml:space="preserve">The paired ranges are US$13,733.95–13,895.69, US$19,169.59–19,308.33 and US$32,903.54–33,204.02, respectively. They describe variation across three refinements with a shared pretrained backbone and the same market calendar. They are not confidence intervals over future years. Existing paired intervals for different models at 24 h do not become deadline-upgrade intervals by relabelling them.</w:t>
      </w:r>
    </w:p>
    <w:p>
      <w:pPr>
        <w:widowControl/>
        <w:spacing w:after="100"/>
      </w:pPr>
      <w:r>
        <w:t xml:space="preserve">All 24 h observations are independently re-settled from the released grid_metrics_inputs_2025.npz, which contains 35,040 intervals at four sites. Reconstructing grid imports and the original energy, curtailment and import-deviation ledger gives mean saving US$105,271.06184163212695 before terminal-cost difference. The largest discrepancy from a published seed saving is US$5.88×10⁻¹²; the largest exported-grid reconstruction difference is below 3.24×10⁻¹⁶ MW. The source reports zero nominal terminal differences. The 12 and 16 h full trajectories, original admissions and complete recovery assignments are not in the inspected release, so those components remain summary-supported. This calculation does not turn their reported numerical service residuals into exact feasible witnesses.</w:t>
      </w:r>
    </w:p>
    <w:bookmarkEnd w:id="25"/>
    <w:bookmarkStart w:id="26" w:name="Xc1d0bc3d88a6c62a4cadab72018d866ca6be4f5"/>
    <w:p>
      <w:pPr>
        <w:pStyle w:val="Heading2"/>
        <w:keepNext/>
        <w:widowControl/>
        <w:spacing w:after="100"/>
      </w:pPr>
      <w:r>
        <w:rPr>
          <w:color w:val="000000"/>
        </w:rPr>
        <w:t xml:space="preserve">S26.2 Historical fee sensitivity and break-even budgets</w:t>
      </w:r>
    </w:p>
    <w:p>
      <w:pPr>
        <w:widowControl/>
        <w:spacing w:after="100"/>
      </w:pPr>
      <w:r>
        <w:t xml:space="preserve">For the fixed historical policy pair, Eq. (S25.9) gives a one-dollar reduction in operator net value for each additional dollar of dispatch-independent compensation or implementation expense. Table 40 applies illustrative annual budgets</w:t>
      </w:r>
      <w:r>
        <w:t xml:space="preserve"> </w:t>
      </w:r>
      <m:oMath>
        <m:r>
          <m:t>q</m:t>
        </m:r>
        <m:r>
          <m:rPr>
            <m:sty m:val="p"/>
          </m:rPr>
          <m:t>=</m:t>
        </m:r>
        <m:r>
          <m:t>F</m:t>
        </m:r>
        <m:r>
          <m:rPr>
            <m:sty m:val="p"/>
          </m:rPr>
          <m:t>+</m:t>
        </m:r>
        <m:sSub>
          <m:e>
            <m:r>
              <m:t>K</m:t>
            </m:r>
          </m:e>
          <m:sub>
            <m:r>
              <m:t>o</m:t>
            </m:r>
          </m:sub>
        </m:sSub>
      </m:oMath>
      <w:r>
        <w:t xml:space="preserve"> </w:t>
      </w:r>
      <w:r>
        <w:t xml:space="preserve">to the observed mean paired differences. The grid is an analytical sensitivity choice; the repository contains no observed contract fees or tenant reservation-price sample. In particular,</w:t>
      </w:r>
      <w:r>
        <w:t xml:space="preserve"> </w:t>
      </w:r>
      <m:oMath>
        <m:r>
          <m:t>q</m:t>
        </m:r>
        <m:r>
          <m:rPr>
            <m:sty m:val="p"/>
          </m:rPr>
          <m:t>=</m:t>
        </m:r>
        <m:r>
          <m:t>0</m:t>
        </m:r>
      </m:oMath>
      <w:r>
        <w:t xml:space="preserve"> </w:t>
      </w:r>
      <w:r>
        <w:t xml:space="preserve">is a stated scenario, not an estimate that additional contracting costs vanish.</w:t>
      </w:r>
    </w:p>
    <w:p>
      <w:pPr>
        <w:pStyle w:val="Caption"/>
        <w:keepNext/>
        <w:widowControl/>
        <w:spacing w:after="100" w:before="120"/>
      </w:pPr>
      <w:r>
        <w:t xml:space="preserve">Supplementary Table 40. Mean historical net increments under assumed additional annual four-site costs. All values are US dollars. The first column is an analytical input; the remaining columns are paired operating increments minus that input.</w:t>
      </w:r>
    </w:p>
    <w:tbl>
      <w:tblPr>
        <w:tblStyle w:val="TableGrid"/>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2304"/>
        <w:gridCol w:w="2304"/>
        <w:gridCol w:w="2304"/>
      </w:tblGrid>
      <w:tr>
        <w:trPr>
          <w:tblHeader w:val="true"/>
          <w:cantSplit/>
          <w:tblHeader/>
        </w:trPr>
        <w:tc>
          <w:tcPr>
            <w:tcW w:type="dxa" w:w="3312"/>
            <w:vAlign w:val="center"/>
            <w:shd w:fill="DCE6F1"/>
            <w:tcMar>
              <w:top w:w="70" w:type="dxa"/>
              <w:bottom w:w="70" w:type="dxa"/>
              <w:left w:w="85" w:type="dxa"/>
              <w:right w:w="85" w:type="dxa"/>
            </w:tcMar>
          </w:tcPr>
          <w:p>
            <w:pPr>
              <w:spacing w:after="0" w:before="0" w:line="245" w:lineRule="auto"/>
              <w:jc w:val="right"/>
            </w:pPr>
            <w:r>
              <w:rPr>
                <w:rFonts w:ascii="Times New Roman" w:hAnsi="Times New Roman"/>
                <w:b/>
                <w:color w:val="000000"/>
                <w:sz w:val="18"/>
              </w:rPr>
              <w:t xml:space="preserve">Assumed additional</w:t>
            </w:r>
            <w:r>
              <w:rPr>
                <w:rFonts w:ascii="Times New Roman" w:hAnsi="Times New Roman"/>
                <w:b/>
                <w:color w:val="000000"/>
                <w:sz w:val="18"/>
              </w:rPr>
              <w:t xml:space="preserve"> </w:t>
            </w:r>
            <m:oMath>
              <m:r>
                <m:t>F</m:t>
              </m:r>
              <m:r>
                <m:rPr>
                  <m:sty m:val="p"/>
                </m:rPr>
                <m:t>+</m:t>
              </m:r>
              <m:sSub>
                <m:e>
                  <m:r>
                    <m:t>K</m:t>
                  </m:r>
                </m:e>
                <m:sub>
                  <m:r>
                    <m:t>o</m:t>
                  </m:r>
                </m:sub>
              </m:sSub>
            </m:oMath>
          </w:p>
        </w:tc>
        <w:tc>
          <w:tcPr>
            <w:tcW w:type="dxa" w:w="2304"/>
            <w:vAlign w:val="center"/>
            <w:shd w:fill="DCE6F1"/>
            <w:tcMar>
              <w:top w:w="70" w:type="dxa"/>
              <w:bottom w:w="70" w:type="dxa"/>
              <w:left w:w="85" w:type="dxa"/>
              <w:right w:w="85" w:type="dxa"/>
            </w:tcMar>
          </w:tcPr>
          <w:p>
            <w:pPr>
              <w:spacing w:after="0" w:before="0" w:line="245" w:lineRule="auto"/>
              <w:jc w:val="right"/>
            </w:pPr>
            <w:r>
              <w:rPr>
                <w:rFonts w:ascii="Times New Roman" w:hAnsi="Times New Roman"/>
                <w:b/>
                <w:color w:val="000000"/>
                <w:sz w:val="18"/>
              </w:rPr>
              <w:t xml:space="preserve">12→16 h net</w:t>
            </w:r>
          </w:p>
        </w:tc>
        <w:tc>
          <w:tcPr>
            <w:tcW w:type="dxa" w:w="2304"/>
            <w:vAlign w:val="center"/>
            <w:shd w:fill="DCE6F1"/>
            <w:tcMar>
              <w:top w:w="70" w:type="dxa"/>
              <w:bottom w:w="70" w:type="dxa"/>
              <w:left w:w="85" w:type="dxa"/>
              <w:right w:w="85" w:type="dxa"/>
            </w:tcMar>
          </w:tcPr>
          <w:p>
            <w:pPr>
              <w:spacing w:after="0" w:before="0" w:line="245" w:lineRule="auto"/>
              <w:jc w:val="right"/>
            </w:pPr>
            <w:r>
              <w:rPr>
                <w:rFonts w:ascii="Times New Roman" w:hAnsi="Times New Roman"/>
                <w:b/>
                <w:color w:val="000000"/>
                <w:sz w:val="18"/>
              </w:rPr>
              <w:t xml:space="preserve">16→24 h net</w:t>
            </w:r>
          </w:p>
        </w:tc>
        <w:tc>
          <w:tcPr>
            <w:tcW w:type="dxa" w:w="2304"/>
            <w:vAlign w:val="center"/>
            <w:shd w:fill="DCE6F1"/>
            <w:tcMar>
              <w:top w:w="70" w:type="dxa"/>
              <w:bottom w:w="70" w:type="dxa"/>
              <w:left w:w="85" w:type="dxa"/>
              <w:right w:w="85" w:type="dxa"/>
            </w:tcMar>
          </w:tcPr>
          <w:p>
            <w:pPr>
              <w:spacing w:after="0" w:before="0" w:line="245" w:lineRule="auto"/>
              <w:jc w:val="right"/>
            </w:pPr>
            <w:r>
              <w:rPr>
                <w:rFonts w:ascii="Times New Roman" w:hAnsi="Times New Roman"/>
                <w:b/>
                <w:color w:val="000000"/>
                <w:sz w:val="18"/>
              </w:rPr>
              <w:t xml:space="preserve">12→24 h net</w:t>
            </w:r>
          </w:p>
        </w:tc>
      </w:tr>
      <w:tr>
        <w:trPr>
          <w:cantSplit/>
        </w:trPr>
        <w:tc>
          <w:tcPr>
            <w:tcW w:type="dxa" w:w="3312"/>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0</w:t>
            </w:r>
          </w:p>
        </w:tc>
        <w:tc>
          <w:tcPr>
            <w:tcW w:type="dxa" w:w="2304"/>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13,817.58</w:t>
            </w:r>
          </w:p>
        </w:tc>
        <w:tc>
          <w:tcPr>
            <w:tcW w:type="dxa" w:w="2304"/>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19,232.51</w:t>
            </w:r>
          </w:p>
        </w:tc>
        <w:tc>
          <w:tcPr>
            <w:tcW w:type="dxa" w:w="2304"/>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33,050.09</w:t>
            </w:r>
          </w:p>
        </w:tc>
      </w:tr>
      <w:tr>
        <w:trPr>
          <w:cantSplit/>
        </w:trPr>
        <w:tc>
          <w:tcPr>
            <w:tcW w:type="dxa" w:w="3312"/>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5,000</w:t>
            </w:r>
          </w:p>
        </w:tc>
        <w:tc>
          <w:tcPr>
            <w:tcW w:type="dxa" w:w="2304"/>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8,817.58</w:t>
            </w:r>
          </w:p>
        </w:tc>
        <w:tc>
          <w:tcPr>
            <w:tcW w:type="dxa" w:w="2304"/>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14,232.51</w:t>
            </w:r>
          </w:p>
        </w:tc>
        <w:tc>
          <w:tcPr>
            <w:tcW w:type="dxa" w:w="2304"/>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28,050.09</w:t>
            </w:r>
          </w:p>
        </w:tc>
      </w:tr>
      <w:tr>
        <w:trPr>
          <w:cantSplit/>
        </w:trPr>
        <w:tc>
          <w:tcPr>
            <w:tcW w:type="dxa" w:w="3312"/>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10,000</w:t>
            </w:r>
          </w:p>
        </w:tc>
        <w:tc>
          <w:tcPr>
            <w:tcW w:type="dxa" w:w="2304"/>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3,817.58</w:t>
            </w:r>
          </w:p>
        </w:tc>
        <w:tc>
          <w:tcPr>
            <w:tcW w:type="dxa" w:w="2304"/>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9,232.51</w:t>
            </w:r>
          </w:p>
        </w:tc>
        <w:tc>
          <w:tcPr>
            <w:tcW w:type="dxa" w:w="2304"/>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23,050.09</w:t>
            </w:r>
          </w:p>
        </w:tc>
      </w:tr>
      <w:tr>
        <w:trPr>
          <w:cantSplit/>
        </w:trPr>
        <w:tc>
          <w:tcPr>
            <w:tcW w:type="dxa" w:w="3312"/>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15,000</w:t>
            </w:r>
          </w:p>
        </w:tc>
        <w:tc>
          <w:tcPr>
            <w:tcW w:type="dxa" w:w="2304"/>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−1,182.42</w:t>
            </w:r>
          </w:p>
        </w:tc>
        <w:tc>
          <w:tcPr>
            <w:tcW w:type="dxa" w:w="2304"/>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4,232.51</w:t>
            </w:r>
          </w:p>
        </w:tc>
        <w:tc>
          <w:tcPr>
            <w:tcW w:type="dxa" w:w="2304"/>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18,050.09</w:t>
            </w:r>
          </w:p>
        </w:tc>
      </w:tr>
      <w:tr>
        <w:trPr>
          <w:cantSplit/>
        </w:trPr>
        <w:tc>
          <w:tcPr>
            <w:tcW w:type="dxa" w:w="3312"/>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20,000</w:t>
            </w:r>
          </w:p>
        </w:tc>
        <w:tc>
          <w:tcPr>
            <w:tcW w:type="dxa" w:w="2304"/>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−6,182.42</w:t>
            </w:r>
          </w:p>
        </w:tc>
        <w:tc>
          <w:tcPr>
            <w:tcW w:type="dxa" w:w="2304"/>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−767.49</w:t>
            </w:r>
          </w:p>
        </w:tc>
        <w:tc>
          <w:tcPr>
            <w:tcW w:type="dxa" w:w="2304"/>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13,050.09</w:t>
            </w:r>
          </w:p>
        </w:tc>
      </w:tr>
      <w:tr>
        <w:trPr>
          <w:cantSplit/>
        </w:trPr>
        <w:tc>
          <w:tcPr>
            <w:tcW w:type="dxa" w:w="3312"/>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30,000</w:t>
            </w:r>
          </w:p>
        </w:tc>
        <w:tc>
          <w:tcPr>
            <w:tcW w:type="dxa" w:w="2304"/>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−16,182.42</w:t>
            </w:r>
          </w:p>
        </w:tc>
        <w:tc>
          <w:tcPr>
            <w:tcW w:type="dxa" w:w="2304"/>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−10,767.49</w:t>
            </w:r>
          </w:p>
        </w:tc>
        <w:tc>
          <w:tcPr>
            <w:tcW w:type="dxa" w:w="2304"/>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3,050.09</w:t>
            </w:r>
          </w:p>
        </w:tc>
      </w:tr>
      <w:tr>
        <w:trPr>
          <w:cantSplit/>
        </w:trPr>
        <w:tc>
          <w:tcPr>
            <w:tcW w:type="dxa" w:w="3312"/>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35,000</w:t>
            </w:r>
          </w:p>
        </w:tc>
        <w:tc>
          <w:tcPr>
            <w:tcW w:type="dxa" w:w="2304"/>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−21,182.42</w:t>
            </w:r>
          </w:p>
        </w:tc>
        <w:tc>
          <w:tcPr>
            <w:tcW w:type="dxa" w:w="2304"/>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−15,767.49</w:t>
            </w:r>
          </w:p>
        </w:tc>
        <w:tc>
          <w:tcPr>
            <w:tcW w:type="dxa" w:w="2304"/>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−1,949.91</w:t>
            </w:r>
          </w:p>
        </w:tc>
      </w:tr>
    </w:tbl>
    <w:p>
      <w:pPr>
        <w:widowControl/>
        <w:spacing w:after="100"/>
      </w:pPr>
      <w:r>
        <w:t xml:space="preserve">The exact mean historical break-even budgets from the printed source decimals are US$13,817.584760550363, US$19,232.507466893387 and US$33,050.092227443750. Positive mean net value requires a strictly smaller added budget. Positivity for every one of the three observed refinements instead requires</w:t>
      </w:r>
      <w:r>
        <w:t xml:space="preserve"> </w:t>
      </w:r>
      <m:oMath>
        <m:r>
          <m:t>q</m:t>
        </m:r>
      </m:oMath>
      <w:r>
        <w:t xml:space="preserve"> </w:t>
      </w:r>
      <w:r>
        <w:t xml:space="preserve">below US$13,733.95372379268, US$19,169.58506638567 and US$32,903.53879017835. Neither condition guarantees future-year profitability. Extra printed digits document arithmetic and do not claim equivalent physical precision.</w:t>
      </w:r>
    </w:p>
    <w:p>
      <w:pPr>
        <w:widowControl/>
        <w:spacing w:after="100"/>
      </w:pPr>
      <w:r>
        <w:t xml:space="preserve">The reference arrays imply 2,981.6073925153343935 MWh of annual variable-IT execution. Dividing the three mean budgets by that same denominator gives 4.63427, 6.45038 and 11.08466 US dollars per reference IT MWh. This optional normalization is neither a price per shifted MWh nor a capacity-market rate; the principal result remains the annual four-site budget. No incremental cost already present in the original ledger is deducted again.</w:t>
      </w:r>
    </w:p>
    <w:bookmarkEnd w:id="26"/>
    <w:bookmarkStart w:id="27" w:name="s26.3-conditional-transfer-intervals"/>
    <w:p>
      <w:pPr>
        <w:pStyle w:val="Heading2"/>
        <w:keepNext/>
        <w:widowControl/>
        <w:spacing w:after="100"/>
      </w:pPr>
      <w:r>
        <w:rPr>
          <w:color w:val="000000"/>
        </w:rPr>
        <w:t xml:space="preserve">S26.3 Conditional transfer intervals</w:t>
      </w:r>
    </w:p>
    <w:p>
      <w:pPr>
        <w:widowControl/>
        <w:spacing w:after="100"/>
      </w:pPr>
      <w:r>
        <w:t xml:space="preserve">Table 41 quantifies the operator-side endpoint of Eq. (S25.11) for three illustrative implementation budgets. The tenant-side endpoint remains</w:t>
      </w:r>
      <w:r>
        <w:t xml:space="preserve"> </w:t>
      </w:r>
      <m:oMath>
        <m:r>
          <m:t>D</m:t>
        </m:r>
        <m:r>
          <m:rPr>
            <m:sty m:val="p"/>
          </m:rPr>
          <m:t>+</m:t>
        </m:r>
        <m:sSub>
          <m:e>
            <m:r>
              <m:t>K</m:t>
            </m:r>
          </m:e>
          <m:sub>
            <m:r>
              <m:t>t</m:t>
            </m:r>
          </m:sub>
        </m:sSub>
      </m:oMath>
      <w:r>
        <w:t xml:space="preserve"> </w:t>
      </w:r>
      <w:r>
        <w:t xml:space="preserve">because those costs are unobserved. A positive operator endpoint alone does not establish a mutually acceptable transaction.</w:t>
      </w:r>
    </w:p>
    <w:p>
      <w:pPr>
        <w:pStyle w:val="Caption"/>
        <w:keepNext/>
        <w:widowControl/>
        <w:spacing w:after="100" w:before="120"/>
      </w:pPr>
      <w:r>
        <w:t xml:space="preserve">Supplementary Table 41. Mean historical upper transfer endpoints</w:t>
      </w:r>
      <w:r>
        <w:t xml:space="preserve"> </w:t>
      </w:r>
      <m:oMath>
        <m:r>
          <m:t>g</m:t>
        </m:r>
        <m:r>
          <m:rPr>
            <m:sty m:val="p"/>
          </m:rPr>
          <m:t>−</m:t>
        </m:r>
        <m:sSub>
          <m:e>
            <m:r>
              <m:t>K</m:t>
            </m:r>
          </m:e>
          <m:sub>
            <m:r>
              <m:t>o</m:t>
            </m:r>
          </m:sub>
        </m:sSub>
      </m:oMath>
      <w:r>
        <w:t xml:space="preserve"> </w:t>
      </w:r>
      <w:r>
        <w:t xml:space="preserve">under assumed operator implementation expenses. The lower endpoint in every cell is the unobserved</w:t>
      </w:r>
      <w:r>
        <w:t xml:space="preserve"> </w:t>
      </w:r>
      <m:oMath>
        <m:r>
          <m:t>D</m:t>
        </m:r>
        <m:r>
          <m:rPr>
            <m:sty m:val="p"/>
          </m:rPr>
          <m:t>+</m:t>
        </m:r>
        <m:sSub>
          <m:e>
            <m:r>
              <m:t>K</m:t>
            </m:r>
          </m:e>
          <m:sub>
            <m:r>
              <m:t>t</m:t>
            </m:r>
          </m:sub>
        </m:sSub>
      </m:oMath>
      <w:r>
        <w:t xml:space="preserve">. These are conditional retrospective participation intervals, not observed payments or ex-ante procurement prices.</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678"/>
        <w:gridCol w:w="2693"/>
        <w:gridCol w:w="2693"/>
      </w:tblGrid>
      <w:tr>
        <w:trPr>
          <w:tblHeader w:val="true"/>
          <w:cantSplit/>
          <w:tblHeader/>
        </w:trPr>
        <w:tc>
          <w:tcPr>
            <w:tcW w:type="dxa" w:w="2160"/>
            <w:vAlign w:val="center"/>
            <w:shd w:fill="DCE6F1"/>
            <w:tcMar>
              <w:top w:w="70" w:type="dxa"/>
              <w:bottom w:w="70" w:type="dxa"/>
              <w:left w:w="85" w:type="dxa"/>
              <w:right w:w="85" w:type="dxa"/>
            </w:tcMar>
          </w:tcPr>
          <w:p>
            <w:pPr>
              <w:spacing w:after="0" w:before="0" w:line="245" w:lineRule="auto"/>
              <w:jc w:val="right"/>
            </w:pPr>
            <w:r>
              <w:rPr>
                <w:rFonts w:ascii="Times New Roman" w:hAnsi="Times New Roman"/>
                <w:b/>
                <w:color w:val="000000"/>
                <w:sz w:val="18"/>
              </w:rPr>
              <w:t xml:space="preserve">Assumed</w:t>
            </w:r>
            <w:r>
              <w:rPr>
                <w:rFonts w:ascii="Times New Roman" w:hAnsi="Times New Roman"/>
                <w:b/>
                <w:color w:val="000000"/>
                <w:sz w:val="18"/>
              </w:rPr>
              <w:t xml:space="preserve"> </w:t>
            </w:r>
            <m:oMath>
              <m:sSub>
                <m:e>
                  <m:r>
                    <m:t>K</m:t>
                  </m:r>
                </m:e>
                <m:sub>
                  <m:r>
                    <m:t>o</m:t>
                  </m:r>
                </m:sub>
              </m:sSub>
            </m:oMath>
            <w:r>
              <w:rPr>
                <w:rFonts w:ascii="Times New Roman" w:hAnsi="Times New Roman"/>
                <w:b/>
                <w:color w:val="000000"/>
                <w:sz w:val="18"/>
              </w:rPr>
              <w:t xml:space="preserve">, US$</w:t>
            </w:r>
          </w:p>
        </w:tc>
        <w:tc>
          <w:tcPr>
            <w:tcW w:type="dxa" w:w="2678"/>
            <w:vAlign w:val="center"/>
            <w:shd w:fill="DCE6F1"/>
            <w:tcMar>
              <w:top w:w="70" w:type="dxa"/>
              <w:bottom w:w="70" w:type="dxa"/>
              <w:left w:w="85" w:type="dxa"/>
              <w:right w:w="85" w:type="dxa"/>
            </w:tcMar>
          </w:tcPr>
          <w:p>
            <w:pPr>
              <w:spacing w:after="0" w:before="0" w:line="245" w:lineRule="auto"/>
              <w:jc w:val="right"/>
            </w:pPr>
            <w:r>
              <w:rPr>
                <w:rFonts w:ascii="Times New Roman" w:hAnsi="Times New Roman"/>
                <w:b/>
                <w:color w:val="000000"/>
                <w:sz w:val="18"/>
              </w:rPr>
              <w:t xml:space="preserve">12→16 h upper</w:t>
            </w:r>
            <w:r>
              <w:rPr>
                <w:rFonts w:ascii="Times New Roman" w:hAnsi="Times New Roman"/>
                <w:b/>
                <w:color w:val="000000"/>
                <w:sz w:val="18"/>
              </w:rPr>
              <w:t xml:space="preserve"> </w:t>
            </w:r>
            <m:oMath>
              <m:r>
                <m:t>F</m:t>
              </m:r>
            </m:oMath>
            <w:r>
              <w:rPr>
                <w:rFonts w:ascii="Times New Roman" w:hAnsi="Times New Roman"/>
                <w:b/>
                <w:color w:val="000000"/>
                <w:sz w:val="18"/>
              </w:rPr>
              <w:t xml:space="preserve">, US$</w:t>
            </w:r>
          </w:p>
        </w:tc>
        <w:tc>
          <w:tcPr>
            <w:tcW w:type="dxa" w:w="2693"/>
            <w:vAlign w:val="center"/>
            <w:shd w:fill="DCE6F1"/>
            <w:tcMar>
              <w:top w:w="70" w:type="dxa"/>
              <w:bottom w:w="70" w:type="dxa"/>
              <w:left w:w="85" w:type="dxa"/>
              <w:right w:w="85" w:type="dxa"/>
            </w:tcMar>
          </w:tcPr>
          <w:p>
            <w:pPr>
              <w:spacing w:after="0" w:before="0" w:line="245" w:lineRule="auto"/>
              <w:jc w:val="right"/>
            </w:pPr>
            <w:r>
              <w:rPr>
                <w:rFonts w:ascii="Times New Roman" w:hAnsi="Times New Roman"/>
                <w:b/>
                <w:color w:val="000000"/>
                <w:sz w:val="18"/>
              </w:rPr>
              <w:t xml:space="preserve">16→24 h upper</w:t>
            </w:r>
            <w:r>
              <w:rPr>
                <w:rFonts w:ascii="Times New Roman" w:hAnsi="Times New Roman"/>
                <w:b/>
                <w:color w:val="000000"/>
                <w:sz w:val="18"/>
              </w:rPr>
              <w:t xml:space="preserve"> </w:t>
            </w:r>
            <m:oMath>
              <m:r>
                <m:t>F</m:t>
              </m:r>
            </m:oMath>
            <w:r>
              <w:rPr>
                <w:rFonts w:ascii="Times New Roman" w:hAnsi="Times New Roman"/>
                <w:b/>
                <w:color w:val="000000"/>
                <w:sz w:val="18"/>
              </w:rPr>
              <w:t xml:space="preserve">, US$</w:t>
            </w:r>
          </w:p>
        </w:tc>
        <w:tc>
          <w:tcPr>
            <w:tcW w:type="dxa" w:w="2693"/>
            <w:vAlign w:val="center"/>
            <w:shd w:fill="DCE6F1"/>
            <w:tcMar>
              <w:top w:w="70" w:type="dxa"/>
              <w:bottom w:w="70" w:type="dxa"/>
              <w:left w:w="85" w:type="dxa"/>
              <w:right w:w="85" w:type="dxa"/>
            </w:tcMar>
          </w:tcPr>
          <w:p>
            <w:pPr>
              <w:spacing w:after="0" w:before="0" w:line="245" w:lineRule="auto"/>
              <w:jc w:val="right"/>
            </w:pPr>
            <w:r>
              <w:rPr>
                <w:rFonts w:ascii="Times New Roman" w:hAnsi="Times New Roman"/>
                <w:b/>
                <w:color w:val="000000"/>
                <w:sz w:val="18"/>
              </w:rPr>
              <w:t xml:space="preserve">12→24 h upper</w:t>
            </w:r>
            <w:r>
              <w:rPr>
                <w:rFonts w:ascii="Times New Roman" w:hAnsi="Times New Roman"/>
                <w:b/>
                <w:color w:val="000000"/>
                <w:sz w:val="18"/>
              </w:rPr>
              <w:t xml:space="preserve"> </w:t>
            </w:r>
            <m:oMath>
              <m:r>
                <m:t>F</m:t>
              </m:r>
            </m:oMath>
            <w:r>
              <w:rPr>
                <w:rFonts w:ascii="Times New Roman" w:hAnsi="Times New Roman"/>
                <w:b/>
                <w:color w:val="000000"/>
                <w:sz w:val="18"/>
              </w:rPr>
              <w:t xml:space="preserve">, US$</w:t>
            </w:r>
          </w:p>
        </w:tc>
      </w:tr>
      <w:tr>
        <w:trPr>
          <w:cantSplit/>
        </w:trPr>
        <w:tc>
          <w:tcPr>
            <w:tcW w:type="dxa" w:w="2160"/>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0</w:t>
            </w:r>
          </w:p>
        </w:tc>
        <w:tc>
          <w:tcPr>
            <w:tcW w:type="dxa" w:w="2678"/>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13,817.58</w:t>
            </w:r>
          </w:p>
        </w:tc>
        <w:tc>
          <w:tcPr>
            <w:tcW w:type="dxa" w:w="2693"/>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19,232.51</w:t>
            </w:r>
          </w:p>
        </w:tc>
        <w:tc>
          <w:tcPr>
            <w:tcW w:type="dxa" w:w="2693"/>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33,050.09</w:t>
            </w:r>
          </w:p>
        </w:tc>
      </w:tr>
      <w:tr>
        <w:trPr>
          <w:cantSplit/>
        </w:trPr>
        <w:tc>
          <w:tcPr>
            <w:tcW w:type="dxa" w:w="2160"/>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5,000</w:t>
            </w:r>
          </w:p>
        </w:tc>
        <w:tc>
          <w:tcPr>
            <w:tcW w:type="dxa" w:w="2678"/>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8,817.58</w:t>
            </w:r>
          </w:p>
        </w:tc>
        <w:tc>
          <w:tcPr>
            <w:tcW w:type="dxa" w:w="2693"/>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14,232.51</w:t>
            </w:r>
          </w:p>
        </w:tc>
        <w:tc>
          <w:tcPr>
            <w:tcW w:type="dxa" w:w="2693"/>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28,050.09</w:t>
            </w:r>
          </w:p>
        </w:tc>
      </w:tr>
      <w:tr>
        <w:trPr>
          <w:cantSplit/>
        </w:trPr>
        <w:tc>
          <w:tcPr>
            <w:tcW w:type="dxa" w:w="2160"/>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10,000</w:t>
            </w:r>
          </w:p>
        </w:tc>
        <w:tc>
          <w:tcPr>
            <w:tcW w:type="dxa" w:w="2678"/>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3,817.58</w:t>
            </w:r>
          </w:p>
        </w:tc>
        <w:tc>
          <w:tcPr>
            <w:tcW w:type="dxa" w:w="2693"/>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9,232.51</w:t>
            </w:r>
          </w:p>
        </w:tc>
        <w:tc>
          <w:tcPr>
            <w:tcW w:type="dxa" w:w="2693"/>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23,050.09</w:t>
            </w:r>
          </w:p>
        </w:tc>
      </w:tr>
    </w:tbl>
    <w:p>
      <w:pPr>
        <w:widowControl/>
        <w:spacing w:after="100"/>
      </w:pPr>
      <w:r>
        <w:t xml:space="preserve">For example, the mean historical 12→24 h pairing with</w:t>
      </w:r>
      <w:r>
        <w:t xml:space="preserve"> </w:t>
      </w:r>
      <m:oMath>
        <m:sSub>
          <m:e>
            <m:r>
              <m:t>K</m:t>
            </m:r>
          </m:e>
          <m:sub>
            <m:r>
              <m:t>o</m:t>
            </m:r>
          </m:sub>
        </m:sSub>
        <m:r>
          <m:rPr>
            <m:sty m:val="p"/>
          </m:rPr>
          <m:t>=</m:t>
        </m:r>
        <m:r>
          <m:rPr>
            <m:sty m:val="p"/>
          </m:rPr>
          <m:t>U</m:t>
        </m:r>
        <m:r>
          <m:rPr>
            <m:sty m:val="p"/>
          </m:rPr>
          <m:t>S</m:t>
        </m:r>
        <m:r>
          <m:rPr>
            <m:sty m:val="p"/>
          </m:rPr>
          <m:t>$</m:t>
        </m:r>
        <m:r>
          <m:t> </m:t>
        </m:r>
        <m:r>
          <m:t>5</m:t>
        </m:r>
        <m:r>
          <m:rPr>
            <m:sty m:val="p"/>
          </m:rPr>
          <m:t>,</m:t>
        </m:r>
        <m:r>
          <m:t>000</m:t>
        </m:r>
      </m:oMath>
      <w:r>
        <w:t xml:space="preserve"> </w:t>
      </w:r>
      <w:r>
        <w:t xml:space="preserve">gives the interval</w:t>
      </w:r>
      <w:r>
        <w:t xml:space="preserve"> </w:t>
      </w:r>
      <m:oMath>
        <m:r>
          <m:t>D</m:t>
        </m:r>
        <m:r>
          <m:rPr>
            <m:sty m:val="p"/>
          </m:rPr>
          <m:t>+</m:t>
        </m:r>
        <m:sSub>
          <m:e>
            <m:r>
              <m:t>K</m:t>
            </m:r>
          </m:e>
          <m:sub>
            <m:r>
              <m:t>t</m:t>
            </m:r>
          </m:sub>
        </m:sSub>
        <m:r>
          <m:rPr>
            <m:sty m:val="p"/>
          </m:rPr>
          <m:t>≤</m:t>
        </m:r>
        <m:r>
          <m:t>F</m:t>
        </m:r>
        <m:r>
          <m:rPr>
            <m:sty m:val="p"/>
          </m:rPr>
          <m:t>≤</m:t>
        </m:r>
        <m:r>
          <m:rPr>
            <m:sty m:val="p"/>
          </m:rPr>
          <m:t>U</m:t>
        </m:r>
        <m:r>
          <m:rPr>
            <m:sty m:val="p"/>
          </m:rPr>
          <m:t>S</m:t>
        </m:r>
        <m:r>
          <m:rPr>
            <m:sty m:val="p"/>
          </m:rPr>
          <m:t>$</m:t>
        </m:r>
        <m:r>
          <m:t> </m:t>
        </m:r>
        <m:r>
          <m:t>28</m:t>
        </m:r>
        <m:r>
          <m:rPr>
            <m:sty m:val="p"/>
          </m:rPr>
          <m:t>,</m:t>
        </m:r>
        <m:r>
          <m:t>050.09222744375</m:t>
        </m:r>
      </m:oMath>
      <w:r>
        <w:t xml:space="preserve">. It exists only if the unknown tenant-side cost does not exceed that endpoint. For an actual ex-ante agreement, replace the historical</w:t>
      </w:r>
      <w:r>
        <w:t xml:space="preserve"> </w:t>
      </w:r>
      <m:oMath>
        <m:r>
          <m:t>g</m:t>
        </m:r>
      </m:oMath>
      <w:r>
        <w:t xml:space="preserve"> </w:t>
      </w:r>
      <w:r>
        <w:t xml:space="preserve">with a validated expected or consistently risk-adjusted operating increment and value the tenant’s disruption under the same criterion. The source data do not identify those replacements.</w:t>
      </w:r>
    </w:p>
    <w:bookmarkEnd w:id="27"/>
    <w:bookmarkStart w:id="28" w:name="X70ba800f827350978936a84e5d5f87ee2059ed1"/>
    <w:p>
      <w:pPr>
        <w:pStyle w:val="Heading2"/>
        <w:keepNext/>
        <w:widowControl/>
        <w:spacing w:after="100"/>
      </w:pPr>
      <w:r>
        <w:rPr>
          <w:color w:val="000000"/>
        </w:rPr>
        <w:t xml:space="preserve">S26.4 Reproduction records and provenance</w:t>
      </w:r>
    </w:p>
    <w:p>
      <w:pPr>
        <w:widowControl/>
        <w:spacing w:after="100"/>
      </w:pPr>
      <w:r>
        <w:t xml:space="preserve">The supplied economic_value_analysis.py reads the nine annual rows, pairs by seed, checks identical checkpoint hashes and the common reference, recomputes each mean and difference, independently re-settles the available 24 h arrays, and generates the fee and transfer tables. It also evaluates Table 38 with exact rational arithmetic. The outputs are paired_upgrades.csv, upgrade_summary.csv, historical_fee_scenarios.csv, conditional_transfer_frontiers.csv and economic_value_results.json. Published decimal strings are interpreted exactly for descriptive arithmetic; the independent physical re-settlement uses extended numerical precision.</w:t>
      </w:r>
    </w:p>
    <w:p>
      <w:pPr>
        <w:widowControl/>
        <w:spacing w:after="100"/>
      </w:pPr>
      <w:r>
        <w:t xml:space="preserve">The source commit is 323c2084e7ee668ba512fb1e33dd56b8394b32d4. The NPZ SHA-256 is 5be123c40f01b111cf6503b07882e703a4c2cc29a03dde3cfb7aa4321ce2cf72. Complete hashes for the paired CSV, published aggregate means, checkpoint provenance, original certificate summaries and separate manuscript-reported scalars are recorded in economic_value_results.json. The original same-seed checkpoint hashes are checked against source_data/current/current_provenance.json rather than inferred from display epoch labels.</w:t>
      </w:r>
    </w:p>
    <w:p>
      <w:pPr>
        <w:widowControl/>
        <w:spacing w:after="100"/>
      </w:pPr>
      <w:r>
        <w:t xml:space="preserve">The original annual witness and second-formulation files remain distinct from these historical account checks. Any independently constructed replacement certificate must record its admissions domain, constraints, terminal account and relationship to the original contract before its bound is used in Eq. (S25.7). The economic definitions and interval proofs apply to a valid replacement without implying recovery of an absent original file. None of the new calculations changes the WorldMoE ablations, the original benchmark table or the workload evidence.</w:t>
      </w:r>
    </w:p>
    <w:bookmarkEnd w:id="28"/>
    <w:bookmarkEnd w:id="29"/>
    <w:p>
      <w:r>
        <w:br w:type="page"/>
      </w:r>
    </w:p>
    <w:bookmarkStart w:id="26" w:name="X0b9a45f3f6010c9eb8060d87de91a9a06b0dc8f"/>
    <w:p>
      <w:pPr>
        <w:pStyle w:val="Heading1"/>
        <w:keepNext/>
        <w:widowControl/>
        <w:spacing w:after="100"/>
      </w:pPr>
      <w:r>
        <w:rPr>
          <w:color w:val="000000"/>
        </w:rPr>
        <w:t xml:space="preserve">S27 Verified conservative certificates from the released annual reference</w:t>
      </w:r>
    </w:p>
    <w:bookmarkStart w:id="20" w:name="Xcb903dd0ddb46e4b93df7b2248e3d5e12654161"/>
    <w:p>
      <w:pPr>
        <w:pStyle w:val="Heading2"/>
        <w:keepNext/>
        <w:widowControl/>
        <w:spacing w:after="100"/>
      </w:pPr>
      <w:r>
        <w:rPr>
          <w:color w:val="000000"/>
        </w:rPr>
        <w:t xml:space="preserve">Evidence and the quantity being certified</w:t>
      </w:r>
    </w:p>
    <w:p>
      <w:pPr>
        <w:widowControl/>
        <w:spacing w:after="100"/>
      </w:pPr>
      <w:r>
        <w:t>This section reports a new conservative verification using the complete released 2025 arrays. It does not reconstruct the unpublished 29 October certificate files or the previously reported US$117,000.2387599464 hindsight assignment. The retained input is source_data/grid_metrics_inputs_2025.npz, SHA-256 5be123c40f01b111cf6503b07882e703a4c2cc29a03dde3cfb7aa4321ce2cf72, at public repository commit 323c2084e7ee668ba512fb1e33dd56b8394b32d4. It supplies 35,040 quarter-hour intervals at four sites, including prices, realised physical inputs, reference execution and three policy executions. The original public array file does not contain admissions. The source admissions have now been recovered from the local forcing archive and are supplied and matched in S29–S30.</w:t>
      </w:r>
    </w:p>
    <w:p>
      <w:pPr>
        <w:widowControl/>
        <w:spacing w:after="100"/>
      </w:pPr>
      <w:r>
        <w:t xml:space="preserve">The certificate concerns the original nominal, divisible, homogeneous-rights account with zero initial queue, unit service capacity, static import limits and fixed realised PV/PUE. The archived nominal constraints contain no ramp limit. Dropping additional physical restrictions would preserve an outer savings bound but would not by itself validate a witness for those additional restrictions. The reference provenance premise is the archived</w:t>
      </w:r>
      <w:r>
        <w:t xml:space="preserve"> </w:t>
      </w:r>
      <w:r>
        <w:rPr>
          <w:rStyle w:val="VerbatimChar"/>
        </w:rPr>
        <w:t xml:space="preserve">reservation.reference</w:t>
      </w:r>
      <w:r>
        <w:t xml:space="preserve"> </w:t>
      </w:r>
      <w:r>
        <w:t xml:space="preserve">recurrence: nonnegative finite binary64 arrivals are added to a queue, immediate service is its minimum with unit capacity, and the remainder is carried forward. The nominal cost and terminal rule are those in</w:t>
      </w:r>
      <w:r>
        <w:t xml:space="preserve"> </w:t>
      </w:r>
      <w:r>
        <w:rPr>
          <w:rStyle w:val="VerbatimChar"/>
        </w:rPr>
        <w:t xml:space="preserve">economic_core.record</w:t>
      </w:r>
      <w:r>
        <w:t xml:space="preserve">. The separate terminal-rate audit verifies positivity of the historical coefficients from the published MTM ledger and the documented accounting lineage; their positivity and conservative upper bounds are used below.</w:t>
      </w:r>
    </w:p>
    <w:p>
      <w:pPr>
        <w:widowControl/>
        <w:spacing w:after="100"/>
      </w:pPr>
      <w:r>
        <w:t xml:space="preserve">Reference execution cannot simply be relabelled as admissions. Each site’s reference contains 639 capacity-saturated intervals in 158 busy blocks. The longest saturated run is 35 intervals. As an explicit inference counterexample, moving half of the next positive reference amount into a preceding saturated interval yields a distinct nonnegative arrival vector with exactly the same complete reference output when the original function is executed. Neither constructed vector is asserted to be the original admissions. The new method instead bounds every admission vector compatible with the reference recurrence.</w:t>
      </w:r>
    </w:p>
    <w:p>
      <w:pPr>
        <w:widowControl/>
        <w:spacing w:after="100"/>
      </w:pPr>
      <w:r>
        <w:t xml:space="preserve">The published reference is retained as the source’s fixed settlement ledger and absolute-deviation fee anchor. Its expense</w:t>
      </w:r>
      <w:r>
        <w:t xml:space="preserve"> </w:t>
      </w:r>
      <m:oMath>
        <m:sSub>
          <m:e>
            <m:r>
              <m:t>C</m:t>
            </m:r>
          </m:e>
          <m:sub>
            <m:r>
              <m:t>0</m:t>
            </m:r>
          </m:sub>
        </m:sSub>
      </m:oMath>
      <w:r>
        <w:t xml:space="preserve"> </w:t>
      </w:r>
      <w:r>
        <w:t xml:space="preserve">is a fixed benchmark; the stored floating reference is not promoted to an exactly feasible witness for the unknown admissions. Exact feasibility claims below concern the repaired candidate schedules. Replacing the reference or fee anchor would define a different account and is unnecessary for the stated savings bounds or nested-rights increments.</w:t>
      </w:r>
    </w:p>
    <w:bookmarkEnd w:id="20"/>
    <w:bookmarkStart w:id="21" w:name="X5d7b7b86e1c86f65aad79962db6f895a90b88fb"/>
    <w:p>
      <w:pPr>
        <w:pStyle w:val="Heading2"/>
        <w:keepNext/>
        <w:widowControl/>
        <w:spacing w:after="100"/>
      </w:pPr>
      <w:r>
        <w:rPr>
          <w:color w:val="000000"/>
        </w:rPr>
        <w:t xml:space="preserve">A proved admission envelope from floating queue bookkeeping</w:t>
      </w:r>
    </w:p>
    <w:p>
      <w:pPr>
        <w:widowControl/>
        <w:spacing w:after="100"/>
      </w:pPr>
      <w:r>
        <w:t xml:space="preserve">Let</w:t>
      </w:r>
      <w:r>
        <w:t xml:space="preserve"> </w:t>
      </w:r>
      <m:oMath>
        <m:sSub>
          <m:e>
            <m:r>
              <m:t>b</m:t>
            </m:r>
          </m:e>
          <m:sub>
            <m:r>
              <m:t>t</m:t>
            </m:r>
          </m:sub>
        </m:sSub>
      </m:oMath>
      <w:r>
        <w:t xml:space="preserve"> </w:t>
      </w:r>
      <w:r>
        <w:t xml:space="preserve">be stored reference service,</w:t>
      </w:r>
      <w:r>
        <w:t xml:space="preserve"> </w:t>
      </w:r>
      <m:oMath>
        <m:sSub>
          <m:e>
            <m:r>
              <m:t>R</m:t>
            </m:r>
          </m:e>
          <m:sub>
            <m:r>
              <m:t>t</m:t>
            </m:r>
          </m:sub>
        </m:sSub>
        <m:r>
          <m:rPr>
            <m:sty m:val="p"/>
          </m:rPr>
          <m:t>=</m:t>
        </m:r>
        <m:nary>
          <m:naryPr>
            <m:chr m:val="∑"/>
            <m:limLoc m:val="undOvr"/>
            <m:subHide m:val="off"/>
            <m:supHide m:val="off"/>
          </m:naryPr>
          <m:sub>
            <m:r>
              <m:t>s</m:t>
            </m:r>
            <m:r>
              <m:rPr>
                <m:sty m:val="p"/>
              </m:rPr>
              <m:t>=</m:t>
            </m:r>
            <m:r>
              <m:t>1</m:t>
            </m:r>
          </m:sub>
          <m:sup>
            <m:r>
              <m:t>t</m:t>
            </m:r>
          </m:sup>
          <m:e>
            <m:sSub>
              <m:e>
                <m:r>
                  <m:t>b</m:t>
                </m:r>
              </m:e>
              <m:sub>
                <m:r>
                  <m:t>s</m:t>
                </m:r>
              </m:sub>
            </m:sSub>
          </m:e>
        </m:nary>
      </m:oMath>
      <w:r>
        <w:t xml:space="preserve"> </w:t>
      </w:r>
      <w:r>
        <w:t xml:space="preserve">its exact rational prefix,</w:t>
      </w:r>
      <w:r>
        <w:t xml:space="preserve"> </w:t>
      </w:r>
      <m:oMath>
        <m:sSub>
          <m:e>
            <m:r>
              <m:t>A</m:t>
            </m:r>
          </m:e>
          <m:sub>
            <m:r>
              <m:t>t</m:t>
            </m:r>
          </m:sub>
        </m:sSub>
        <m:r>
          <m:rPr>
            <m:sty m:val="p"/>
          </m:rPr>
          <m:t>=</m:t>
        </m:r>
        <m:nary>
          <m:naryPr>
            <m:chr m:val="∑"/>
            <m:limLoc m:val="undOvr"/>
            <m:subHide m:val="off"/>
            <m:supHide m:val="off"/>
          </m:naryPr>
          <m:sub>
            <m:r>
              <m:t>s</m:t>
            </m:r>
            <m:r>
              <m:rPr>
                <m:sty m:val="p"/>
              </m:rPr>
              <m:t>=</m:t>
            </m:r>
            <m:r>
              <m:t>1</m:t>
            </m:r>
          </m:sub>
          <m:sup>
            <m:r>
              <m:t>t</m:t>
            </m:r>
          </m:sup>
          <m:e>
            <m:sSub>
              <m:e>
                <m:r>
                  <m:t>a</m:t>
                </m:r>
              </m:e>
              <m:sub>
                <m:r>
                  <m:t>s</m:t>
                </m:r>
              </m:sub>
            </m:sSub>
          </m:e>
        </m:nary>
      </m:oMath>
      <w:r>
        <w:t xml:space="preserve"> </w:t>
      </w:r>
      <w:r>
        <w:t xml:space="preserve">the unknown exact admission prefix and</w:t>
      </w:r>
      <w:r>
        <w:t xml:space="preserve"> </w:t>
      </w:r>
      <m:oMath>
        <m:sSub>
          <m:e>
            <m:r>
              <m:t>q</m:t>
            </m:r>
          </m:e>
          <m:sub>
            <m:r>
              <m:t>t</m:t>
            </m:r>
          </m:sub>
        </m:sSub>
      </m:oMath>
      <w:r>
        <w:t xml:space="preserve"> </w:t>
      </w:r>
      <w:r>
        <w:t xml:space="preserve">the stored reference queue. Set</w:t>
      </w:r>
      <w:r>
        <w:t xml:space="preserve"> </w:t>
      </w:r>
      <m:oMath>
        <m:sSub>
          <m:e>
            <m:r>
              <m:t>A</m:t>
            </m:r>
          </m:e>
          <m:sub>
            <m:r>
              <m:t>0</m:t>
            </m:r>
          </m:sub>
        </m:sSub>
        <m:r>
          <m:rPr>
            <m:sty m:val="p"/>
          </m:rPr>
          <m:t>=</m:t>
        </m:r>
        <m:sSub>
          <m:e>
            <m:r>
              <m:t>R</m:t>
            </m:r>
          </m:e>
          <m:sub>
            <m:r>
              <m:t>0</m:t>
            </m:r>
          </m:sub>
        </m:sSub>
        <m:r>
          <m:rPr>
            <m:sty m:val="p"/>
          </m:rPr>
          <m:t>=</m:t>
        </m:r>
        <m:sSub>
          <m:e>
            <m:r>
              <m:t>q</m:t>
            </m:r>
          </m:e>
          <m:sub>
            <m:r>
              <m:t>0</m:t>
            </m:r>
          </m:sub>
        </m:sSub>
        <m:r>
          <m:rPr>
            <m:sty m:val="p"/>
          </m:rPr>
          <m:t>=</m:t>
        </m:r>
        <m:r>
          <m:t>0</m:t>
        </m:r>
      </m:oMath>
      <w:r>
        <w:t xml:space="preserve">. At an unsaturated interval,</w:t>
      </w:r>
      <w:r>
        <w:t xml:space="preserve"> </w:t>
      </w:r>
      <m:oMath>
        <m:sSub>
          <m:e>
            <m:r>
              <m:t>b</m:t>
            </m:r>
          </m:e>
          <m:sub>
            <m:r>
              <m:t>t</m:t>
            </m:r>
          </m:sub>
        </m:sSub>
        <m:r>
          <m:rPr>
            <m:sty m:val="p"/>
          </m:rPr>
          <m:t>&lt;</m:t>
        </m:r>
        <m:r>
          <m:t>1</m:t>
        </m:r>
      </m:oMath>
      <w:r>
        <w:t xml:space="preserve"> </w:t>
      </w:r>
      <w:r>
        <w:t xml:space="preserve">and the stored queue clears exactly. Define</w:t>
      </w:r>
      <w:r>
        <w:t xml:space="preserve"> </w:t>
      </w:r>
      <m:oMath>
        <m:r>
          <m:t>e</m:t>
        </m:r>
        <m:d>
          <m:dPr>
            <m:begChr m:val="("/>
            <m:endChr m:val=")"/>
            <m:sepChr m:val=""/>
            <m:grow/>
          </m:dPr>
          <m:e>
            <m:r>
              <m:t>t</m:t>
            </m:r>
          </m:e>
        </m:d>
      </m:oMath>
      <w:r>
        <w:t xml:space="preserve"> </w:t>
      </w:r>
      <w:r>
        <w:t xml:space="preserve">as the first unsaturated interval at or after</w:t>
      </w:r>
      <w:r>
        <w:t xml:space="preserve"> </w:t>
      </w:r>
      <m:oMath>
        <m:r>
          <m:t>t</m:t>
        </m:r>
      </m:oMath>
      <w:r>
        <w:t xml:space="preserve">, with</w:t>
      </w:r>
      <w:r>
        <w:t xml:space="preserve"> </w:t>
      </w:r>
      <m:oMath>
        <m:r>
          <m:t>e</m:t>
        </m:r>
        <m:d>
          <m:dPr>
            <m:begChr m:val="("/>
            <m:endChr m:val=")"/>
            <m:sepChr m:val=""/>
            <m:grow/>
          </m:dPr>
          <m:e>
            <m:r>
              <m:t>0</m:t>
            </m:r>
          </m:e>
        </m:d>
        <m:r>
          <m:rPr>
            <m:sty m:val="p"/>
          </m:rPr>
          <m:t>=</m:t>
        </m:r>
        <m:r>
          <m:t>0</m:t>
        </m:r>
      </m:oMath>
      <w:r>
        <w:t xml:space="preserve">. Every observed final block closes inside the supplied year.</w:t>
      </w:r>
    </w:p>
    <w:p>
      <w:pPr>
        <w:widowControl/>
        <w:spacing w:after="100"/>
      </w:pPr>
      <w:r>
        <w:t xml:space="preserve">Under round-to-nearest binary64 arithmetic, put</w:t>
      </w:r>
      <w:r>
        <w:t xml:space="preserve"> </w:t>
      </w:r>
      <m:oMath>
        <m:r>
          <m:t>u</m:t>
        </m:r>
        <m:r>
          <m:rPr>
            <m:sty m:val="p"/>
          </m:rPr>
          <m:t>=</m:t>
        </m:r>
        <m:sSup>
          <m:e>
            <m:r>
              <m:t>2</m:t>
            </m:r>
          </m:e>
          <m:sup>
            <m:r>
              <m:rPr>
                <m:sty m:val="p"/>
              </m:rPr>
              <m:t>−</m:t>
            </m:r>
            <m:r>
              <m:t>53</m:t>
            </m:r>
          </m:sup>
        </m:sSup>
      </m:oMath>
      <w:r>
        <w:t xml:space="preserve"> </w:t>
      </w:r>
      <w:r>
        <w:t xml:space="preserve">and</w:t>
      </w:r>
      <w:r>
        <w:t xml:space="preserve"> </w:t>
      </w:r>
      <m:oMath>
        <m:r>
          <m:t>β</m:t>
        </m:r>
        <m:r>
          <m:rPr>
            <m:sty m:val="p"/>
          </m:rPr>
          <m:t>=</m:t>
        </m:r>
        <m:r>
          <m:t>2</m:t>
        </m:r>
        <m:r>
          <m:t>u</m:t>
        </m:r>
        <m:r>
          <m:rPr>
            <m:sty m:val="p"/>
          </m:rPr>
          <m:t>+</m:t>
        </m:r>
        <m:sSup>
          <m:e>
            <m:r>
              <m:t>u</m:t>
            </m:r>
          </m:e>
          <m:sup>
            <m:r>
              <m:t>2</m:t>
            </m:r>
          </m:sup>
        </m:sSup>
      </m:oMath>
      <w:r>
        <w:t xml:space="preserve">. Combining the source addition and subtraction gives</w:t>
      </w:r>
    </w:p>
    <w:p>
      <w:pPr>
        <w:keepLines/>
        <w:widowControl/>
        <w:spacing w:after="120" w:before="80"/>
        <w:jc w:val="center"/>
      </w:pPr>
      <m:oMathPara>
        <m:oMathParaPr>
          <m:jc m:val="center"/>
        </m:oMathParaPr>
        <m:oMath>
          <m:sSub>
            <m:e>
              <m:r>
                <m:t>q</m:t>
              </m:r>
            </m:e>
            <m:sub>
              <m:r>
                <m:t>t</m:t>
              </m:r>
            </m:sub>
          </m:sSub>
          <m:r>
            <m:rPr>
              <m:sty m:val="p"/>
            </m:rPr>
            <m:t>=</m:t>
          </m:r>
          <m:sSub>
            <m:e>
              <m:r>
                <m:t>q</m:t>
              </m:r>
            </m:e>
            <m:sub>
              <m:r>
                <m:t>t</m:t>
              </m:r>
              <m:r>
                <m:rPr>
                  <m:sty m:val="p"/>
                </m:rPr>
                <m:t>−</m:t>
              </m:r>
              <m:r>
                <m:t>1</m:t>
              </m:r>
            </m:sub>
          </m:sSub>
          <m:r>
            <m:rPr>
              <m:sty m:val="p"/>
            </m:rPr>
            <m:t>+</m:t>
          </m:r>
          <m:sSub>
            <m:e>
              <m:r>
                <m:t>a</m:t>
              </m:r>
            </m:e>
            <m:sub>
              <m:r>
                <m:t>t</m:t>
              </m:r>
            </m:sub>
          </m:sSub>
          <m:r>
            <m:rPr>
              <m:sty m:val="p"/>
            </m:rPr>
            <m:t>−</m:t>
          </m:r>
          <m:sSub>
            <m:e>
              <m:r>
                <m:t>b</m:t>
              </m:r>
            </m:e>
            <m:sub>
              <m:r>
                <m:t>t</m:t>
              </m:r>
            </m:sub>
          </m:sSub>
          <m:r>
            <m:rPr>
              <m:sty m:val="p"/>
            </m:rPr>
            <m:t>+</m:t>
          </m:r>
          <m:sSub>
            <m:e>
              <m:r>
                <m:t>ϵ</m:t>
              </m:r>
            </m:e>
            <m:sub>
              <m:r>
                <m:t>t</m:t>
              </m:r>
            </m:sub>
          </m:sSub>
          <m:r>
            <m:rPr>
              <m:sty m:val="p"/>
            </m:rPr>
            <m:t>,</m:t>
          </m:r>
          <m:r>
            <m:t>  </m:t>
          </m:r>
          <m:r>
            <m:rPr>
              <m:sty m:val="p"/>
            </m:rPr>
            <m:t>|</m:t>
          </m:r>
          <m:sSub>
            <m:e>
              <m:r>
                <m:t>ϵ</m:t>
              </m:r>
            </m:e>
            <m:sub>
              <m:r>
                <m:t>t</m:t>
              </m:r>
            </m:sub>
          </m:sSub>
          <m:r>
            <m:rPr>
              <m:sty m:val="p"/>
            </m:rPr>
            <m:t>|</m:t>
          </m:r>
          <m:r>
            <m:rPr>
              <m:sty m:val="p"/>
            </m:rPr>
            <m:t>≤</m:t>
          </m:r>
          <m:r>
            <m:t>β</m:t>
          </m:r>
          <m:d>
            <m:dPr>
              <m:begChr m:val="("/>
              <m:endChr m:val=")"/>
              <m:sepChr m:val=""/>
              <m:grow/>
            </m:dPr>
            <m:e>
              <m:sSub>
                <m:e>
                  <m:r>
                    <m:t>q</m:t>
                  </m:r>
                </m:e>
                <m:sub>
                  <m:r>
                    <m:t>t</m:t>
                  </m:r>
                  <m:r>
                    <m:rPr>
                      <m:sty m:val="p"/>
                    </m:rPr>
                    <m:t>−</m:t>
                  </m:r>
                  <m:r>
                    <m:t>1</m:t>
                  </m:r>
                </m:sub>
              </m:sSub>
              <m:r>
                <m:rPr>
                  <m:sty m:val="p"/>
                </m:rPr>
                <m:t>+</m:t>
              </m:r>
              <m:sSub>
                <m:e>
                  <m:r>
                    <m:t>a</m:t>
                  </m:r>
                </m:e>
                <m:sub>
                  <m:r>
                    <m:t>t</m:t>
                  </m:r>
                </m:sub>
              </m:sSub>
            </m:e>
          </m:d>
          <m:r>
            <m:rPr>
              <m:sty m:val="p"/>
            </m:rPr>
            <m:t>.</m:t>
          </m:r>
          <m:r>
            <m:t>  </m:t>
          </m:r>
          <m:r>
            <m:rPr>
              <m:nor/>
              <m:sty m:val="p"/>
            </m:rPr>
            <m:t>(S27.1)</m:t>
          </m:r>
        </m:oMath>
      </m:oMathPara>
    </w:p>
    <w:p>
      <w:pPr>
        <w:widowControl/>
        <w:spacing w:after="100"/>
      </w:pPr>
      <w:r>
        <w:t xml:space="preserve">If two successive reference intervals are unsaturated, the starting queue is zero and the update is exact:</w:t>
      </w:r>
      <w:r>
        <w:t xml:space="preserve"> </w:t>
      </w:r>
      <m:oMath>
        <m:r>
          <m:rPr>
            <m:sty m:val="p"/>
          </m:rPr>
          <m:t>fl</m:t>
        </m:r>
        <m:d>
          <m:dPr>
            <m:begChr m:val="("/>
            <m:endChr m:val=")"/>
            <m:sepChr m:val=""/>
            <m:grow/>
          </m:dPr>
          <m:e>
            <m:r>
              <m:t>0</m:t>
            </m:r>
            <m:r>
              <m:rPr>
                <m:sty m:val="p"/>
              </m:rPr>
              <m:t>+</m:t>
            </m:r>
            <m:sSub>
              <m:e>
                <m:r>
                  <m:t>a</m:t>
                </m:r>
              </m:e>
              <m:sub>
                <m:r>
                  <m:t>t</m:t>
                </m:r>
              </m:sub>
            </m:sSub>
          </m:e>
        </m:d>
        <m:r>
          <m:rPr>
            <m:sty m:val="p"/>
          </m:rPr>
          <m:t>=</m:t>
        </m:r>
        <m:sSub>
          <m:e>
            <m:r>
              <m:t>a</m:t>
            </m:r>
          </m:e>
          <m:sub>
            <m:r>
              <m:t>t</m:t>
            </m:r>
          </m:sub>
        </m:sSub>
      </m:oMath>
      <w:r>
        <w:t xml:space="preserve"> </w:t>
      </w:r>
      <w:r>
        <w:t xml:space="preserve">and</w:t>
      </w:r>
      <w:r>
        <w:t xml:space="preserve"> </w:t>
      </w:r>
      <m:oMath>
        <m:r>
          <m:rPr>
            <m:sty m:val="p"/>
          </m:rPr>
          <m:t>fl</m:t>
        </m:r>
        <m:d>
          <m:dPr>
            <m:begChr m:val="("/>
            <m:endChr m:val=")"/>
            <m:sepChr m:val=""/>
            <m:grow/>
          </m:dPr>
          <m:e>
            <m:sSub>
              <m:e>
                <m:r>
                  <m:t>a</m:t>
                </m:r>
              </m:e>
              <m:sub>
                <m:r>
                  <m:t>t</m:t>
                </m:r>
              </m:sub>
            </m:sSub>
            <m:r>
              <m:rPr>
                <m:sty m:val="p"/>
              </m:rPr>
              <m:t>−</m:t>
            </m:r>
            <m:sSub>
              <m:e>
                <m:r>
                  <m:t>a</m:t>
                </m:r>
              </m:e>
              <m:sub>
                <m:r>
                  <m:t>t</m:t>
                </m:r>
              </m:sub>
            </m:sSub>
          </m:e>
        </m:d>
        <m:r>
          <m:rPr>
            <m:sty m:val="p"/>
          </m:rPr>
          <m:t>=</m:t>
        </m:r>
        <m:r>
          <m:t>0</m:t>
        </m:r>
      </m:oMath>
      <w:r>
        <w:t xml:space="preserve">. Thus only saturated blocks and their clearing intervals contribute to the bound. Consider</w:t>
      </w:r>
      <w:r>
        <w:t xml:space="preserve"> </w:t>
      </w:r>
      <m:oMath>
        <m:r>
          <m:t>m</m:t>
        </m:r>
      </m:oMath>
      <w:r>
        <w:t xml:space="preserve"> </w:t>
      </w:r>
      <w:r>
        <w:t xml:space="preserve">saturated intervals followed by a clearing interval. Backwards iteration of</w:t>
      </w:r>
      <w:r>
        <w:t xml:space="preserve"> </w:t>
      </w:r>
      <m:oMath>
        <m:sSub>
          <m:e>
            <m:r>
              <m:t>q</m:t>
            </m:r>
          </m:e>
          <m:sub>
            <m:r>
              <m:t>t</m:t>
            </m:r>
          </m:sub>
        </m:sSub>
        <m:r>
          <m:rPr>
            <m:sty m:val="p"/>
          </m:rPr>
          <m:t>≥</m:t>
        </m:r>
        <m:d>
          <m:dPr>
            <m:begChr m:val="("/>
            <m:endChr m:val=")"/>
            <m:sepChr m:val=""/>
            <m:grow/>
          </m:dPr>
          <m:e>
            <m:r>
              <m:t>1</m:t>
            </m:r>
            <m:r>
              <m:rPr>
                <m:sty m:val="p"/>
              </m:rPr>
              <m:t>−</m:t>
            </m:r>
            <m:r>
              <m:t>β</m:t>
            </m:r>
          </m:e>
        </m:d>
        <m:d>
          <m:dPr>
            <m:begChr m:val="("/>
            <m:endChr m:val=")"/>
            <m:sepChr m:val=""/>
            <m:grow/>
          </m:dPr>
          <m:e>
            <m:sSub>
              <m:e>
                <m:r>
                  <m:t>q</m:t>
                </m:r>
              </m:e>
              <m:sub>
                <m:r>
                  <m:t>t</m:t>
                </m:r>
                <m:r>
                  <m:rPr>
                    <m:sty m:val="p"/>
                  </m:rPr>
                  <m:t>−</m:t>
                </m:r>
                <m:r>
                  <m:t>1</m:t>
                </m:r>
              </m:sub>
            </m:sSub>
            <m:r>
              <m:rPr>
                <m:sty m:val="p"/>
              </m:rPr>
              <m:t>+</m:t>
            </m:r>
            <m:sSub>
              <m:e>
                <m:r>
                  <m:t>a</m:t>
                </m:r>
              </m:e>
              <m:sub>
                <m:r>
                  <m:t>t</m:t>
                </m:r>
              </m:sub>
            </m:sSub>
          </m:e>
        </m:d>
        <m:r>
          <m:rPr>
            <m:sty m:val="p"/>
          </m:rPr>
          <m:t>−</m:t>
        </m:r>
        <m:sSub>
          <m:e>
            <m:r>
              <m:t>b</m:t>
            </m:r>
          </m:e>
          <m:sub>
            <m:r>
              <m:t>t</m:t>
            </m:r>
          </m:sub>
        </m:sSub>
      </m:oMath>
      <w:r>
        <w:t xml:space="preserve">, using</w:t>
      </w:r>
      <w:r>
        <w:t xml:space="preserve"> </w:t>
      </w:r>
      <m:oMath>
        <m:sSub>
          <m:e>
            <m:r>
              <m:t>b</m:t>
            </m:r>
          </m:e>
          <m:sub>
            <m:r>
              <m:t>t</m:t>
            </m:r>
          </m:sub>
        </m:sSub>
        <m:r>
          <m:rPr>
            <m:sty m:val="p"/>
          </m:rPr>
          <m:t>≤</m:t>
        </m:r>
        <m:r>
          <m:t>1</m:t>
        </m:r>
      </m:oMath>
      <w:r>
        <w:t xml:space="preserve">, bounds its cumulative update error by</w:t>
      </w:r>
    </w:p>
    <w:p>
      <w:pPr>
        <w:keepLines/>
        <w:widowControl/>
        <w:spacing w:after="120" w:before="80"/>
        <w:jc w:val="center"/>
      </w:pPr>
      <m:oMathPara>
        <m:oMathParaPr>
          <m:jc m:val="center"/>
        </m:oMathParaPr>
        <m:oMath>
          <m:sSub>
            <m:e>
              <m:r>
                <m:t>E</m:t>
              </m:r>
            </m:e>
            <m:sub>
              <m:r>
                <m:t>m</m:t>
              </m:r>
            </m:sub>
          </m:sSub>
          <m:r>
            <m:rPr>
              <m:sty m:val="p"/>
            </m:rPr>
            <m:t>=</m:t>
          </m:r>
          <m:f>
            <m:fPr>
              <m:type m:val="bar"/>
            </m:fPr>
            <m:num>
              <m:d>
                <m:dPr>
                  <m:begChr m:val="("/>
                  <m:endChr m:val=")"/>
                  <m:sepChr m:val=""/>
                  <m:grow/>
                </m:dPr>
                <m:e>
                  <m:r>
                    <m:t>m</m:t>
                  </m:r>
                  <m:r>
                    <m:rPr>
                      <m:sty m:val="p"/>
                    </m:rPr>
                    <m:t>+</m:t>
                  </m:r>
                  <m:r>
                    <m:t>1</m:t>
                  </m:r>
                </m:e>
              </m:d>
              <m:d>
                <m:dPr>
                  <m:begChr m:val="("/>
                  <m:endChr m:val=")"/>
                  <m:sepChr m:val=""/>
                  <m:grow/>
                </m:dPr>
                <m:e>
                  <m:r>
                    <m:t>m</m:t>
                  </m:r>
                  <m:r>
                    <m:rPr>
                      <m:sty m:val="p"/>
                    </m:rPr>
                    <m:t>+</m:t>
                  </m:r>
                  <m:r>
                    <m:t>2</m:t>
                  </m:r>
                </m:e>
              </m:d>
              <m:r>
                <m:t>β</m:t>
              </m:r>
            </m:num>
            <m:den>
              <m:r>
                <m:t>1</m:t>
              </m:r>
              <m:r>
                <m:rPr>
                  <m:sty m:val="p"/>
                </m:rPr>
                <m:t>−</m:t>
              </m:r>
              <m:d>
                <m:dPr>
                  <m:begChr m:val="("/>
                  <m:endChr m:val=")"/>
                  <m:sepChr m:val=""/>
                  <m:grow/>
                </m:dPr>
                <m:e>
                  <m:r>
                    <m:t>m</m:t>
                  </m:r>
                  <m:r>
                    <m:rPr>
                      <m:sty m:val="p"/>
                    </m:rPr>
                    <m:t>+</m:t>
                  </m:r>
                  <m:r>
                    <m:t>2</m:t>
                  </m:r>
                </m:e>
              </m:d>
              <m:r>
                <m:t>β</m:t>
              </m:r>
            </m:den>
          </m:f>
          <m:r>
            <m:rPr>
              <m:sty m:val="p"/>
            </m:rPr>
            <m:t>.</m:t>
          </m:r>
          <m:r>
            <m:t>  </m:t>
          </m:r>
          <m:r>
            <m:rPr>
              <m:nor/>
              <m:sty m:val="p"/>
            </m:rPr>
            <m:t>(S27.2)</m:t>
          </m:r>
        </m:oMath>
      </m:oMathPara>
    </w:p>
    <w:p>
      <w:pPr>
        <w:widowControl/>
        <w:spacing w:after="100"/>
      </w:pPr>
      <w:r>
        <w:t xml:space="preserve">The denominator is checked positive. The bound uses</w:t>
      </w:r>
      <w:r>
        <w:t xml:space="preserve"> </w:t>
      </w:r>
      <m:oMath>
        <m:sSup>
          <m:e>
            <m:d>
              <m:dPr>
                <m:begChr m:val="("/>
                <m:endChr m:val=")"/>
                <m:sepChr m:val=""/>
                <m:grow/>
              </m:dPr>
              <m:e>
                <m:r>
                  <m:t>1</m:t>
                </m:r>
                <m:r>
                  <m:rPr>
                    <m:sty m:val="p"/>
                  </m:rPr>
                  <m:t>−</m:t>
                </m:r>
                <m:r>
                  <m:t>β</m:t>
                </m:r>
              </m:e>
            </m:d>
          </m:e>
          <m:sup>
            <m:r>
              <m:t>j</m:t>
            </m:r>
          </m:sup>
        </m:sSup>
        <m:r>
          <m:rPr>
            <m:sty m:val="p"/>
          </m:rPr>
          <m:t>≥</m:t>
        </m:r>
        <m:r>
          <m:t>1</m:t>
        </m:r>
        <m:r>
          <m:rPr>
            <m:sty m:val="p"/>
          </m:rPr>
          <m:t>−</m:t>
        </m:r>
        <m:r>
          <m:t>j</m:t>
        </m:r>
        <m:r>
          <m:t>β</m:t>
        </m:r>
      </m:oMath>
      <w:r>
        <w:t xml:space="preserve"> </w:t>
      </w:r>
      <w:r>
        <w:t xml:space="preserve">and deliberately permits a larger remaining-service count than necessary. Binary64 addition/subtraction yielding a subnormal result is exact on the common representable-number lattice; the stated finite-input, finite-recurrence premise excludes overflow. Summing Eq. (S27.2) over all 158 blocks and rounding upward to</w:t>
      </w:r>
      <w:r>
        <w:t xml:space="preserve"> </w:t>
      </w:r>
      <m:oMath>
        <m:sSup>
          <m:e>
            <m:r>
              <m:t>10</m:t>
            </m:r>
          </m:e>
          <m:sup>
            <m:r>
              <m:rPr>
                <m:sty m:val="p"/>
              </m:rPr>
              <m:t>−</m:t>
            </m:r>
            <m:r>
              <m:t>15</m:t>
            </m:r>
          </m:sup>
        </m:sSup>
      </m:oMath>
      <w:r>
        <w:t xml:space="preserve"> </w:t>
      </w:r>
      <w:r>
        <w:t xml:space="preserve">work units gives, independently at every site,</w:t>
      </w:r>
    </w:p>
    <w:p>
      <w:pPr>
        <w:keepLines/>
        <w:widowControl/>
        <w:spacing w:after="120" w:before="80"/>
        <w:jc w:val="center"/>
      </w:pPr>
      <m:oMathPara>
        <m:oMathParaPr>
          <m:jc m:val="center"/>
        </m:oMathParaPr>
        <m:oMath>
          <m:r>
            <m:t>E</m:t>
          </m:r>
          <m:r>
            <m:rPr>
              <m:sty m:val="p"/>
            </m:rPr>
            <m:t>=</m:t>
          </m:r>
          <m:r>
            <m:t>2.412</m:t>
          </m:r>
          <m:r>
            <m:rPr>
              <m:sty m:val="p"/>
            </m:rPr>
            <m:t>×</m:t>
          </m:r>
          <m:sSup>
            <m:e>
              <m:r>
                <m:t>10</m:t>
              </m:r>
            </m:e>
            <m:sup>
              <m:r>
                <m:rPr>
                  <m:sty m:val="p"/>
                </m:rPr>
                <m:t>−</m:t>
              </m:r>
              <m:r>
                <m:t>12</m:t>
              </m:r>
            </m:sup>
          </m:sSup>
          <m:r>
            <m:rPr>
              <m:sty m:val="p"/>
            </m:rPr>
            <m:t>,</m:t>
          </m:r>
          <m:r>
            <m:t>  </m:t>
          </m:r>
          <m:r>
            <m:rPr>
              <m:sty m:val="p"/>
            </m:rPr>
            <m:t>|</m:t>
          </m:r>
          <m:sSub>
            <m:e>
              <m:r>
                <m:t>A</m:t>
              </m:r>
            </m:e>
            <m:sub>
              <m:r>
                <m:t>t</m:t>
              </m:r>
            </m:sub>
          </m:sSub>
          <m:r>
            <m:rPr>
              <m:sty m:val="p"/>
            </m:rPr>
            <m:t>−</m:t>
          </m:r>
          <m:sSub>
            <m:e>
              <m:r>
                <m:t>R</m:t>
              </m:r>
            </m:e>
            <m:sub>
              <m:r>
                <m:t>t</m:t>
              </m:r>
            </m:sub>
          </m:sSub>
          <m:r>
            <m:rPr>
              <m:sty m:val="p"/>
            </m:rPr>
            <m:t>−</m:t>
          </m:r>
          <m:sSub>
            <m:e>
              <m:r>
                <m:t>q</m:t>
              </m:r>
            </m:e>
            <m:sub>
              <m:r>
                <m:t>t</m:t>
              </m:r>
            </m:sub>
          </m:sSub>
          <m:r>
            <m:rPr>
              <m:sty m:val="p"/>
            </m:rPr>
            <m:t>|</m:t>
          </m:r>
          <m:r>
            <m:rPr>
              <m:sty m:val="p"/>
            </m:rPr>
            <m:t>≤</m:t>
          </m:r>
          <m:r>
            <m:t>E</m:t>
          </m:r>
          <m:r>
            <m:rPr>
              <m:sty m:val="p"/>
            </m:rPr>
            <m:t>.</m:t>
          </m:r>
          <m:r>
            <m:t>  </m:t>
          </m:r>
          <m:r>
            <m:rPr>
              <m:nor/>
              <m:sty m:val="p"/>
            </m:rPr>
            <m:t>(S27.3)</m:t>
          </m:r>
        </m:oMath>
      </m:oMathPara>
    </w:p>
    <w:p>
      <w:pPr>
        <w:widowControl/>
        <w:spacing w:after="100"/>
      </w:pPr>
      <w:r>
        <w:t xml:space="preserve">Since</w:t>
      </w:r>
      <w:r>
        <w:t xml:space="preserve"> </w:t>
      </w:r>
      <m:oMath>
        <m:sSub>
          <m:e>
            <m:r>
              <m:t>q</m:t>
            </m:r>
          </m:e>
          <m:sub>
            <m:r>
              <m:t>t</m:t>
            </m:r>
          </m:sub>
        </m:sSub>
        <m:r>
          <m:rPr>
            <m:sty m:val="p"/>
          </m:rPr>
          <m:t>≥</m:t>
        </m:r>
        <m:r>
          <m:t>0</m:t>
        </m:r>
      </m:oMath>
      <w:r>
        <w:t xml:space="preserve">, and</w:t>
      </w:r>
      <w:r>
        <w:t xml:space="preserve"> </w:t>
      </w:r>
      <m:oMath>
        <m:sSub>
          <m:e>
            <m:r>
              <m:t>q</m:t>
            </m:r>
          </m:e>
          <m:sub>
            <m:r>
              <m:t>e</m:t>
            </m:r>
            <m:d>
              <m:dPr>
                <m:begChr m:val="("/>
                <m:endChr m:val=")"/>
                <m:sepChr m:val=""/>
                <m:grow/>
              </m:dPr>
              <m:e>
                <m:r>
                  <m:t>t</m:t>
                </m:r>
              </m:e>
            </m:d>
          </m:sub>
        </m:sSub>
        <m:r>
          <m:rPr>
            <m:sty m:val="p"/>
          </m:rPr>
          <m:t>=</m:t>
        </m:r>
        <m:r>
          <m:t>0</m:t>
        </m:r>
      </m:oMath>
      <w:r>
        <w:t xml:space="preserve"> </w:t>
      </w:r>
      <w:r>
        <w:t xml:space="preserve">while admissions are nondecreasing, the exact original admissions satisfy</w:t>
      </w:r>
    </w:p>
    <w:p>
      <w:pPr>
        <w:keepLines/>
        <w:widowControl/>
        <w:spacing w:after="120" w:before="80"/>
        <w:jc w:val="center"/>
      </w:pPr>
      <m:oMathPara>
        <m:oMathParaPr>
          <m:jc m:val="center"/>
        </m:oMathParaPr>
        <m:oMath>
          <m:sSubSup>
            <m:e>
              <m:r>
                <m:t>A</m:t>
              </m:r>
            </m:e>
            <m:sub>
              <m:r>
                <m:t>t</m:t>
              </m:r>
            </m:sub>
            <m:sup>
              <m:r>
                <m:rPr>
                  <m:sty m:val="p"/>
                </m:rPr>
                <m:t>−</m:t>
              </m:r>
            </m:sup>
          </m:sSubSup>
          <m:box>
            <m:boxPr>
              <m:opEmu m:val="on"/>
            </m:boxPr>
            <m:e>
              <m:r>
                <m:rPr>
                  <m:sty m:val="p"/>
                </m:rPr>
                <m:t>:=</m:t>
              </m:r>
            </m:e>
          </m:box>
          <m:r>
            <m:rPr>
              <m:sty m:val="p"/>
            </m:rPr>
            <m:t>max</m:t>
          </m:r>
          <m:d>
            <m:dPr>
              <m:begChr m:val="("/>
              <m:endChr m:val=")"/>
              <m:sepChr m:val=""/>
              <m:grow/>
            </m:dPr>
            <m:e>
              <m:r>
                <m:t>0</m:t>
              </m:r>
              <m:r>
                <m:rPr>
                  <m:sty m:val="p"/>
                </m:rPr>
                <m:t>,</m:t>
              </m:r>
              <m:sSub>
                <m:e>
                  <m:r>
                    <m:t>R</m:t>
                  </m:r>
                </m:e>
                <m:sub>
                  <m:r>
                    <m:t>t</m:t>
                  </m:r>
                </m:sub>
              </m:sSub>
              <m:r>
                <m:rPr>
                  <m:sty m:val="p"/>
                </m:rPr>
                <m:t>−</m:t>
              </m:r>
              <m:r>
                <m:t>E</m:t>
              </m:r>
            </m:e>
          </m:d>
          <m:r>
            <m:rPr>
              <m:sty m:val="p"/>
            </m:rPr>
            <m:t>≤</m:t>
          </m:r>
          <m:sSub>
            <m:e>
              <m:r>
                <m:t>A</m:t>
              </m:r>
            </m:e>
            <m:sub>
              <m:r>
                <m:t>t</m:t>
              </m:r>
            </m:sub>
          </m:sSub>
          <m:r>
            <m:rPr>
              <m:sty m:val="p"/>
            </m:rPr>
            <m:t>≤</m:t>
          </m:r>
          <m:sSub>
            <m:e>
              <m:r>
                <m:t>R</m:t>
              </m:r>
            </m:e>
            <m:sub>
              <m:r>
                <m:t>e</m:t>
              </m:r>
              <m:d>
                <m:dPr>
                  <m:begChr m:val="("/>
                  <m:endChr m:val=")"/>
                  <m:sepChr m:val=""/>
                  <m:grow/>
                </m:dPr>
                <m:e>
                  <m:r>
                    <m:t>t</m:t>
                  </m:r>
                </m:e>
              </m:d>
            </m:sub>
          </m:sSub>
          <m:r>
            <m:rPr>
              <m:sty m:val="p"/>
            </m:rPr>
            <m:t>+</m:t>
          </m:r>
          <m:r>
            <m:t>E</m:t>
          </m:r>
          <m:r>
            <m:rPr>
              <m:sty m:val="p"/>
            </m:rPr>
            <m:t>=</m:t>
          </m:r>
          <m:r>
            <m:rPr>
              <m:sty m:val="p"/>
            </m:rPr>
            <m:t>:</m:t>
          </m:r>
          <m:sSubSup>
            <m:e>
              <m:r>
                <m:t>A</m:t>
              </m:r>
            </m:e>
            <m:sub>
              <m:r>
                <m:t>t</m:t>
              </m:r>
            </m:sub>
            <m:sup>
              <m:r>
                <m:rPr>
                  <m:sty m:val="p"/>
                </m:rPr>
                <m:t>+</m:t>
              </m:r>
            </m:sup>
          </m:sSubSup>
          <m:r>
            <m:rPr>
              <m:sty m:val="p"/>
            </m:rPr>
            <m:t>,</m:t>
          </m:r>
          <m:r>
            <m:t>  </m:t>
          </m:r>
          <m:sSubSup>
            <m:e>
              <m:r>
                <m:t>A</m:t>
              </m:r>
            </m:e>
            <m:sub>
              <m:r>
                <m:t>0</m:t>
              </m:r>
            </m:sub>
            <m:sup>
              <m:r>
                <m:rPr>
                  <m:sty m:val="p"/>
                </m:rPr>
                <m:t>−</m:t>
              </m:r>
            </m:sup>
          </m:sSubSup>
          <m:r>
            <m:rPr>
              <m:sty m:val="p"/>
            </m:rPr>
            <m:t>=</m:t>
          </m:r>
          <m:sSubSup>
            <m:e>
              <m:r>
                <m:t>A</m:t>
              </m:r>
            </m:e>
            <m:sub>
              <m:r>
                <m:t>0</m:t>
              </m:r>
            </m:sub>
            <m:sup>
              <m:r>
                <m:rPr>
                  <m:sty m:val="p"/>
                </m:rPr>
                <m:t>+</m:t>
              </m:r>
            </m:sup>
          </m:sSubSup>
          <m:r>
            <m:rPr>
              <m:sty m:val="p"/>
            </m:rPr>
            <m:t>=</m:t>
          </m:r>
          <m:r>
            <m:t>0</m:t>
          </m:r>
          <m:r>
            <m:rPr>
              <m:sty m:val="p"/>
            </m:rPr>
            <m:t>.</m:t>
          </m:r>
          <m:r>
            <m:t>  </m:t>
          </m:r>
          <m:r>
            <m:rPr>
              <m:nor/>
              <m:sty m:val="p"/>
            </m:rPr>
            <m:t>(S27.4)</m:t>
          </m:r>
        </m:oMath>
      </m:oMathPara>
    </w:p>
    <w:p>
      <w:pPr>
        <w:widowControl/>
        <w:spacing w:after="100"/>
      </w:pPr>
      <w:r>
        <w:t xml:space="preserve">This is a source-derived outward envelope. Its error is independent of the printed residuals associated with the missing old hindsight witness.</w:t>
      </w:r>
    </w:p>
    <w:bookmarkEnd w:id="21"/>
    <w:bookmarkStart w:id="22" w:name="X3d1d950c39c5f7d42f06bae407a194163db077c"/>
    <w:p>
      <w:pPr>
        <w:pStyle w:val="Heading2"/>
        <w:keepNext/>
        <w:widowControl/>
        <w:spacing w:after="100"/>
      </w:pPr>
      <w:r>
        <w:rPr>
          <w:color w:val="000000"/>
        </w:rPr>
        <w:t xml:space="preserve">Two independently assembled annual outer formulations</w:t>
      </w:r>
    </w:p>
    <w:p>
      <w:pPr>
        <w:widowControl/>
        <w:spacing w:after="100"/>
      </w:pPr>
      <w:r>
        <w:t xml:space="preserve">For</w:t>
      </w:r>
      <w:r>
        <w:t xml:space="preserve"> </w:t>
      </w:r>
      <m:oMath>
        <m:r>
          <m:t>D</m:t>
        </m:r>
        <m:r>
          <m:rPr>
            <m:sty m:val="p"/>
          </m:rPr>
          <m:t>=</m:t>
        </m:r>
        <m:r>
          <m:t>4</m:t>
        </m:r>
        <m:r>
          <m:t>W</m:t>
        </m:r>
      </m:oMath>
      <w:r>
        <w:t xml:space="preserve"> </w:t>
      </w:r>
      <w:r>
        <w:t xml:space="preserve">eligible slots, every original feasible cumulative service path</w:t>
      </w:r>
      <w:r>
        <w:t xml:space="preserve"> </w:t>
      </w:r>
      <m:oMath>
        <m:sSub>
          <m:e>
            <m:r>
              <m:t>X</m:t>
            </m:r>
          </m:e>
          <m:sub>
            <m:r>
              <m:t>t</m:t>
            </m:r>
          </m:sub>
        </m:sSub>
      </m:oMath>
      <w:r>
        <w:t xml:space="preserve"> </w:t>
      </w:r>
      <w:r>
        <w:t xml:space="preserve">satisfies</w:t>
      </w:r>
    </w:p>
    <w:p>
      <w:pPr>
        <w:keepLines/>
        <w:widowControl/>
        <w:spacing w:after="120" w:before="80"/>
        <w:jc w:val="center"/>
      </w:pPr>
      <m:oMathPara>
        <m:oMathParaPr>
          <m:jc m:val="center"/>
        </m:oMathParaPr>
        <m:oMath>
          <m:m>
            <m:mPr>
              <m:baseJc m:val="center"/>
              <m:plcHide m:val="on"/>
              <m:mcs>
                <m:mc>
                  <m:mcPr>
                    <m:mcJc m:val="right"/>
                    <m:count m:val="1"/>
                  </m:mcPr>
                </m:mc>
                <m:mc>
                  <m:mcPr>
                    <m:mcJc m:val="left"/>
                    <m:count m:val="1"/>
                  </m:mcPr>
                </m:mc>
              </m:mcs>
            </m:mPr>
            <m:mr>
              <m:e>
                <m:sSub>
                  <m:e>
                    <m:r>
                      <m:t>L</m:t>
                    </m:r>
                  </m:e>
                  <m:sub>
                    <m:r>
                      <m:t>t</m:t>
                    </m:r>
                  </m:sub>
                </m:sSub>
                <m:box>
                  <m:boxPr>
                    <m:opEmu m:val="on"/>
                  </m:boxPr>
                  <m:e>
                    <m:r>
                      <m:rPr>
                        <m:sty m:val="p"/>
                      </m:rPr>
                      <m:t>:=</m:t>
                    </m:r>
                  </m:e>
                </m:box>
                <m:sSubSup>
                  <m:e>
                    <m:r>
                      <m:t>A</m:t>
                    </m:r>
                  </m:e>
                  <m:sub>
                    <m:r>
                      <m:rPr>
                        <m:sty m:val="p"/>
                      </m:rPr>
                      <m:t>max</m:t>
                    </m:r>
                    <m:d>
                      <m:dPr>
                        <m:begChr m:val="("/>
                        <m:endChr m:val=")"/>
                        <m:sepChr m:val=""/>
                        <m:grow/>
                      </m:dPr>
                      <m:e>
                        <m:r>
                          <m:t>0</m:t>
                        </m:r>
                        <m:r>
                          <m:rPr>
                            <m:sty m:val="p"/>
                          </m:rPr>
                          <m:t>,</m:t>
                        </m:r>
                        <m:r>
                          <m:t>t</m:t>
                        </m:r>
                        <m:r>
                          <m:rPr>
                            <m:sty m:val="p"/>
                          </m:rPr>
                          <m:t>−</m:t>
                        </m:r>
                        <m:r>
                          <m:t>D</m:t>
                        </m:r>
                        <m:r>
                          <m:rPr>
                            <m:sty m:val="p"/>
                          </m:rPr>
                          <m:t>+</m:t>
                        </m:r>
                        <m:r>
                          <m:t>1</m:t>
                        </m:r>
                      </m:e>
                    </m:d>
                  </m:sub>
                  <m:sup>
                    <m:r>
                      <m:rPr>
                        <m:sty m:val="p"/>
                      </m:rPr>
                      <m:t>−</m:t>
                    </m:r>
                  </m:sup>
                </m:sSubSup>
              </m:e>
              <m:e>
                <m:r>
                  <m:rPr>
                    <m:sty m:val="p"/>
                  </m:rPr>
                  <m:t>≤</m:t>
                </m:r>
                <m:sSub>
                  <m:e>
                    <m:r>
                      <m:t>X</m:t>
                    </m:r>
                  </m:e>
                  <m:sub>
                    <m:r>
                      <m:t>t</m:t>
                    </m:r>
                  </m:sub>
                </m:sSub>
                <m:r>
                  <m:rPr>
                    <m:sty m:val="p"/>
                  </m:rPr>
                  <m:t>≤</m:t>
                </m:r>
                <m:sSubSup>
                  <m:e>
                    <m:r>
                      <m:t>A</m:t>
                    </m:r>
                  </m:e>
                  <m:sub>
                    <m:r>
                      <m:t>t</m:t>
                    </m:r>
                  </m:sub>
                  <m:sup>
                    <m:r>
                      <m:rPr>
                        <m:sty m:val="p"/>
                      </m:rPr>
                      <m:t>+</m:t>
                    </m:r>
                  </m:sup>
                </m:sSubSup>
                <m:r>
                  <m:rPr>
                    <m:sty m:val="p"/>
                  </m:rPr>
                  <m:t>=</m:t>
                </m:r>
                <m:r>
                  <m:rPr>
                    <m:sty m:val="p"/>
                  </m:rPr>
                  <m:t>:</m:t>
                </m:r>
                <m:sSub>
                  <m:e>
                    <m:r>
                      <m:t>U</m:t>
                    </m:r>
                  </m:e>
                  <m:sub>
                    <m:r>
                      <m:t>t</m:t>
                    </m:r>
                  </m:sub>
                </m:sSub>
                <m:r>
                  <m:rPr>
                    <m:sty m:val="p"/>
                  </m:rPr>
                  <m:t>,</m:t>
                </m:r>
              </m:e>
            </m:mr>
            <m:mr>
              <m:e>
                <m:sSub>
                  <m:e>
                    <m:r>
                      <m:t>X</m:t>
                    </m:r>
                  </m:e>
                  <m:sub>
                    <m:r>
                      <m:t>t</m:t>
                    </m:r>
                  </m:sub>
                </m:sSub>
                <m:r>
                  <m:rPr>
                    <m:sty m:val="p"/>
                  </m:rPr>
                  <m:t>−</m:t>
                </m:r>
                <m:sSub>
                  <m:e>
                    <m:r>
                      <m:t>X</m:t>
                    </m:r>
                  </m:e>
                  <m:sub>
                    <m:r>
                      <m:t>t</m:t>
                    </m:r>
                    <m:r>
                      <m:rPr>
                        <m:sty m:val="p"/>
                      </m:rPr>
                      <m:t>−</m:t>
                    </m:r>
                    <m:r>
                      <m:t>1</m:t>
                    </m:r>
                  </m:sub>
                </m:sSub>
              </m:e>
              <m:e>
                <m:r>
                  <m:rPr>
                    <m:sty m:val="p"/>
                  </m:rPr>
                  <m:t>=</m:t>
                </m:r>
                <m:sSub>
                  <m:e>
                    <m:r>
                      <m:t>x</m:t>
                    </m:r>
                  </m:e>
                  <m:sub>
                    <m:r>
                      <m:t>t</m:t>
                    </m:r>
                  </m:sub>
                </m:sSub>
                <m:r>
                  <m:rPr>
                    <m:sty m:val="p"/>
                  </m:rPr>
                  <m:t>,</m:t>
                </m:r>
                <m:r>
                  <m:t>  </m:t>
                </m:r>
                <m:r>
                  <m:t>0</m:t>
                </m:r>
                <m:r>
                  <m:rPr>
                    <m:sty m:val="p"/>
                  </m:rPr>
                  <m:t>≤</m:t>
                </m:r>
                <m:sSub>
                  <m:e>
                    <m:r>
                      <m:t>x</m:t>
                    </m:r>
                  </m:e>
                  <m:sub>
                    <m:r>
                      <m:t>t</m:t>
                    </m:r>
                  </m:sub>
                </m:sSub>
                <m:r>
                  <m:rPr>
                    <m:sty m:val="p"/>
                  </m:rPr>
                  <m:t>≤</m:t>
                </m:r>
                <m:sSub>
                  <m:e>
                    <m:r>
                      <m:t>c</m:t>
                    </m:r>
                  </m:e>
                  <m:sub>
                    <m:r>
                      <m:t>t</m:t>
                    </m:r>
                  </m:sub>
                </m:sSub>
                <m:r>
                  <m:rPr>
                    <m:sty m:val="p"/>
                  </m:rPr>
                  <m:t>.</m:t>
                </m:r>
              </m:e>
            </m:mr>
          </m:m>
          <m:r>
            <m:t>  </m:t>
          </m:r>
          <m:r>
            <m:rPr>
              <m:nor/>
              <m:sty m:val="p"/>
            </m:rPr>
            <m:t>(S27.5)</m:t>
          </m:r>
        </m:oMath>
      </m:oMathPara>
    </w:p>
    <w:p>
      <w:pPr>
        <w:widowControl/>
        <w:spacing w:after="100"/>
      </w:pPr>
      <w:r>
        <w:t xml:space="preserve">The original physical calculation gives</w:t>
      </w:r>
      <w:r>
        <w:t xml:space="preserve"> </w:t>
      </w:r>
      <m:oMath>
        <m:sSub>
          <m:e>
            <m:r>
              <m:t>c</m:t>
            </m:r>
          </m:e>
          <m:sub>
            <m:r>
              <m:t>t</m:t>
            </m:r>
          </m:sub>
        </m:sSub>
        <m:r>
          <m:rPr>
            <m:sty m:val="p"/>
          </m:rPr>
          <m:t>=</m:t>
        </m:r>
        <m:r>
          <m:t>1</m:t>
        </m:r>
      </m:oMath>
      <w:r>
        <w:t xml:space="preserve"> </w:t>
      </w:r>
      <w:r>
        <w:t xml:space="preserve">exactly throughout these public nominal inputs; this is checked against every static import limit, including idle load. Enlarging admission prefixes to Eq. (S27.5) can only enlarge the feasible execution set. The outer programmes do not impose</w:t>
      </w:r>
      <w:r>
        <w:t xml:space="preserve"> </w:t>
      </w:r>
      <m:oMath>
        <m:sSub>
          <m:e>
            <m:r>
              <m:t>X</m:t>
            </m:r>
          </m:e>
          <m:sub>
            <m:r>
              <m:t>N</m:t>
            </m:r>
          </m:sub>
        </m:sSub>
        <m:r>
          <m:rPr>
            <m:sty m:val="p"/>
          </m:rPr>
          <m:t>=</m:t>
        </m:r>
        <m:sSub>
          <m:e>
            <m:r>
              <m:t>A</m:t>
            </m:r>
          </m:e>
          <m:sub>
            <m:r>
              <m:t>N</m:t>
            </m:r>
          </m:sub>
        </m:sSub>
      </m:oMath>
      <w:r>
        <w:t xml:space="preserve"> </w:t>
      </w:r>
      <w:r>
        <w:t xml:space="preserve">or invent a feasible tail. They allow closing work. The source’s fixed-reference MTM terminal term is</w:t>
      </w:r>
      <w:r>
        <w:t xml:space="preserve"> </w:t>
      </w:r>
      <m:oMath>
        <m:sSub>
          <m:e>
            <m:r>
              <m:t>τ</m:t>
            </m:r>
          </m:e>
          <m:sub>
            <m:r>
              <m:t>z</m:t>
            </m:r>
          </m:sub>
        </m:sSub>
        <m:d>
          <m:dPr>
            <m:begChr m:val="("/>
            <m:endChr m:val=")"/>
            <m:sepChr m:val=""/>
            <m:grow/>
          </m:dPr>
          <m:e>
            <m:sSub>
              <m:e>
                <m:r>
                  <m:t>R</m:t>
                </m:r>
              </m:e>
              <m:sub>
                <m:r>
                  <m:t>z</m:t>
                </m:r>
                <m:r>
                  <m:t>N</m:t>
                </m:r>
              </m:sub>
            </m:sSub>
            <m:r>
              <m:rPr>
                <m:sty m:val="p"/>
              </m:rPr>
              <m:t>−</m:t>
            </m:r>
            <m:sSub>
              <m:e>
                <m:r>
                  <m:t>X</m:t>
                </m:r>
              </m:e>
              <m:sub>
                <m:r>
                  <m:t>z</m:t>
                </m:r>
                <m:r>
                  <m:t>N</m:t>
                </m:r>
              </m:sub>
            </m:sSub>
          </m:e>
        </m:d>
      </m:oMath>
      <w:r>
        <w:t xml:space="preserve">, which differs from true unfinished-work liability</w:t>
      </w:r>
      <w:r>
        <w:t xml:space="preserve"> </w:t>
      </w:r>
      <m:oMath>
        <m:sSub>
          <m:e>
            <m:r>
              <m:t>τ</m:t>
            </m:r>
          </m:e>
          <m:sub>
            <m:r>
              <m:t>z</m:t>
            </m:r>
          </m:sub>
        </m:sSub>
        <m:d>
          <m:dPr>
            <m:begChr m:val="("/>
            <m:endChr m:val=")"/>
            <m:sepChr m:val=""/>
            <m:grow/>
          </m:dPr>
          <m:e>
            <m:sSub>
              <m:e>
                <m:r>
                  <m:t>A</m:t>
                </m:r>
              </m:e>
              <m:sub>
                <m:r>
                  <m:t>z</m:t>
                </m:r>
                <m:r>
                  <m:t>N</m:t>
                </m:r>
              </m:sub>
            </m:sSub>
            <m:r>
              <m:rPr>
                <m:sty m:val="p"/>
              </m:rPr>
              <m:t>−</m:t>
            </m:r>
            <m:sSub>
              <m:e>
                <m:r>
                  <m:t>X</m:t>
                </m:r>
              </m:e>
              <m:sub>
                <m:r>
                  <m:t>z</m:t>
                </m:r>
                <m:r>
                  <m:t>N</m:t>
                </m:r>
              </m:sub>
            </m:sSub>
          </m:e>
        </m:d>
      </m:oMath>
      <w:r>
        <w:t xml:space="preserve"> </w:t>
      </w:r>
      <w:r>
        <w:t xml:space="preserve">by the small fixed offset</w:t>
      </w:r>
      <w:r>
        <w:t xml:space="preserve"> </w:t>
      </w:r>
      <m:oMath>
        <m:sSub>
          <m:e>
            <m:r>
              <m:t>τ</m:t>
            </m:r>
          </m:e>
          <m:sub>
            <m:r>
              <m:t>z</m:t>
            </m:r>
          </m:sub>
        </m:sSub>
        <m:d>
          <m:dPr>
            <m:begChr m:val="("/>
            <m:endChr m:val=")"/>
            <m:sepChr m:val=""/>
            <m:grow/>
          </m:dPr>
          <m:e>
            <m:sSub>
              <m:e>
                <m:r>
                  <m:t>R</m:t>
                </m:r>
              </m:e>
              <m:sub>
                <m:r>
                  <m:t>z</m:t>
                </m:r>
                <m:r>
                  <m:t>N</m:t>
                </m:r>
              </m:sub>
            </m:sSub>
            <m:r>
              <m:rPr>
                <m:sty m:val="p"/>
              </m:rPr>
              <m:t>−</m:t>
            </m:r>
            <m:sSub>
              <m:e>
                <m:r>
                  <m:t>A</m:t>
                </m:r>
              </m:e>
              <m:sub>
                <m:r>
                  <m:t>z</m:t>
                </m:r>
                <m:r>
                  <m:t>N</m:t>
                </m:r>
              </m:sub>
            </m:sSub>
          </m:e>
        </m:d>
      </m:oMath>
      <w:r>
        <w:t xml:space="preserve">. The terminal audit proves</w:t>
      </w:r>
      <w:r>
        <w:t xml:space="preserve"> </w:t>
      </w:r>
      <m:oMath>
        <m:r>
          <m:t>0</m:t>
        </m:r>
        <m:r>
          <m:rPr>
            <m:sty m:val="p"/>
          </m:rPr>
          <m:t>&lt;</m:t>
        </m:r>
        <m:sSub>
          <m:e>
            <m:r>
              <m:t>τ</m:t>
            </m:r>
          </m:e>
          <m:sub>
            <m:r>
              <m:t>z</m:t>
            </m:r>
          </m:sub>
        </m:sSub>
        <m:r>
          <m:rPr>
            <m:sty m:val="p"/>
          </m:rPr>
          <m:t>&lt;</m:t>
        </m:r>
        <m:r>
          <m:t>21</m:t>
        </m:r>
      </m:oMath>
      <w:r>
        <w:t xml:space="preserve"> </w:t>
      </w:r>
      <w:r>
        <w:t xml:space="preserve">dollars per work unit. Since every original feasible schedule has</w:t>
      </w:r>
      <w:r>
        <w:t xml:space="preserve"> </w:t>
      </w:r>
      <m:oMath>
        <m:sSub>
          <m:e>
            <m:r>
              <m:t>X</m:t>
            </m:r>
          </m:e>
          <m:sub>
            <m:r>
              <m:t>z</m:t>
            </m:r>
            <m:r>
              <m:t>N</m:t>
            </m:r>
          </m:sub>
        </m:sSub>
        <m:r>
          <m:rPr>
            <m:sty m:val="p"/>
          </m:rPr>
          <m:t>≤</m:t>
        </m:r>
        <m:sSub>
          <m:e>
            <m:r>
              <m:t>A</m:t>
            </m:r>
          </m:e>
          <m:sub>
            <m:r>
              <m:t>z</m:t>
            </m:r>
            <m:r>
              <m:t>N</m:t>
            </m:r>
          </m:sub>
        </m:sSub>
      </m:oMath>
      <w:r>
        <w:t xml:space="preserve">, the source term is bounded below by</w:t>
      </w:r>
      <w:r>
        <w:t xml:space="preserve"> </w:t>
      </w:r>
      <m:oMath>
        <m:r>
          <m:rPr>
            <m:sty m:val="p"/>
          </m:rPr>
          <m:t>−</m:t>
        </m:r>
        <m:r>
          <m:t>21</m:t>
        </m:r>
        <m:r>
          <m:t>E</m:t>
        </m:r>
      </m:oMath>
      <w:r>
        <w:t xml:space="preserve">. We therefore subtract</w:t>
      </w:r>
      <w:r>
        <w:t xml:space="preserve"> </w:t>
      </w:r>
      <m:oMath>
        <m:sSub>
          <m:e>
            <m:r>
              <m:t>δ</m:t>
            </m:r>
          </m:e>
          <m:sub>
            <m:r>
              <m:t>T</m:t>
            </m:r>
          </m:sub>
        </m:sSub>
        <m:r>
          <m:rPr>
            <m:sty m:val="p"/>
          </m:rPr>
          <m:t>=</m:t>
        </m:r>
        <m:nary>
          <m:naryPr>
            <m:chr m:val="∑"/>
            <m:limLoc m:val="undOvr"/>
            <m:subHide m:val="off"/>
            <m:supHide m:val="on"/>
          </m:naryPr>
          <m:sub>
            <m:r>
              <m:t>z</m:t>
            </m:r>
          </m:sub>
          <m:sup>
            <m:r>
              <m:t>​</m:t>
            </m:r>
          </m:sup>
          <m:e>
            <m:r>
              <m:t>21</m:t>
            </m:r>
          </m:e>
        </m:nary>
        <m:r>
          <m:t>E</m:t>
        </m:r>
        <m:r>
          <m:rPr>
            <m:sty m:val="p"/>
          </m:rPr>
          <m:t>=</m:t>
        </m:r>
        <m:r>
          <m:t>2.02608</m:t>
        </m:r>
        <m:r>
          <m:rPr>
            <m:sty m:val="p"/>
          </m:rPr>
          <m:t>×</m:t>
        </m:r>
        <m:sSup>
          <m:e>
            <m:r>
              <m:t>10</m:t>
            </m:r>
          </m:e>
          <m:sup>
            <m:r>
              <m:rPr>
                <m:sty m:val="p"/>
              </m:rPr>
              <m:t>−</m:t>
            </m:r>
            <m:r>
              <m:t>10</m:t>
            </m:r>
          </m:sup>
        </m:sSup>
      </m:oMath>
      <w:r>
        <w:t xml:space="preserve"> </w:t>
      </w:r>
      <w:r>
        <w:t xml:space="preserve">dollars from each aggregated slot-cost floor; the signed offset is not silently omitted. The common fixed DA charge</w:t>
      </w:r>
      <w:r>
        <w:t xml:space="preserve"> </w:t>
      </w:r>
      <m:oMath>
        <m:r>
          <m:t>K</m:t>
        </m:r>
        <m:r>
          <m:rPr>
            <m:sty m:val="p"/>
          </m:rPr>
          <m:t>=</m:t>
        </m:r>
        <m:r>
          <m:t>2409.7842143056</m:t>
        </m:r>
      </m:oMath>
      <w:r>
        <w:t xml:space="preserve"> </w:t>
      </w:r>
      <w:r>
        <w:t xml:space="preserve">dollars is added once after summing site cost bounds and once to the matched reference cost.</w:t>
      </w:r>
    </w:p>
    <w:p>
      <w:pPr>
        <w:widowControl/>
        <w:spacing w:after="100"/>
      </w:pPr>
      <w:r>
        <w:t xml:space="preserve">The first programme uses incremental service segments and cumulative states. The floating LP is used only to propose equality multipliers. With</w:t>
      </w:r>
      <w:r>
        <w:t xml:space="preserve"> </w:t>
      </w:r>
      <m:oMath>
        <m:sSub>
          <m:e>
            <m:r>
              <m:t>λ</m:t>
            </m:r>
          </m:e>
          <m:sub>
            <m:r>
              <m:t>N</m:t>
            </m:r>
            <m:r>
              <m:rPr>
                <m:sty m:val="p"/>
              </m:rPr>
              <m:t>+</m:t>
            </m:r>
            <m:r>
              <m:t>1</m:t>
            </m:r>
          </m:sub>
        </m:sSub>
        <m:r>
          <m:rPr>
            <m:sty m:val="p"/>
          </m:rPr>
          <m:t>=</m:t>
        </m:r>
        <m:r>
          <m:t>0</m:t>
        </m:r>
      </m:oMath>
      <w:r>
        <w:t xml:space="preserve">, exact original-cost minimisation and finite-box weak duality give</w:t>
      </w:r>
    </w:p>
    <w:p>
      <w:pPr>
        <w:keepLines/>
        <w:widowControl/>
        <w:spacing w:after="120" w:before="80"/>
        <w:jc w:val="center"/>
      </w:pPr>
      <m:oMathPara>
        <m:oMathParaPr>
          <m:jc m:val="center"/>
        </m:oMathParaPr>
        <m:oMath>
          <m:m>
            <m:mPr>
              <m:baseJc m:val="center"/>
              <m:plcHide m:val="on"/>
              <m:mcs>
                <m:mc>
                  <m:mcPr>
                    <m:mcJc m:val="right"/>
                    <m:count m:val="1"/>
                  </m:mcPr>
                </m:mc>
                <m:mc>
                  <m:mcPr>
                    <m:mcJc m:val="left"/>
                    <m:count m:val="1"/>
                  </m:mcPr>
                </m:mc>
              </m:mcs>
            </m:mPr>
            <m:mr>
              <m:e>
                <m:sSubSup>
                  <m:e>
                    <m:r>
                      <m:t>L</m:t>
                    </m:r>
                  </m:e>
                  <m:sub>
                    <m:r>
                      <m:t>W</m:t>
                    </m:r>
                  </m:sub>
                  <m:sup>
                    <m:d>
                      <m:dPr>
                        <m:begChr m:val="("/>
                        <m:endChr m:val=")"/>
                        <m:sepChr m:val=""/>
                        <m:grow/>
                      </m:dPr>
                      <m:e>
                        <m:r>
                          <m:t>1</m:t>
                        </m:r>
                      </m:e>
                    </m:d>
                  </m:sup>
                </m:sSubSup>
              </m:e>
              <m:e>
                <m:r>
                  <m:rPr>
                    <m:sty m:val="p"/>
                  </m:rPr>
                  <m:t>=</m:t>
                </m:r>
                <m:r>
                  <m:t>K</m:t>
                </m:r>
                <m:r>
                  <m:rPr>
                    <m:sty m:val="p"/>
                  </m:rPr>
                  <m:t>−</m:t>
                </m:r>
                <m:sSub>
                  <m:e>
                    <m:r>
                      <m:t>δ</m:t>
                    </m:r>
                  </m:e>
                  <m:sub>
                    <m:r>
                      <m:t>T</m:t>
                    </m:r>
                  </m:sub>
                </m:sSub>
                <m:r>
                  <m:rPr>
                    <m:sty m:val="p"/>
                  </m:rPr>
                  <m:t>+</m:t>
                </m:r>
                <m:nary>
                  <m:naryPr>
                    <m:chr m:val="∑"/>
                    <m:limLoc m:val="undOvr"/>
                    <m:subHide m:val="off"/>
                    <m:supHide m:val="on"/>
                  </m:naryPr>
                  <m:sub>
                    <m:r>
                      <m:t>z</m:t>
                    </m:r>
                    <m:r>
                      <m:rPr>
                        <m:sty m:val="p"/>
                      </m:rPr>
                      <m:t>,</m:t>
                    </m:r>
                    <m:r>
                      <m:t>t</m:t>
                    </m:r>
                  </m:sub>
                  <m:sup>
                    <m:r>
                      <m:t>​</m:t>
                    </m:r>
                  </m:sup>
                  <m:e>
                    <m:d>
                      <m:dPr>
                        <m:begChr m:val="("/>
                        <m:endChr m:val=")"/>
                        <m:sepChr m:val=""/>
                        <m:grow/>
                      </m:dPr>
                      <m:e>
                        <m:sSub>
                          <m:e>
                            <m:r>
                              <m:t>ϕ</m:t>
                            </m:r>
                          </m:e>
                          <m:sub>
                            <m:r>
                              <m:t>z</m:t>
                            </m:r>
                            <m:r>
                              <m:t>t</m:t>
                            </m:r>
                          </m:sub>
                        </m:sSub>
                        <m:r>
                          <m:rPr>
                            <m:sty m:val="p"/>
                          </m:rPr>
                          <m:t>+</m:t>
                        </m:r>
                        <m:sSub>
                          <m:e>
                            <m:r>
                              <m:t>ψ</m:t>
                            </m:r>
                          </m:e>
                          <m:sub>
                            <m:r>
                              <m:t>z</m:t>
                            </m:r>
                            <m:r>
                              <m:t>t</m:t>
                            </m:r>
                          </m:sub>
                        </m:sSub>
                      </m:e>
                    </m:d>
                  </m:e>
                </m:nary>
                <m:r>
                  <m:rPr>
                    <m:sty m:val="p"/>
                  </m:rPr>
                  <m:t>,</m:t>
                </m:r>
              </m:e>
            </m:mr>
            <m:mr>
              <m:e>
                <m:sSub>
                  <m:e>
                    <m:r>
                      <m:t>ϕ</m:t>
                    </m:r>
                  </m:e>
                  <m:sub>
                    <m:r>
                      <m:t>z</m:t>
                    </m:r>
                    <m:r>
                      <m:t>t</m:t>
                    </m:r>
                  </m:sub>
                </m:sSub>
              </m:e>
              <m:e>
                <m:r>
                  <m:rPr>
                    <m:sty m:val="p"/>
                  </m:rPr>
                  <m:t>=</m:t>
                </m:r>
                <m:limLow>
                  <m:e>
                    <m:r>
                      <m:rPr>
                        <m:sty m:val="p"/>
                      </m:rPr>
                      <m:t>min</m:t>
                    </m:r>
                  </m:e>
                  <m:lim>
                    <m:r>
                      <m:t>0</m:t>
                    </m:r>
                    <m:r>
                      <m:rPr>
                        <m:sty m:val="p"/>
                      </m:rPr>
                      <m:t>≤</m:t>
                    </m:r>
                    <m:r>
                      <m:t>x</m:t>
                    </m:r>
                    <m:r>
                      <m:rPr>
                        <m:sty m:val="p"/>
                      </m:rPr>
                      <m:t>≤</m:t>
                    </m:r>
                    <m:sSub>
                      <m:e>
                        <m:r>
                          <m:t>c</m:t>
                        </m:r>
                      </m:e>
                      <m:sub>
                        <m:r>
                          <m:t>z</m:t>
                        </m:r>
                        <m:r>
                          <m:t>t</m:t>
                        </m:r>
                      </m:sub>
                    </m:sSub>
                  </m:lim>
                </m:limLow>
                <m:d>
                  <m:dPr>
                    <m:begChr m:val="("/>
                    <m:endChr m:val=")"/>
                    <m:sepChr m:val=""/>
                    <m:grow/>
                  </m:dPr>
                  <m:e>
                    <m:sSub>
                      <m:e>
                        <m:r>
                          <m:t>f</m:t>
                        </m:r>
                      </m:e>
                      <m:sub>
                        <m:r>
                          <m:t>z</m:t>
                        </m:r>
                        <m:r>
                          <m:t>t</m:t>
                        </m:r>
                      </m:sub>
                    </m:sSub>
                    <m:d>
                      <m:dPr>
                        <m:begChr m:val="("/>
                        <m:endChr m:val=")"/>
                        <m:sepChr m:val=""/>
                        <m:grow/>
                      </m:dPr>
                      <m:e>
                        <m:r>
                          <m:t>x</m:t>
                        </m:r>
                      </m:e>
                    </m:d>
                    <m:r>
                      <m:rPr>
                        <m:sty m:val="p"/>
                      </m:rPr>
                      <m:t>−</m:t>
                    </m:r>
                    <m:sSub>
                      <m:e>
                        <m:r>
                          <m:t>λ</m:t>
                        </m:r>
                      </m:e>
                      <m:sub>
                        <m:r>
                          <m:t>z</m:t>
                        </m:r>
                        <m:r>
                          <m:t>t</m:t>
                        </m:r>
                      </m:sub>
                    </m:sSub>
                    <m:r>
                      <m:t>x</m:t>
                    </m:r>
                  </m:e>
                </m:d>
                <m:r>
                  <m:rPr>
                    <m:sty m:val="p"/>
                  </m:rPr>
                  <m:t>,</m:t>
                </m:r>
              </m:e>
            </m:mr>
            <m:mr>
              <m:e>
                <m:sSub>
                  <m:e>
                    <m:r>
                      <m:t>ψ</m:t>
                    </m:r>
                  </m:e>
                  <m:sub>
                    <m:r>
                      <m:t>z</m:t>
                    </m:r>
                    <m:r>
                      <m:t>t</m:t>
                    </m:r>
                  </m:sub>
                </m:sSub>
              </m:e>
              <m:e>
                <m:r>
                  <m:rPr>
                    <m:sty m:val="p"/>
                  </m:rPr>
                  <m:t>=</m:t>
                </m:r>
                <m:r>
                  <m:rPr>
                    <m:sty m:val="p"/>
                  </m:rPr>
                  <m:t>min</m:t>
                </m:r>
                <m:d>
                  <m:dPr>
                    <m:begChr m:val="("/>
                    <m:endChr m:val=")"/>
                    <m:sepChr m:val=""/>
                    <m:grow/>
                  </m:dPr>
                  <m:e>
                    <m:d>
                      <m:dPr>
                        <m:begChr m:val="("/>
                        <m:endChr m:val=")"/>
                        <m:sepChr m:val=""/>
                        <m:grow/>
                      </m:dPr>
                      <m:e>
                        <m:sSub>
                          <m:e>
                            <m:r>
                              <m:t>λ</m:t>
                            </m:r>
                          </m:e>
                          <m:sub>
                            <m:r>
                              <m:t>z</m:t>
                            </m:r>
                            <m:r>
                              <m:t>t</m:t>
                            </m:r>
                          </m:sub>
                        </m:sSub>
                        <m:r>
                          <m:rPr>
                            <m:sty m:val="p"/>
                          </m:rPr>
                          <m:t>−</m:t>
                        </m:r>
                        <m:sSub>
                          <m:e>
                            <m:r>
                              <m:t>λ</m:t>
                            </m:r>
                          </m:e>
                          <m:sub>
                            <m:r>
                              <m:t>z</m:t>
                            </m:r>
                            <m:r>
                              <m:rPr>
                                <m:sty m:val="p"/>
                              </m:rPr>
                              <m:t>,</m:t>
                            </m:r>
                            <m:r>
                              <m:t>t</m:t>
                            </m:r>
                            <m:r>
                              <m:rPr>
                                <m:sty m:val="p"/>
                              </m:rPr>
                              <m:t>+</m:t>
                            </m:r>
                            <m:r>
                              <m:t>1</m:t>
                            </m:r>
                          </m:sub>
                        </m:sSub>
                      </m:e>
                    </m:d>
                    <m:sSub>
                      <m:e>
                        <m:r>
                          <m:t>L</m:t>
                        </m:r>
                      </m:e>
                      <m:sub>
                        <m:r>
                          <m:t>z</m:t>
                        </m:r>
                        <m:r>
                          <m:t>t</m:t>
                        </m:r>
                      </m:sub>
                    </m:sSub>
                    <m:r>
                      <m:rPr>
                        <m:sty m:val="p"/>
                      </m:rPr>
                      <m:t>,</m:t>
                    </m:r>
                    <m:d>
                      <m:dPr>
                        <m:begChr m:val="("/>
                        <m:endChr m:val=")"/>
                        <m:sepChr m:val=""/>
                        <m:grow/>
                      </m:dPr>
                      <m:e>
                        <m:sSub>
                          <m:e>
                            <m:r>
                              <m:t>λ</m:t>
                            </m:r>
                          </m:e>
                          <m:sub>
                            <m:r>
                              <m:t>z</m:t>
                            </m:r>
                            <m:r>
                              <m:t>t</m:t>
                            </m:r>
                          </m:sub>
                        </m:sSub>
                        <m:r>
                          <m:rPr>
                            <m:sty m:val="p"/>
                          </m:rPr>
                          <m:t>−</m:t>
                        </m:r>
                        <m:sSub>
                          <m:e>
                            <m:r>
                              <m:t>λ</m:t>
                            </m:r>
                          </m:e>
                          <m:sub>
                            <m:r>
                              <m:t>z</m:t>
                            </m:r>
                            <m:r>
                              <m:rPr>
                                <m:sty m:val="p"/>
                              </m:rPr>
                              <m:t>,</m:t>
                            </m:r>
                            <m:r>
                              <m:t>t</m:t>
                            </m:r>
                            <m:r>
                              <m:rPr>
                                <m:sty m:val="p"/>
                              </m:rPr>
                              <m:t>+</m:t>
                            </m:r>
                            <m:r>
                              <m:t>1</m:t>
                            </m:r>
                          </m:sub>
                        </m:sSub>
                      </m:e>
                    </m:d>
                    <m:sSub>
                      <m:e>
                        <m:r>
                          <m:t>U</m:t>
                        </m:r>
                      </m:e>
                      <m:sub>
                        <m:r>
                          <m:t>z</m:t>
                        </m:r>
                        <m:r>
                          <m:t>t</m:t>
                        </m:r>
                      </m:sub>
                    </m:sSub>
                  </m:e>
                </m:d>
                <m:r>
                  <m:rPr>
                    <m:sty m:val="p"/>
                  </m:rPr>
                  <m:t>.</m:t>
                </m:r>
              </m:e>
            </m:mr>
          </m:m>
          <m:r>
            <m:t>  </m:t>
          </m:r>
          <m:r>
            <m:rPr>
              <m:nor/>
              <m:sty m:val="p"/>
            </m:rPr>
            <m:t>(S27.6)</m:t>
          </m:r>
        </m:oMath>
      </m:oMathPara>
    </w:p>
    <w:p>
      <w:pPr>
        <w:widowControl/>
        <w:spacing w:after="100"/>
      </w:pPr>
      <w:r>
        <w:t xml:space="preserve">To verify the sign, subtract</w:t>
      </w:r>
      <w:r>
        <w:t xml:space="preserve"> </w:t>
      </w:r>
      <m:oMath>
        <m:sSub>
          <m:e>
            <m:r>
              <m:t>λ</m:t>
            </m:r>
          </m:e>
          <m:sub>
            <m:r>
              <m:t>t</m:t>
            </m:r>
          </m:sub>
        </m:sSub>
        <m:d>
          <m:dPr>
            <m:begChr m:val="("/>
            <m:endChr m:val=")"/>
            <m:sepChr m:val=""/>
            <m:grow/>
          </m:dPr>
          <m:e>
            <m:sSub>
              <m:e>
                <m:r>
                  <m:t>x</m:t>
                </m:r>
              </m:e>
              <m:sub>
                <m:r>
                  <m:t>t</m:t>
                </m:r>
              </m:sub>
            </m:sSub>
            <m:r>
              <m:rPr>
                <m:sty m:val="p"/>
              </m:rPr>
              <m:t>+</m:t>
            </m:r>
            <m:sSub>
              <m:e>
                <m:r>
                  <m:t>X</m:t>
                </m:r>
              </m:e>
              <m:sub>
                <m:r>
                  <m:t>t</m:t>
                </m:r>
                <m:r>
                  <m:rPr>
                    <m:sty m:val="p"/>
                  </m:rPr>
                  <m:t>−</m:t>
                </m:r>
                <m:r>
                  <m:t>1</m:t>
                </m:r>
              </m:sub>
            </m:sSub>
            <m:r>
              <m:rPr>
                <m:sty m:val="p"/>
              </m:rPr>
              <m:t>−</m:t>
            </m:r>
            <m:sSub>
              <m:e>
                <m:r>
                  <m:t>X</m:t>
                </m:r>
              </m:e>
              <m:sub>
                <m:r>
                  <m:t>t</m:t>
                </m:r>
              </m:sub>
            </m:sSub>
          </m:e>
        </m:d>
      </m:oMath>
      <w:r>
        <w:t xml:space="preserve"> </w:t>
      </w:r>
      <w:r>
        <w:t xml:space="preserve">from the objective. The service coefficient becomes</w:t>
      </w:r>
      <w:r>
        <w:t xml:space="preserve"> </w:t>
      </w:r>
      <m:oMath>
        <m:sSub>
          <m:e>
            <m:r>
              <m:t>f</m:t>
            </m:r>
          </m:e>
          <m:sub>
            <m:r>
              <m:t>t</m:t>
            </m:r>
          </m:sub>
        </m:sSub>
        <m:d>
          <m:dPr>
            <m:begChr m:val="("/>
            <m:endChr m:val=")"/>
            <m:sepChr m:val=""/>
            <m:grow/>
          </m:dPr>
          <m:e>
            <m:sSub>
              <m:e>
                <m:r>
                  <m:t>x</m:t>
                </m:r>
              </m:e>
              <m:sub>
                <m:r>
                  <m:t>t</m:t>
                </m:r>
              </m:sub>
            </m:sSub>
          </m:e>
        </m:d>
        <m:r>
          <m:rPr>
            <m:sty m:val="p"/>
          </m:rPr>
          <m:t>−</m:t>
        </m:r>
        <m:sSub>
          <m:e>
            <m:r>
              <m:t>λ</m:t>
            </m:r>
          </m:e>
          <m:sub>
            <m:r>
              <m:t>t</m:t>
            </m:r>
          </m:sub>
        </m:sSub>
        <m:sSub>
          <m:e>
            <m:r>
              <m:t>x</m:t>
            </m:r>
          </m:e>
          <m:sub>
            <m:r>
              <m:t>t</m:t>
            </m:r>
          </m:sub>
        </m:sSub>
      </m:oMath>
      <w:r>
        <w:t xml:space="preserve"> </w:t>
      </w:r>
      <w:r>
        <w:t xml:space="preserve">and the cumulative-state coefficient becomes</w:t>
      </w:r>
      <w:r>
        <w:t xml:space="preserve"> </w:t>
      </w:r>
      <m:oMath>
        <m:sSub>
          <m:e>
            <m:r>
              <m:t>λ</m:t>
            </m:r>
          </m:e>
          <m:sub>
            <m:r>
              <m:t>t</m:t>
            </m:r>
          </m:sub>
        </m:sSub>
        <m:r>
          <m:rPr>
            <m:sty m:val="p"/>
          </m:rPr>
          <m:t>−</m:t>
        </m:r>
        <m:sSub>
          <m:e>
            <m:r>
              <m:t>λ</m:t>
            </m:r>
          </m:e>
          <m:sub>
            <m:r>
              <m:t>t</m:t>
            </m:r>
            <m:r>
              <m:rPr>
                <m:sty m:val="p"/>
              </m:rPr>
              <m:t>+</m:t>
            </m:r>
            <m:r>
              <m:t>1</m:t>
            </m:r>
          </m:sub>
        </m:sSub>
      </m:oMath>
      <w:r>
        <w:t xml:space="preserve">. These multiplier terms cancel on every feasible equality. Minimising each remaining term over its original finite box proves the bound for any multiplier values. Every service minimum is evaluated at both physical endpoints, the zero-import breakpoint and the reference-import breakpoint. This proves global minima of the original continuous piecewise-linear cost, including negative-price intervals, without trusting a floating convex hull.</w:t>
      </w:r>
    </w:p>
    <w:p>
      <w:pPr>
        <w:widowControl/>
        <w:spacing w:after="100"/>
      </w:pPr>
      <w:r>
        <w:t xml:space="preserve">The second programme independently assembles variables</w:t>
      </w:r>
      <w:r>
        <w:t xml:space="preserve"> </w:t>
      </w:r>
      <m:oMath>
        <m:d>
          <m:dPr>
            <m:begChr m:val="("/>
            <m:endChr m:val=")"/>
            <m:sepChr m:val=""/>
            <m:grow/>
          </m:dPr>
          <m:e>
            <m:sSub>
              <m:e>
                <m:r>
                  <m:t>x</m:t>
                </m:r>
              </m:e>
              <m:sub>
                <m:r>
                  <m:t>t</m:t>
                </m:r>
              </m:sub>
            </m:sSub>
            <m:r>
              <m:rPr>
                <m:sty m:val="p"/>
              </m:rPr>
              <m:t>,</m:t>
            </m:r>
            <m:sSub>
              <m:e>
                <m:r>
                  <m:t>X</m:t>
                </m:r>
              </m:e>
              <m:sub>
                <m:r>
                  <m:t>t</m:t>
                </m:r>
              </m:sub>
            </m:sSub>
            <m:r>
              <m:rPr>
                <m:sty m:val="p"/>
              </m:rPr>
              <m:t>,</m:t>
            </m:r>
            <m:sSub>
              <m:e>
                <m:r>
                  <m:t>η</m:t>
                </m:r>
              </m:e>
              <m:sub>
                <m:r>
                  <m:t>t</m:t>
                </m:r>
              </m:sub>
            </m:sSub>
          </m:e>
        </m:d>
      </m:oMath>
      <w:r>
        <w:t xml:space="preserve">, the cumulative balance rows and all exact lower-envelope facets</w:t>
      </w:r>
      <w:r>
        <w:t xml:space="preserve"> </w:t>
      </w:r>
      <m:oMath>
        <m:sSub>
          <m:e>
            <m:r>
              <m:t>α</m:t>
            </m:r>
          </m:e>
          <m:sub>
            <m:r>
              <m:t>t</m:t>
            </m:r>
            <m:r>
              <m:t>j</m:t>
            </m:r>
          </m:sub>
        </m:sSub>
        <m:sSub>
          <m:e>
            <m:r>
              <m:t>x</m:t>
            </m:r>
          </m:e>
          <m:sub>
            <m:r>
              <m:t>t</m:t>
            </m:r>
          </m:sub>
        </m:sSub>
        <m:r>
          <m:rPr>
            <m:sty m:val="p"/>
          </m:rPr>
          <m:t>−</m:t>
        </m:r>
        <m:sSub>
          <m:e>
            <m:r>
              <m:t>η</m:t>
            </m:r>
          </m:e>
          <m:sub>
            <m:r>
              <m:t>t</m:t>
            </m:r>
          </m:sub>
        </m:sSub>
        <m:r>
          <m:rPr>
            <m:sty m:val="p"/>
          </m:rPr>
          <m:t>≤</m:t>
        </m:r>
        <m:r>
          <m:rPr>
            <m:sty m:val="p"/>
          </m:rPr>
          <m:t>−</m:t>
        </m:r>
        <m:sSub>
          <m:e>
            <m:r>
              <m:t>β</m:t>
            </m:r>
          </m:e>
          <m:sub>
            <m:r>
              <m:t>t</m:t>
            </m:r>
            <m:r>
              <m:t>j</m:t>
            </m:r>
          </m:sub>
        </m:sSub>
      </m:oMath>
      <w:r>
        <w:t xml:space="preserve">. The finite epigraph box is the minimum and maximum of the original cost over its complete breakpoint set. Consequently every original execution embeds as</w:t>
      </w:r>
      <w:r>
        <w:t xml:space="preserve"> </w:t>
      </w:r>
      <m:oMath>
        <m:sSub>
          <m:e>
            <m:r>
              <m:t>η</m:t>
            </m:r>
          </m:e>
          <m:sub>
            <m:r>
              <m:t>t</m:t>
            </m:r>
          </m:sub>
        </m:sSub>
        <m:r>
          <m:rPr>
            <m:sty m:val="p"/>
          </m:rPr>
          <m:t>=</m:t>
        </m:r>
        <m:sSub>
          <m:e>
            <m:r>
              <m:t>f</m:t>
            </m:r>
          </m:e>
          <m:sub>
            <m:r>
              <m:t>t</m:t>
            </m:r>
          </m:sub>
        </m:sSub>
        <m:d>
          <m:dPr>
            <m:begChr m:val="("/>
            <m:endChr m:val=")"/>
            <m:sepChr m:val=""/>
            <m:grow/>
          </m:dPr>
          <m:e>
            <m:sSub>
              <m:e>
                <m:r>
                  <m:t>x</m:t>
                </m:r>
              </m:e>
              <m:sub>
                <m:r>
                  <m:t>t</m:t>
                </m:r>
              </m:sub>
            </m:sSub>
          </m:e>
        </m:d>
      </m:oMath>
      <w:r>
        <w:t xml:space="preserve">. Every facet is checked beneath the original cost at every original breakpoint and endpoint. Affinity between consecutive original breakpoints establishes dominance throughout the interval.</w:t>
      </w:r>
    </w:p>
    <w:p>
      <w:pPr>
        <w:widowControl/>
        <w:spacing w:after="100"/>
      </w:pPr>
      <w:r>
        <w:t xml:space="preserve">For inequality multipliers</w:t>
      </w:r>
      <w:r>
        <w:t xml:space="preserve"> </w:t>
      </w:r>
      <m:oMath>
        <m:sSub>
          <m:e>
            <m:r>
              <m:t>μ</m:t>
            </m:r>
          </m:e>
          <m:sub>
            <m:r>
              <m:t>t</m:t>
            </m:r>
            <m:r>
              <m:t>j</m:t>
            </m:r>
          </m:sub>
        </m:sSub>
        <m:r>
          <m:rPr>
            <m:sty m:val="p"/>
          </m:rPr>
          <m:t>≥</m:t>
        </m:r>
        <m:r>
          <m:t>0</m:t>
        </m:r>
      </m:oMath>
      <w:r>
        <w:t xml:space="preserve">, the exact finite-box residuals and constant are</w:t>
      </w:r>
    </w:p>
    <w:p>
      <w:pPr>
        <w:keepLines/>
        <w:widowControl/>
        <w:spacing w:after="120" w:before="80"/>
        <w:jc w:val="center"/>
      </w:pPr>
      <m:oMathPara>
        <m:oMathParaPr>
          <m:jc m:val="center"/>
        </m:oMathParaPr>
        <m:oMath>
          <m:m>
            <m:mPr>
              <m:baseJc m:val="center"/>
              <m:plcHide m:val="on"/>
              <m:mcs>
                <m:mc>
                  <m:mcPr>
                    <m:mcJc m:val="right"/>
                    <m:count m:val="1"/>
                  </m:mcPr>
                </m:mc>
                <m:mc>
                  <m:mcPr>
                    <m:mcJc m:val="left"/>
                    <m:count m:val="1"/>
                  </m:mcPr>
                </m:mc>
              </m:mcs>
            </m:mPr>
            <m:mr>
              <m:e>
                <m:sSubSup>
                  <m:e>
                    <m:r>
                      <m:t>r</m:t>
                    </m:r>
                  </m:e>
                  <m:sub>
                    <m:r>
                      <m:t>t</m:t>
                    </m:r>
                  </m:sub>
                  <m:sup>
                    <m:r>
                      <m:t>x</m:t>
                    </m:r>
                  </m:sup>
                </m:sSubSup>
              </m:e>
              <m:e>
                <m:r>
                  <m:rPr>
                    <m:sty m:val="p"/>
                  </m:rPr>
                  <m:t>=</m:t>
                </m:r>
                <m:r>
                  <m:rPr>
                    <m:sty m:val="p"/>
                  </m:rPr>
                  <m:t>−</m:t>
                </m:r>
                <m:sSub>
                  <m:e>
                    <m:r>
                      <m:t>λ</m:t>
                    </m:r>
                  </m:e>
                  <m:sub>
                    <m:r>
                      <m:t>t</m:t>
                    </m:r>
                  </m:sub>
                </m:sSub>
                <m:r>
                  <m:rPr>
                    <m:sty m:val="p"/>
                  </m:rPr>
                  <m:t>+</m:t>
                </m:r>
                <m:nary>
                  <m:naryPr>
                    <m:chr m:val="∑"/>
                    <m:limLoc m:val="undOvr"/>
                    <m:subHide m:val="off"/>
                    <m:supHide m:val="on"/>
                  </m:naryPr>
                  <m:sub>
                    <m:r>
                      <m:t>j</m:t>
                    </m:r>
                  </m:sub>
                  <m:sup>
                    <m:r>
                      <m:t>​</m:t>
                    </m:r>
                  </m:sup>
                  <m:e>
                    <m:sSub>
                      <m:e>
                        <m:r>
                          <m:t>μ</m:t>
                        </m:r>
                      </m:e>
                      <m:sub>
                        <m:r>
                          <m:t>t</m:t>
                        </m:r>
                        <m:r>
                          <m:t>j</m:t>
                        </m:r>
                      </m:sub>
                    </m:sSub>
                  </m:e>
                </m:nary>
                <m:sSub>
                  <m:e>
                    <m:r>
                      <m:t>α</m:t>
                    </m:r>
                  </m:e>
                  <m:sub>
                    <m:r>
                      <m:t>t</m:t>
                    </m:r>
                    <m:r>
                      <m:t>j</m:t>
                    </m:r>
                  </m:sub>
                </m:sSub>
                <m:r>
                  <m:rPr>
                    <m:sty m:val="p"/>
                  </m:rPr>
                  <m:t>,</m:t>
                </m:r>
                <m:r>
                  <m:t>  </m:t>
                </m:r>
                <m:sSubSup>
                  <m:e>
                    <m:r>
                      <m:t>r</m:t>
                    </m:r>
                  </m:e>
                  <m:sub>
                    <m:r>
                      <m:t>t</m:t>
                    </m:r>
                  </m:sub>
                  <m:sup>
                    <m:r>
                      <m:t>X</m:t>
                    </m:r>
                  </m:sup>
                </m:sSubSup>
                <m:r>
                  <m:rPr>
                    <m:sty m:val="p"/>
                  </m:rPr>
                  <m:t>=</m:t>
                </m:r>
                <m:sSub>
                  <m:e>
                    <m:r>
                      <m:t>λ</m:t>
                    </m:r>
                  </m:e>
                  <m:sub>
                    <m:r>
                      <m:t>t</m:t>
                    </m:r>
                  </m:sub>
                </m:sSub>
                <m:r>
                  <m:rPr>
                    <m:sty m:val="p"/>
                  </m:rPr>
                  <m:t>−</m:t>
                </m:r>
                <m:sSub>
                  <m:e>
                    <m:r>
                      <m:t>λ</m:t>
                    </m:r>
                  </m:e>
                  <m:sub>
                    <m:r>
                      <m:t>t</m:t>
                    </m:r>
                    <m:r>
                      <m:rPr>
                        <m:sty m:val="p"/>
                      </m:rPr>
                      <m:t>+</m:t>
                    </m:r>
                    <m:r>
                      <m:t>1</m:t>
                    </m:r>
                  </m:sub>
                </m:sSub>
                <m:r>
                  <m:rPr>
                    <m:sty m:val="p"/>
                  </m:rPr>
                  <m:t>,</m:t>
                </m:r>
              </m:e>
            </m:mr>
            <m:mr>
              <m:e>
                <m:sSubSup>
                  <m:e>
                    <m:r>
                      <m:t>r</m:t>
                    </m:r>
                  </m:e>
                  <m:sub>
                    <m:r>
                      <m:t>t</m:t>
                    </m:r>
                  </m:sub>
                  <m:sup>
                    <m:r>
                      <m:t>η</m:t>
                    </m:r>
                  </m:sup>
                </m:sSubSup>
              </m:e>
              <m:e>
                <m:r>
                  <m:rPr>
                    <m:sty m:val="p"/>
                  </m:rPr>
                  <m:t>=</m:t>
                </m:r>
                <m:r>
                  <m:t>1</m:t>
                </m:r>
                <m:r>
                  <m:rPr>
                    <m:sty m:val="p"/>
                  </m:rPr>
                  <m:t>−</m:t>
                </m:r>
                <m:nary>
                  <m:naryPr>
                    <m:chr m:val="∑"/>
                    <m:limLoc m:val="undOvr"/>
                    <m:subHide m:val="off"/>
                    <m:supHide m:val="on"/>
                  </m:naryPr>
                  <m:sub>
                    <m:r>
                      <m:t>j</m:t>
                    </m:r>
                  </m:sub>
                  <m:sup>
                    <m:r>
                      <m:t>​</m:t>
                    </m:r>
                  </m:sup>
                  <m:e>
                    <m:sSub>
                      <m:e>
                        <m:r>
                          <m:t>μ</m:t>
                        </m:r>
                      </m:e>
                      <m:sub>
                        <m:r>
                          <m:t>t</m:t>
                        </m:r>
                        <m:r>
                          <m:t>j</m:t>
                        </m:r>
                      </m:sub>
                    </m:sSub>
                  </m:e>
                </m:nary>
                <m:r>
                  <m:rPr>
                    <m:sty m:val="p"/>
                  </m:rPr>
                  <m:t>,</m:t>
                </m:r>
                <m:r>
                  <m:t>  </m:t>
                </m:r>
                <m:sSub>
                  <m:e>
                    <m:r>
                      <m:t>k</m:t>
                    </m:r>
                  </m:e>
                  <m:sub>
                    <m:r>
                      <m:t>t</m:t>
                    </m:r>
                  </m:sub>
                </m:sSub>
                <m:r>
                  <m:rPr>
                    <m:sty m:val="p"/>
                  </m:rPr>
                  <m:t>=</m:t>
                </m:r>
                <m:nary>
                  <m:naryPr>
                    <m:chr m:val="∑"/>
                    <m:limLoc m:val="undOvr"/>
                    <m:subHide m:val="off"/>
                    <m:supHide m:val="on"/>
                  </m:naryPr>
                  <m:sub>
                    <m:r>
                      <m:t>j</m:t>
                    </m:r>
                  </m:sub>
                  <m:sup>
                    <m:r>
                      <m:t>​</m:t>
                    </m:r>
                  </m:sup>
                  <m:e>
                    <m:sSub>
                      <m:e>
                        <m:r>
                          <m:t>μ</m:t>
                        </m:r>
                      </m:e>
                      <m:sub>
                        <m:r>
                          <m:t>t</m:t>
                        </m:r>
                        <m:r>
                          <m:t>j</m:t>
                        </m:r>
                      </m:sub>
                    </m:sSub>
                  </m:e>
                </m:nary>
                <m:sSub>
                  <m:e>
                    <m:r>
                      <m:t>β</m:t>
                    </m:r>
                  </m:e>
                  <m:sub>
                    <m:r>
                      <m:t>t</m:t>
                    </m:r>
                    <m:r>
                      <m:t>j</m:t>
                    </m:r>
                  </m:sub>
                </m:sSub>
                <m:r>
                  <m:rPr>
                    <m:sty m:val="p"/>
                  </m:rPr>
                  <m:t>.</m:t>
                </m:r>
              </m:e>
            </m:mr>
          </m:m>
          <m:r>
            <m:t>  </m:t>
          </m:r>
          <m:r>
            <m:rPr>
              <m:nor/>
              <m:sty m:val="p"/>
            </m:rPr>
            <m:t>(S27.7)</m:t>
          </m:r>
        </m:oMath>
      </m:oMathPara>
    </w:p>
    <w:p>
      <w:pPr>
        <w:widowControl/>
        <w:spacing w:after="100"/>
      </w:pPr>
      <w:r>
        <w:t xml:space="preserve">The cost floor sums</w:t>
      </w:r>
      <w:r>
        <w:t xml:space="preserve"> </w:t>
      </w:r>
      <m:oMath>
        <m:sSub>
          <m:e>
            <m:r>
              <m:t>k</m:t>
            </m:r>
          </m:e>
          <m:sub>
            <m:r>
              <m:t>t</m:t>
            </m:r>
          </m:sub>
        </m:sSub>
      </m:oMath>
      <w:r>
        <w:t xml:space="preserve"> </w:t>
      </w:r>
      <w:r>
        <w:t xml:space="preserve">and the minimum of each residual times both corresponding finite endpoints, adds</w:t>
      </w:r>
      <w:r>
        <w:t xml:space="preserve"> </w:t>
      </w:r>
      <m:oMath>
        <m:r>
          <m:t>K</m:t>
        </m:r>
      </m:oMath>
      <w:r>
        <w:t xml:space="preserve"> </w:t>
      </w:r>
      <w:r>
        <w:t xml:space="preserve">once and subtracts the same</w:t>
      </w:r>
      <w:r>
        <w:t xml:space="preserve"> </w:t>
      </w:r>
      <m:oMath>
        <m:sSub>
          <m:e>
            <m:r>
              <m:t>δ</m:t>
            </m:r>
          </m:e>
          <m:sub>
            <m:r>
              <m:t>T</m:t>
            </m:r>
          </m:sub>
        </m:sSub>
      </m:oMath>
      <w:r>
        <w:t xml:space="preserve">. This is Eq. (S21.5) applied to the independently assembled epigraph model with the proved terminal-cost allowance. HiGHS’ nonpositive sensitivity for a minimisation problem’s upper inequality row is negated to obtain this</w:t>
      </w:r>
      <w:r>
        <w:t xml:space="preserve"> </w:t>
      </w:r>
      <m:oMath>
        <m:r>
          <m:t>μ</m:t>
        </m:r>
      </m:oMath>
      <w:r>
        <w:t xml:space="preserve"> </w:t>
      </w:r>
      <w:r>
        <w:t xml:space="preserve">convention. Any negative</w:t>
      </w:r>
      <w:r>
        <w:t xml:space="preserve"> </w:t>
      </w:r>
      <m:oMath>
        <m:r>
          <m:t>μ</m:t>
        </m:r>
      </m:oMath>
      <w:r>
        <w:t xml:space="preserve"> </w:t>
      </w:r>
      <w:r>
        <w:t xml:space="preserve">is clipped to zero and the entire expression is recomputed. No clipping was needed in the retained annual records. All 2,095,170 retained facet–breakpoint comparisons pass exactly. Nonzero stationarity or primal residuals remain diagnostics; the full finite-box arithmetic supplies the rigorous bound.</w:t>
      </w:r>
    </w:p>
    <w:p>
      <w:pPr>
        <w:widowControl/>
        <w:spacing w:after="100"/>
      </w:pPr>
      <w:r>
        <w:t xml:space="preserve">These two programmes represent the same complete convex outer relaxation. Their independent matrices and exact verifiers check implementation agreement. They are not presented as two different economic mechanisms or two unrelated mathematical relaxations.</w:t>
      </w:r>
    </w:p>
    <w:p>
      <w:pPr>
        <w:widowControl/>
        <w:spacing w:after="100"/>
      </w:pPr>
      <w:r>
        <w:t xml:space="preserve">Each stored input and multiplier is interpreted as an exact binary rational. Complete scalar lower-bound terms are rounded downward at</w:t>
      </w:r>
      <w:r>
        <w:t xml:space="preserve"> </w:t>
      </w:r>
      <m:oMath>
        <m:sSup>
          <m:e>
            <m:r>
              <m:t>10</m:t>
            </m:r>
          </m:e>
          <m:sup>
            <m:r>
              <m:rPr>
                <m:sty m:val="p"/>
              </m:rPr>
              <m:t>−</m:t>
            </m:r>
            <m:r>
              <m:t>12</m:t>
            </m:r>
          </m:sup>
        </m:sSup>
      </m:oMath>
      <w:r>
        <w:t xml:space="preserve"> </w:t>
      </w:r>
      <w:r>
        <w:t xml:space="preserve">dollars before integer accumulation. The first method uses two terms per interval, giving a loss below</w:t>
      </w:r>
      <w:r>
        <w:t xml:space="preserve"> </w:t>
      </w:r>
      <m:oMath>
        <m:r>
          <m:t>2</m:t>
        </m:r>
        <m:r>
          <m:t>N</m:t>
        </m:r>
        <m:r>
          <m:rPr>
            <m:sty m:val="p"/>
          </m:rPr>
          <m:t>×</m:t>
        </m:r>
        <m:sSup>
          <m:e>
            <m:r>
              <m:t>10</m:t>
            </m:r>
          </m:e>
          <m:sup>
            <m:r>
              <m:rPr>
                <m:sty m:val="p"/>
              </m:rPr>
              <m:t>−</m:t>
            </m:r>
            <m:r>
              <m:t>12</m:t>
            </m:r>
          </m:sup>
        </m:sSup>
      </m:oMath>
      <w:r>
        <w:t xml:space="preserve"> </w:t>
      </w:r>
      <w:r>
        <w:t xml:space="preserve">dollars per site; the second uses four terms per interval, giving a loss below</w:t>
      </w:r>
      <w:r>
        <w:t xml:space="preserve"> </w:t>
      </w:r>
      <m:oMath>
        <m:r>
          <m:t>4</m:t>
        </m:r>
        <m:r>
          <m:t>N</m:t>
        </m:r>
        <m:r>
          <m:rPr>
            <m:sty m:val="p"/>
          </m:rPr>
          <m:t>×</m:t>
        </m:r>
        <m:sSup>
          <m:e>
            <m:r>
              <m:t>10</m:t>
            </m:r>
          </m:e>
          <m:sup>
            <m:r>
              <m:rPr>
                <m:sty m:val="p"/>
              </m:rPr>
              <m:t>−</m:t>
            </m:r>
            <m:r>
              <m:t>12</m:t>
            </m:r>
          </m:sup>
        </m:sSup>
      </m:oMath>
      <w:r>
        <w:t xml:space="preserve">. The reference expense is enclosed from below and above using the same complete-term rule. Thus all monetary differences use the correct opposing enclosure directions.</w:t>
      </w:r>
    </w:p>
    <w:bookmarkEnd w:id="22"/>
    <w:bookmarkStart w:id="23" w:name="X9c3e29a30e331d8667f39c1b0ca6b6bcf50e87c"/>
    <w:p>
      <w:pPr>
        <w:pStyle w:val="Heading2"/>
        <w:keepNext/>
        <w:widowControl/>
        <w:spacing w:after="100"/>
      </w:pPr>
      <w:r>
        <w:rPr>
          <w:color w:val="000000"/>
        </w:rPr>
        <w:t xml:space="preserve">A constructive feasible-value guarantee without recovering the unknown arrivals</w:t>
      </w:r>
    </w:p>
    <w:p>
      <w:pPr>
        <w:widowControl/>
        <w:spacing w:after="100"/>
      </w:pPr>
      <w:r>
        <w:t xml:space="preserve">For 24-hour rights, construct an exact surrogate schedule in the stricter corridor</w:t>
      </w:r>
    </w:p>
    <w:p>
      <w:pPr>
        <w:keepLines/>
        <w:widowControl/>
        <w:spacing w:after="120" w:before="80"/>
        <w:jc w:val="center"/>
      </w:pPr>
      <m:oMathPara>
        <m:oMathParaPr>
          <m:jc m:val="center"/>
        </m:oMathParaPr>
        <m:oMath>
          <m:sSub>
            <m:e>
              <m:r>
                <m:t>R</m:t>
              </m:r>
            </m:e>
            <m:sub>
              <m:r>
                <m:t>e</m:t>
              </m:r>
              <m:d>
                <m:dPr>
                  <m:begChr m:val="("/>
                  <m:endChr m:val=")"/>
                  <m:sepChr m:val=""/>
                  <m:grow/>
                </m:dPr>
                <m:e>
                  <m:r>
                    <m:rPr>
                      <m:sty m:val="p"/>
                    </m:rPr>
                    <m:t>max</m:t>
                  </m:r>
                  <m:d>
                    <m:dPr>
                      <m:begChr m:val="("/>
                      <m:endChr m:val=")"/>
                      <m:sepChr m:val=""/>
                      <m:grow/>
                    </m:dPr>
                    <m:e>
                      <m:r>
                        <m:t>0</m:t>
                      </m:r>
                      <m:r>
                        <m:rPr>
                          <m:sty m:val="p"/>
                        </m:rPr>
                        <m:t>,</m:t>
                      </m:r>
                      <m:r>
                        <m:t>t</m:t>
                      </m:r>
                      <m:r>
                        <m:rPr>
                          <m:sty m:val="p"/>
                        </m:rPr>
                        <m:t>−</m:t>
                      </m:r>
                      <m:r>
                        <m:t>D</m:t>
                      </m:r>
                      <m:r>
                        <m:rPr>
                          <m:sty m:val="p"/>
                        </m:rPr>
                        <m:t>+</m:t>
                      </m:r>
                      <m:r>
                        <m:t>1</m:t>
                      </m:r>
                    </m:e>
                  </m:d>
                </m:e>
              </m:d>
            </m:sub>
          </m:sSub>
          <m:r>
            <m:rPr>
              <m:sty m:val="p"/>
            </m:rPr>
            <m:t>≤</m:t>
          </m:r>
          <m:sSub>
            <m:e>
              <m:bar>
                <m:barPr>
                  <m:pos m:val="top"/>
                </m:barPr>
                <m:e>
                  <m:r>
                    <m:t>X</m:t>
                  </m:r>
                </m:e>
              </m:bar>
            </m:e>
            <m:sub>
              <m:r>
                <m:t>t</m:t>
              </m:r>
            </m:sub>
          </m:sSub>
          <m:r>
            <m:rPr>
              <m:sty m:val="p"/>
            </m:rPr>
            <m:t>≤</m:t>
          </m:r>
          <m:sSub>
            <m:e>
              <m:r>
                <m:t>R</m:t>
              </m:r>
            </m:e>
            <m:sub>
              <m:r>
                <m:t>t</m:t>
              </m:r>
            </m:sub>
          </m:sSub>
          <m:r>
            <m:rPr>
              <m:sty m:val="p"/>
            </m:rPr>
            <m:t>,</m:t>
          </m:r>
          <m:r>
            <m:t>  </m:t>
          </m:r>
          <m:sSub>
            <m:e>
              <m:bar>
                <m:barPr>
                  <m:pos m:val="top"/>
                </m:barPr>
                <m:e>
                  <m:r>
                    <m:t>X</m:t>
                  </m:r>
                </m:e>
              </m:bar>
            </m:e>
            <m:sub>
              <m:r>
                <m:t>N</m:t>
              </m:r>
            </m:sub>
          </m:sSub>
          <m:r>
            <m:rPr>
              <m:sty m:val="p"/>
            </m:rPr>
            <m:t>=</m:t>
          </m:r>
          <m:sSub>
            <m:e>
              <m:r>
                <m:t>R</m:t>
              </m:r>
            </m:e>
            <m:sub>
              <m:r>
                <m:t>N</m:t>
              </m:r>
            </m:sub>
          </m:sSub>
          <m:r>
            <m:rPr>
              <m:sty m:val="p"/>
            </m:rPr>
            <m:t>,</m:t>
          </m:r>
          <m:r>
            <m:t> </m:t>
          </m:r>
          <m:r>
            <m:t>D</m:t>
          </m:r>
          <m:r>
            <m:rPr>
              <m:sty m:val="p"/>
            </m:rPr>
            <m:t>=</m:t>
          </m:r>
          <m:r>
            <m:t>96</m:t>
          </m:r>
          <m:r>
            <m:rPr>
              <m:sty m:val="p"/>
            </m:rPr>
            <m:t>.</m:t>
          </m:r>
          <m:r>
            <m:t>  </m:t>
          </m:r>
          <m:r>
            <m:rPr>
              <m:nor/>
              <m:sty m:val="p"/>
            </m:rPr>
            <m:t>(S27.8)</m:t>
          </m:r>
        </m:oMath>
      </m:oMathPara>
    </w:p>
    <w:p>
      <w:pPr>
        <w:widowControl/>
        <w:spacing w:after="100"/>
      </w:pPr>
      <w:r>
        <w:t xml:space="preserve">A separate LP proposes service increments. They are explicitly clipped into their physical boxes and then repaired by the exact propagated-corridor construction of S20. The resulting four complete rational schedules pass all 35,040 service boxes, all corridor prefixes and the closing equality, and are re-settled using the original nonconvex slot costs. The public reference itself establishes nonemptiness of Eq. (S27.8), because its longest busy block clears within 36 slots.</w:t>
      </w:r>
    </w:p>
    <w:p>
      <w:pPr>
        <w:widowControl/>
        <w:spacing w:after="100"/>
      </w:pPr>
      <w:r>
        <w:t xml:space="preserve">For clarity, the exact original admission-dependent corridor is also nonempty. Let</w:t>
      </w:r>
      <w:r>
        <w:t xml:space="preserve"> </w:t>
      </w:r>
      <m:oMath>
        <m:sSub>
          <m:e>
            <m:r>
              <m:t>Q</m:t>
            </m:r>
          </m:e>
          <m:sub>
            <m:r>
              <m:t>t</m:t>
            </m:r>
          </m:sub>
        </m:sSub>
        <m:r>
          <m:rPr>
            <m:sty m:val="p"/>
          </m:rPr>
          <m:t>=</m:t>
        </m:r>
        <m:r>
          <m:rPr>
            <m:sty m:val="p"/>
          </m:rPr>
          <m:t>max</m:t>
        </m:r>
        <m:d>
          <m:dPr>
            <m:begChr m:val="("/>
            <m:endChr m:val=")"/>
            <m:sepChr m:val=""/>
            <m:grow/>
          </m:dPr>
          <m:e>
            <m:sSub>
              <m:e>
                <m:r>
                  <m:t>Q</m:t>
                </m:r>
              </m:e>
              <m:sub>
                <m:r>
                  <m:t>t</m:t>
                </m:r>
                <m:r>
                  <m:rPr>
                    <m:sty m:val="p"/>
                  </m:rPr>
                  <m:t>−</m:t>
                </m:r>
                <m:r>
                  <m:t>1</m:t>
                </m:r>
              </m:sub>
            </m:sSub>
            <m:r>
              <m:rPr>
                <m:sty m:val="p"/>
              </m:rPr>
              <m:t>+</m:t>
            </m:r>
            <m:sSub>
              <m:e>
                <m:r>
                  <m:t>a</m:t>
                </m:r>
              </m:e>
              <m:sub>
                <m:r>
                  <m:t>t</m:t>
                </m:r>
              </m:sub>
            </m:sSub>
            <m:r>
              <m:rPr>
                <m:sty m:val="p"/>
              </m:rPr>
              <m:t>−</m:t>
            </m:r>
            <m:r>
              <m:t>1</m:t>
            </m:r>
            <m:r>
              <m:rPr>
                <m:sty m:val="p"/>
              </m:rPr>
              <m:t>,</m:t>
            </m:r>
            <m:r>
              <m:t>0</m:t>
            </m:r>
          </m:e>
        </m:d>
      </m:oMath>
      <w:r>
        <w:t xml:space="preserve"> </w:t>
      </w:r>
      <w:r>
        <w:t xml:space="preserve">be the exact earliest-service queue on the actual admissions. Its update map is 1-Lipschitz. Comparing it with the floating recurrence and summing Eq. (S27.1) gives</w:t>
      </w:r>
      <w:r>
        <w:t xml:space="preserve"> </w:t>
      </w:r>
      <m:oMath>
        <m:r>
          <m:rPr>
            <m:sty m:val="p"/>
          </m:rPr>
          <m:t>|</m:t>
        </m:r>
        <m:sSub>
          <m:e>
            <m:r>
              <m:t>Q</m:t>
            </m:r>
          </m:e>
          <m:sub>
            <m:r>
              <m:t>t</m:t>
            </m:r>
          </m:sub>
        </m:sSub>
        <m:r>
          <m:rPr>
            <m:sty m:val="p"/>
          </m:rPr>
          <m:t>−</m:t>
        </m:r>
        <m:sSub>
          <m:e>
            <m:r>
              <m:t>q</m:t>
            </m:r>
          </m:e>
          <m:sub>
            <m:r>
              <m:t>t</m:t>
            </m:r>
          </m:sub>
        </m:sSub>
        <m:r>
          <m:rPr>
            <m:sty m:val="p"/>
          </m:rPr>
          <m:t>|</m:t>
        </m:r>
        <m:r>
          <m:rPr>
            <m:sty m:val="p"/>
          </m:rPr>
          <m:t>≤</m:t>
        </m:r>
        <m:r>
          <m:t>E</m:t>
        </m:r>
      </m:oMath>
      <w:r>
        <w:t xml:space="preserve">. At every stored clearing interval</w:t>
      </w:r>
      <w:r>
        <w:t xml:space="preserve"> </w:t>
      </w:r>
      <m:oMath>
        <m:r>
          <m:t>c</m:t>
        </m:r>
      </m:oMath>
      <w:r>
        <w:t xml:space="preserve">, the exact pre-service queue is at most</w:t>
      </w:r>
      <w:r>
        <w:t xml:space="preserve"> </w:t>
      </w:r>
      <m:oMath>
        <m:sSub>
          <m:e>
            <m:r>
              <m:t>b</m:t>
            </m:r>
          </m:e>
          <m:sub>
            <m:r>
              <m:t>c</m:t>
            </m:r>
          </m:sub>
        </m:sSub>
        <m:r>
          <m:rPr>
            <m:sty m:val="p"/>
          </m:rPr>
          <m:t>+</m:t>
        </m:r>
        <m:r>
          <m:t>E</m:t>
        </m:r>
      </m:oMath>
      <w:r>
        <w:t xml:space="preserve">. The smallest recorded clearing-capacity margin is</w:t>
      </w:r>
      <w:r>
        <w:t xml:space="preserve"> </w:t>
      </w:r>
      <m:oMath>
        <m:r>
          <m:t>1</m:t>
        </m:r>
        <m:r>
          <m:rPr>
            <m:sty m:val="p"/>
          </m:rPr>
          <m:t>−</m:t>
        </m:r>
        <m:sSub>
          <m:e>
            <m:r>
              <m:t>b</m:t>
            </m:r>
          </m:e>
          <m:sub>
            <m:r>
              <m:t>c</m:t>
            </m:r>
          </m:sub>
        </m:sSub>
        <m:r>
          <m:rPr>
            <m:sty m:val="p"/>
          </m:rPr>
          <m:t>=</m:t>
        </m:r>
        <m:r>
          <m:t>0.04137009475380182</m:t>
        </m:r>
        <m:r>
          <m:rPr>
            <m:sty m:val="p"/>
          </m:rPr>
          <m:t>…</m:t>
        </m:r>
      </m:oMath>
      <w:r>
        <w:t xml:space="preserve">, strictly exceeding</w:t>
      </w:r>
      <w:r>
        <w:t xml:space="preserve"> </w:t>
      </w:r>
      <m:oMath>
        <m:r>
          <m:t>E</m:t>
        </m:r>
      </m:oMath>
      <w:r>
        <w:t xml:space="preserve">. Hence the exact queue clears at the same interval. Every actual cohort completes within a block of at most 36 intervals, satisfying all displayed 48/64/96-slot contracts. The final source interval is unsaturated, so exact earliest service completes the actual total</w:t>
      </w:r>
      <w:r>
        <w:t xml:space="preserve"> </w:t>
      </w:r>
      <m:oMath>
        <m:sSub>
          <m:e>
            <m:r>
              <m:t>A</m:t>
            </m:r>
          </m:e>
          <m:sub>
            <m:r>
              <m:t>N</m:t>
            </m:r>
          </m:sub>
        </m:sSub>
      </m:oMath>
      <w:r>
        <w:t xml:space="preserve"> </w:t>
      </w:r>
      <w:r>
        <w:t xml:space="preserve">within the year.</w:t>
      </w:r>
    </w:p>
    <w:p>
      <w:pPr>
        <w:widowControl/>
        <w:spacing w:after="100"/>
      </w:pPr>
      <w:r>
        <w:t xml:space="preserve">For any actual admission vector compatible with the source reference, Eq. (S27.4) implies that the surrogate schedule violates each true release/deadline prefix by at most</w:t>
      </w:r>
      <w:r>
        <w:t xml:space="preserve"> </w:t>
      </w:r>
      <m:oMath>
        <m:r>
          <m:t>E</m:t>
        </m:r>
      </m:oMath>
      <w:r>
        <w:t xml:space="preserve">, including its final endpoint. Apply the exact S20 repair to that actual corridor, imposing</w:t>
      </w:r>
      <w:r>
        <w:t xml:space="preserve"> </w:t>
      </w:r>
      <m:oMath>
        <m:sSub>
          <m:e>
            <m:acc>
              <m:accPr>
                <m:chr m:val="̃"/>
              </m:accPr>
              <m:e>
                <m:r>
                  <m:t>X</m:t>
                </m:r>
              </m:e>
            </m:acc>
          </m:e>
          <m:sub>
            <m:r>
              <m:t>N</m:t>
            </m:r>
          </m:sub>
        </m:sSub>
        <m:r>
          <m:rPr>
            <m:sty m:val="p"/>
          </m:rPr>
          <m:t>=</m:t>
        </m:r>
        <m:sSub>
          <m:e>
            <m:r>
              <m:t>A</m:t>
            </m:r>
          </m:e>
          <m:sub>
            <m:r>
              <m:t>N</m:t>
            </m:r>
          </m:sub>
        </m:sSub>
      </m:oMath>
      <w:r>
        <w:t xml:space="preserve">. It constructs a feasible original schedule and proves</w:t>
      </w:r>
    </w:p>
    <w:p>
      <w:pPr>
        <w:keepLines/>
        <w:widowControl/>
        <w:spacing w:after="120" w:before="80"/>
        <w:jc w:val="center"/>
      </w:pPr>
      <m:oMathPara>
        <m:oMathParaPr>
          <m:jc m:val="center"/>
        </m:oMathParaPr>
        <m:oMath>
          <m:nary>
            <m:naryPr>
              <m:chr m:val="∑"/>
              <m:limLoc m:val="undOvr"/>
              <m:subHide m:val="off"/>
              <m:supHide m:val="off"/>
            </m:naryPr>
            <m:sub>
              <m:r>
                <m:t>t</m:t>
              </m:r>
              <m:r>
                <m:rPr>
                  <m:sty m:val="p"/>
                </m:rPr>
                <m:t>=</m:t>
              </m:r>
              <m:r>
                <m:t>1</m:t>
              </m:r>
            </m:sub>
            <m:sup>
              <m:r>
                <m:t>N</m:t>
              </m:r>
            </m:sup>
            <m:e>
              <m:r>
                <m:rPr>
                  <m:sty m:val="p"/>
                </m:rPr>
                <m:t>|</m:t>
              </m:r>
              <m:sSub>
                <m:e>
                  <m:acc>
                    <m:accPr>
                      <m:chr m:val="̃"/>
                    </m:accPr>
                    <m:e>
                      <m:r>
                        <m:t>x</m:t>
                      </m:r>
                    </m:e>
                  </m:acc>
                </m:e>
                <m:sub>
                  <m:r>
                    <m:t>t</m:t>
                  </m:r>
                </m:sub>
              </m:sSub>
              <m:r>
                <m:rPr>
                  <m:sty m:val="p"/>
                </m:rPr>
                <m:t>−</m:t>
              </m:r>
              <m:sSub>
                <m:e>
                  <m:bar>
                    <m:barPr>
                      <m:pos m:val="top"/>
                    </m:barPr>
                    <m:e>
                      <m:r>
                        <m:t>x</m:t>
                      </m:r>
                    </m:e>
                  </m:bar>
                </m:e>
                <m:sub>
                  <m:r>
                    <m:t>t</m:t>
                  </m:r>
                </m:sub>
              </m:sSub>
              <m:r>
                <m:rPr>
                  <m:sty m:val="p"/>
                </m:rPr>
                <m:t>|</m:t>
              </m:r>
            </m:e>
          </m:nary>
          <m:r>
            <m:rPr>
              <m:sty m:val="p"/>
            </m:rPr>
            <m:t>≤</m:t>
          </m:r>
          <m:r>
            <m:t>2</m:t>
          </m:r>
          <m:r>
            <m:t>N</m:t>
          </m:r>
          <m:r>
            <m:t>E</m:t>
          </m:r>
          <m:r>
            <m:rPr>
              <m:sty m:val="p"/>
            </m:rPr>
            <m:t>.</m:t>
          </m:r>
          <m:r>
            <m:t>  </m:t>
          </m:r>
          <m:r>
            <m:rPr>
              <m:nor/>
              <m:sty m:val="p"/>
            </m:rPr>
            <m:t>(S27.9)</m:t>
          </m:r>
        </m:oMath>
      </m:oMathPara>
    </w:p>
    <w:p>
      <w:pPr>
        <w:widowControl/>
        <w:spacing w:after="100"/>
      </w:pPr>
      <w:r>
        <w:t xml:space="preserve">The repaired schedule completes all actual work inside the year, so its true terminal backlog is zero. Its source MTM terminal term is nevertheless</w:t>
      </w:r>
      <w:r>
        <w:t xml:space="preserve"> </w:t>
      </w:r>
      <m:oMath>
        <m:sSub>
          <m:e>
            <m:r>
              <m:t>τ</m:t>
            </m:r>
          </m:e>
          <m:sub>
            <m:r>
              <m:t>z</m:t>
            </m:r>
          </m:sub>
        </m:sSub>
        <m:d>
          <m:dPr>
            <m:begChr m:val="("/>
            <m:endChr m:val=")"/>
            <m:sepChr m:val=""/>
            <m:grow/>
          </m:dPr>
          <m:e>
            <m:sSub>
              <m:e>
                <m:r>
                  <m:t>R</m:t>
                </m:r>
              </m:e>
              <m:sub>
                <m:r>
                  <m:t>z</m:t>
                </m:r>
                <m:r>
                  <m:t>N</m:t>
                </m:r>
              </m:sub>
            </m:sSub>
            <m:r>
              <m:rPr>
                <m:sty m:val="p"/>
              </m:rPr>
              <m:t>−</m:t>
            </m:r>
            <m:sSub>
              <m:e>
                <m:r>
                  <m:t>A</m:t>
                </m:r>
              </m:e>
              <m:sub>
                <m:r>
                  <m:t>z</m:t>
                </m:r>
                <m:r>
                  <m:t>N</m:t>
                </m:r>
              </m:sub>
            </m:sSub>
          </m:e>
        </m:d>
      </m:oMath>
      <w:r>
        <w:t xml:space="preserve">, a possible signed bookkeeping offset bounded in magnitude by</w:t>
      </w:r>
      <w:r>
        <w:t xml:space="preserve"> </w:t>
      </w:r>
      <m:oMath>
        <m:r>
          <m:t>21</m:t>
        </m:r>
        <m:r>
          <m:t>E</m:t>
        </m:r>
      </m:oMath>
      <w:r>
        <w:t xml:space="preserve">. The surrogate schedule ends at</w:t>
      </w:r>
      <w:r>
        <w:t xml:space="preserve"> </w:t>
      </w:r>
      <m:oMath>
        <m:sSub>
          <m:e>
            <m:r>
              <m:t>R</m:t>
            </m:r>
          </m:e>
          <m:sub>
            <m:r>
              <m:t>N</m:t>
            </m:r>
          </m:sub>
        </m:sSub>
      </m:oMath>
      <w:r>
        <w:t xml:space="preserve"> </w:t>
      </w:r>
      <w:r>
        <w:t xml:space="preserve">and has zero source MTM terminal term. For each site, let</w:t>
      </w:r>
      <w:r>
        <w:t xml:space="preserve"> </w:t>
      </w:r>
      <m:oMath>
        <m:sSub>
          <m:e>
            <m:r>
              <m:t>M</m:t>
            </m:r>
          </m:e>
          <m:sub>
            <m:r>
              <m:t>z</m:t>
            </m:r>
          </m:sub>
        </m:sSub>
        <m:r>
          <m:rPr>
            <m:sty m:val="p"/>
          </m:rPr>
          <m:t>=</m:t>
        </m:r>
        <m:sSub>
          <m:e>
            <m:r>
              <m:rPr>
                <m:sty m:val="p"/>
              </m:rPr>
              <m:t>max</m:t>
            </m:r>
          </m:e>
          <m:sub>
            <m:r>
              <m:t>t</m:t>
            </m:r>
          </m:sub>
        </m:sSub>
        <m:r>
          <m:t>Δ</m:t>
        </m:r>
        <m:r>
          <m:t>t</m:t>
        </m:r>
        <m:r>
          <m:t> </m:t>
        </m:r>
        <m:sSub>
          <m:e>
            <m:r>
              <m:t>k</m:t>
            </m:r>
          </m:e>
          <m:sub>
            <m:r>
              <m:t>z</m:t>
            </m:r>
          </m:sub>
        </m:sSub>
        <m:sSub>
          <m:e>
            <m:r>
              <m:rPr>
                <m:sty m:val="p"/>
              </m:rPr>
              <m:t>P</m:t>
            </m:r>
            <m:r>
              <m:rPr>
                <m:sty m:val="p"/>
              </m:rPr>
              <m:t>U</m:t>
            </m:r>
            <m:r>
              <m:rPr>
                <m:sty m:val="p"/>
              </m:rPr>
              <m:t>E</m:t>
            </m:r>
          </m:e>
          <m:sub>
            <m:r>
              <m:t>z</m:t>
            </m:r>
            <m:r>
              <m:t>t</m:t>
            </m:r>
          </m:sub>
        </m:sSub>
        <m:d>
          <m:dPr>
            <m:begChr m:val="("/>
            <m:endChr m:val=")"/>
            <m:sepChr m:val=""/>
            <m:grow/>
          </m:dPr>
          <m:e>
            <m:r>
              <m:rPr>
                <m:sty m:val="p"/>
              </m:rPr>
              <m:t>|</m:t>
            </m:r>
            <m:sSubSup>
              <m:e>
                <m:r>
                  <m:t>p</m:t>
                </m:r>
              </m:e>
              <m:sub>
                <m:r>
                  <m:t>z</m:t>
                </m:r>
                <m:r>
                  <m:t>t</m:t>
                </m:r>
              </m:sub>
              <m:sup>
                <m:r>
                  <m:rPr>
                    <m:sty m:val="p"/>
                  </m:rPr>
                  <m:t>R</m:t>
                </m:r>
                <m:r>
                  <m:rPr>
                    <m:sty m:val="p"/>
                  </m:rPr>
                  <m:t>T</m:t>
                </m:r>
              </m:sup>
            </m:sSubSup>
            <m:r>
              <m:rPr>
                <m:sty m:val="p"/>
              </m:rPr>
              <m:t>|</m:t>
            </m:r>
            <m:r>
              <m:rPr>
                <m:sty m:val="p"/>
              </m:rPr>
              <m:t>+</m:t>
            </m:r>
            <m:r>
              <m:t>2</m:t>
            </m:r>
          </m:e>
        </m:d>
      </m:oMath>
      <w:r>
        <w:t xml:space="preserve">. The original import, curtailment, absolute-deviation and source-terminal account therefore gives</w:t>
      </w:r>
    </w:p>
    <w:p>
      <w:pPr>
        <w:keepLines/>
        <w:widowControl/>
        <w:spacing w:after="120" w:before="80"/>
        <w:jc w:val="center"/>
      </w:pPr>
      <m:oMathPara>
        <m:oMathParaPr>
          <m:jc m:val="center"/>
        </m:oMathParaPr>
        <m:oMath>
          <m:r>
            <m:t>J</m:t>
          </m:r>
          <m:d>
            <m:dPr>
              <m:begChr m:val="("/>
              <m:endChr m:val=")"/>
              <m:sepChr m:val=""/>
              <m:grow/>
            </m:dPr>
            <m:e>
              <m:acc>
                <m:accPr>
                  <m:chr m:val="̃"/>
                </m:accPr>
                <m:e>
                  <m:r>
                    <m:t>x</m:t>
                  </m:r>
                </m:e>
              </m:acc>
            </m:e>
          </m:d>
          <m:r>
            <m:rPr>
              <m:sty m:val="p"/>
            </m:rPr>
            <m:t>−</m:t>
          </m:r>
          <m:r>
            <m:t>J</m:t>
          </m:r>
          <m:d>
            <m:dPr>
              <m:begChr m:val="("/>
              <m:endChr m:val=")"/>
              <m:sepChr m:val=""/>
              <m:grow/>
            </m:dPr>
            <m:e>
              <m:bar>
                <m:barPr>
                  <m:pos m:val="top"/>
                </m:barPr>
                <m:e>
                  <m:r>
                    <m:t>x</m:t>
                  </m:r>
                </m:e>
              </m:bar>
            </m:e>
          </m:d>
          <m:r>
            <m:rPr>
              <m:sty m:val="p"/>
            </m:rPr>
            <m:t>≤</m:t>
          </m:r>
          <m:nary>
            <m:naryPr>
              <m:chr m:val="∑"/>
              <m:limLoc m:val="undOvr"/>
              <m:subHide m:val="off"/>
              <m:supHide m:val="on"/>
            </m:naryPr>
            <m:sub>
              <m:r>
                <m:t>z</m:t>
              </m:r>
            </m:sub>
            <m:sup>
              <m:r>
                <m:t>​</m:t>
              </m:r>
            </m:sup>
            <m:e>
              <m:sSub>
                <m:e>
                  <m:r>
                    <m:t>M</m:t>
                  </m:r>
                </m:e>
                <m:sub>
                  <m:r>
                    <m:t>z</m:t>
                  </m:r>
                </m:sub>
              </m:sSub>
            </m:e>
          </m:nary>
          <m:d>
            <m:dPr>
              <m:begChr m:val="("/>
              <m:endChr m:val=")"/>
              <m:sepChr m:val=""/>
              <m:grow/>
            </m:dPr>
            <m:e>
              <m:r>
                <m:t>2</m:t>
              </m:r>
              <m:r>
                <m:t>N</m:t>
              </m:r>
              <m:r>
                <m:t>E</m:t>
              </m:r>
            </m:e>
          </m:d>
          <m:r>
            <m:rPr>
              <m:sty m:val="p"/>
            </m:rPr>
            <m:t>+</m:t>
          </m:r>
          <m:sSub>
            <m:e>
              <m:r>
                <m:t>δ</m:t>
              </m:r>
            </m:e>
            <m:sub>
              <m:r>
                <m:t>T</m:t>
              </m:r>
            </m:sub>
          </m:sSub>
          <m:r>
            <m:rPr>
              <m:sty m:val="p"/>
            </m:rPr>
            <m:t>&lt;</m:t>
          </m:r>
          <m:r>
            <m:t>0.000837</m:t>
          </m:r>
          <m:r>
            <m:t> </m:t>
          </m:r>
          <m:r>
            <m:rPr>
              <m:nor/>
              <m:sty m:val="p"/>
            </m:rPr>
            <m:t>US dollars</m:t>
          </m:r>
          <m:r>
            <m:rPr>
              <m:sty m:val="p"/>
            </m:rPr>
            <m:t>.</m:t>
          </m:r>
          <m:r>
            <m:t>  </m:t>
          </m:r>
          <m:r>
            <m:rPr>
              <m:nor/>
              <m:sty m:val="p"/>
            </m:rPr>
            <m:t>(S27.10)</m:t>
          </m:r>
        </m:oMath>
      </m:oMathPara>
    </w:p>
    <w:p>
      <w:pPr>
        <w:widowControl/>
        <w:spacing w:after="100"/>
      </w:pPr>
      <w:r>
        <w:t xml:space="preserve">The retained exact total, including the signed-terminal allowance, is less than</w:t>
      </w:r>
      <w:r>
        <w:t xml:space="preserve"> </w:t>
      </w:r>
      <m:oMath>
        <m:r>
          <m:t>0.000836658044037</m:t>
        </m:r>
      </m:oMath>
      <w:r>
        <w:t xml:space="preserve"> </w:t>
      </w:r>
      <w:r>
        <w:t xml:space="preserve">dollars. This calculation uses proved reference-bookkeeping bounds, not unverified residuals of the old witness. It yields a uniform constructive existence and value guarantee for every compatible actual admission vector. The four explicit surrogate schedules are supplied. S29 now materialises the original-admission assignment from the recovered source input. All four supplied schedules already satisfy that exact corridor, so their additional repair is zero. No first-release or information-adapted policy performance is inferred from this hindsight construction.</w:t>
      </w:r>
    </w:p>
    <w:p>
      <w:pPr>
        <w:pStyle w:val="Caption"/>
        <w:keepNext/>
        <w:widowControl/>
        <w:spacing w:after="100" w:before="120"/>
      </w:pPr>
      <w:r>
        <w:t xml:space="preserve">Supplementary Table 42. New conservative annual results on the public-reference admission envelope. Savings ceilings are rounded upward and the feasible-value floor downward. The common matched account and terminal sign proof apply to both formulations. Premiums use exact unrounded enclosures before cent rounding.</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2088"/>
        <w:gridCol w:w="2232"/>
        <w:gridCol w:w="2232"/>
        <w:gridCol w:w="2808"/>
      </w:tblGrid>
      <w:tr>
        <w:trPr>
          <w:tblHeader w:val="true"/>
          <w:cantSplit/>
          <w:tblHeader/>
        </w:trPr>
        <w:tc>
          <w:tcPr>
            <w:tcW w:type="dxa" w:w="864"/>
            <w:vAlign w:val="center"/>
            <w:shd w:fill="DCE6F1"/>
            <w:tcMar>
              <w:top w:w="70" w:type="dxa"/>
              <w:bottom w:w="70" w:type="dxa"/>
              <w:left w:w="85" w:type="dxa"/>
              <w:right w:w="85" w:type="dxa"/>
            </w:tcMar>
          </w:tcPr>
          <w:p>
            <w:pPr>
              <w:spacing w:after="0" w:before="0" w:line="245" w:lineRule="auto"/>
              <w:jc w:val="left"/>
            </w:pPr>
            <w:r>
              <w:rPr>
                <w:rFonts w:ascii="Times New Roman" w:hAnsi="Times New Roman"/>
                <w:b/>
                <w:color w:val="000000"/>
                <w:sz w:val="18"/>
              </w:rPr>
              <w:t xml:space="preserve">Right</w:t>
            </w:r>
          </w:p>
        </w:tc>
        <w:tc>
          <w:tcPr>
            <w:tcW w:type="dxa" w:w="2088"/>
            <w:vAlign w:val="center"/>
            <w:shd w:fill="DCE6F1"/>
            <w:tcMar>
              <w:top w:w="70" w:type="dxa"/>
              <w:bottom w:w="70" w:type="dxa"/>
              <w:left w:w="85" w:type="dxa"/>
              <w:right w:w="85" w:type="dxa"/>
            </w:tcMar>
          </w:tcPr>
          <w:p>
            <w:pPr>
              <w:spacing w:after="0" w:before="0" w:line="245" w:lineRule="auto"/>
              <w:jc w:val="right"/>
            </w:pPr>
            <w:r>
              <w:rPr>
                <w:rFonts w:ascii="Times New Roman" w:hAnsi="Times New Roman"/>
                <w:b/>
                <w:color w:val="000000"/>
                <w:sz w:val="18"/>
              </w:rPr>
              <w:t xml:space="preserve">Original-cost ceiling US$</w:t>
            </w:r>
          </w:p>
        </w:tc>
        <w:tc>
          <w:tcPr>
            <w:tcW w:type="dxa" w:w="2232"/>
            <w:vAlign w:val="center"/>
            <w:shd w:fill="DCE6F1"/>
            <w:tcMar>
              <w:top w:w="70" w:type="dxa"/>
              <w:bottom w:w="70" w:type="dxa"/>
              <w:left w:w="85" w:type="dxa"/>
              <w:right w:w="85" w:type="dxa"/>
            </w:tcMar>
          </w:tcPr>
          <w:p>
            <w:pPr>
              <w:spacing w:after="0" w:before="0" w:line="245" w:lineRule="auto"/>
              <w:jc w:val="right"/>
            </w:pPr>
            <w:r>
              <w:rPr>
                <w:rFonts w:ascii="Times New Roman" w:hAnsi="Times New Roman"/>
                <w:b/>
                <w:color w:val="000000"/>
                <w:sz w:val="18"/>
              </w:rPr>
              <w:t xml:space="preserve">Independent epigraph ceiling US$</w:t>
            </w:r>
          </w:p>
        </w:tc>
        <w:tc>
          <w:tcPr>
            <w:tcW w:type="dxa" w:w="2232"/>
            <w:vAlign w:val="center"/>
            <w:shd w:fill="DCE6F1"/>
            <w:tcMar>
              <w:top w:w="70" w:type="dxa"/>
              <w:bottom w:w="70" w:type="dxa"/>
              <w:left w:w="85" w:type="dxa"/>
              <w:right w:w="85" w:type="dxa"/>
            </w:tcMar>
          </w:tcPr>
          <w:p>
            <w:pPr>
              <w:spacing w:after="0" w:before="0" w:line="245" w:lineRule="auto"/>
              <w:jc w:val="right"/>
            </w:pPr>
            <w:r>
              <w:rPr>
                <w:rFonts w:ascii="Times New Roman" w:hAnsi="Times New Roman"/>
                <w:b/>
                <w:color w:val="000000"/>
                <w:sz w:val="18"/>
              </w:rPr>
              <w:t xml:space="preserve">Uniform 24 h value floor US$</w:t>
            </w:r>
          </w:p>
        </w:tc>
        <w:tc>
          <w:tcPr>
            <w:tcW w:type="dxa" w:w="2808"/>
            <w:vAlign w:val="center"/>
            <w:shd w:fill="DCE6F1"/>
            <w:tcMar>
              <w:top w:w="70" w:type="dxa"/>
              <w:bottom w:w="70" w:type="dxa"/>
              <w:left w:w="85" w:type="dxa"/>
              <w:right w:w="85" w:type="dxa"/>
            </w:tcMar>
          </w:tcPr>
          <w:p>
            <w:pPr>
              <w:spacing w:after="0" w:before="0" w:line="245" w:lineRule="auto"/>
              <w:jc w:val="right"/>
            </w:pPr>
            <w:r>
              <w:rPr>
                <w:rFonts w:ascii="Times New Roman" w:hAnsi="Times New Roman"/>
                <w:b/>
                <w:color w:val="000000"/>
                <w:sz w:val="18"/>
              </w:rPr>
              <w:t xml:space="preserve">24 h premium above both ceilings US$</w:t>
            </w:r>
          </w:p>
        </w:tc>
      </w:tr>
      <w:tr>
        <w:trPr>
          <w:cantSplit/>
        </w:trPr>
        <w:tc>
          <w:tcPr>
            <w:tcW w:type="dxa" w:w="864"/>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12 h</w:t>
            </w:r>
          </w:p>
        </w:tc>
        <w:tc>
          <w:tcPr>
            <w:tcW w:type="dxa" w:w="2088"/>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100,625.48</w:t>
            </w:r>
          </w:p>
        </w:tc>
        <w:tc>
          <w:tcPr>
            <w:tcW w:type="dxa" w:w="2232"/>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100,625.48</w:t>
            </w:r>
          </w:p>
        </w:tc>
        <w:tc>
          <w:tcPr>
            <w:tcW w:type="dxa" w:w="2232"/>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130,931.31</w:t>
            </w:r>
          </w:p>
        </w:tc>
        <w:tc>
          <w:tcPr>
            <w:tcW w:type="dxa" w:w="2808"/>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30,305.84</w:t>
            </w:r>
          </w:p>
        </w:tc>
      </w:tr>
      <w:tr>
        <w:trPr>
          <w:cantSplit/>
        </w:trPr>
        <w:tc>
          <w:tcPr>
            <w:tcW w:type="dxa" w:w="864"/>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16 h</w:t>
            </w:r>
          </w:p>
        </w:tc>
        <w:tc>
          <w:tcPr>
            <w:tcW w:type="dxa" w:w="2088"/>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115,735.23</w:t>
            </w:r>
          </w:p>
        </w:tc>
        <w:tc>
          <w:tcPr>
            <w:tcW w:type="dxa" w:w="2232"/>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115,735.23</w:t>
            </w:r>
          </w:p>
        </w:tc>
        <w:tc>
          <w:tcPr>
            <w:tcW w:type="dxa" w:w="2232"/>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130,931.31</w:t>
            </w:r>
          </w:p>
        </w:tc>
        <w:tc>
          <w:tcPr>
            <w:tcW w:type="dxa" w:w="2808"/>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15,196.08</w:t>
            </w:r>
          </w:p>
        </w:tc>
      </w:tr>
      <w:tr>
        <w:trPr>
          <w:cantSplit/>
        </w:trPr>
        <w:tc>
          <w:tcPr>
            <w:tcW w:type="dxa" w:w="864"/>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24 h</w:t>
            </w:r>
          </w:p>
        </w:tc>
        <w:tc>
          <w:tcPr>
            <w:tcW w:type="dxa" w:w="2088"/>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134,437.85</w:t>
            </w:r>
          </w:p>
        </w:tc>
        <w:tc>
          <w:tcPr>
            <w:tcW w:type="dxa" w:w="2232"/>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134,437.85</w:t>
            </w:r>
          </w:p>
        </w:tc>
        <w:tc>
          <w:tcPr>
            <w:tcW w:type="dxa" w:w="2232"/>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130,931.31</w:t>
            </w:r>
          </w:p>
        </w:tc>
        <w:tc>
          <w:tcPr>
            <w:tcW w:type="dxa" w:w="2808"/>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Not an exclusion comparison</w:t>
            </w:r>
          </w:p>
        </w:tc>
      </w:tr>
    </w:tbl>
    <w:p>
      <w:pPr>
        <w:widowControl/>
        <w:spacing w:after="100"/>
      </w:pPr>
      <w:r>
        <w:t xml:space="preserve">The largest unrounded difference between the two formulations’ annual ceilings is below</w:t>
      </w:r>
      <w:r>
        <w:t xml:space="preserve"> </w:t>
      </w:r>
      <m:oMath>
        <m:r>
          <m:t>0.000000138</m:t>
        </m:r>
      </m:oMath>
      <w:r>
        <w:t xml:space="preserve"> </w:t>
      </w:r>
      <w:r>
        <w:t xml:space="preserve">dollars. The new 24-hour perfect-information opportunity is enclosed by US$130,931.31 and US$134,437.85 on this conservative verification. The remaining bound-to-witness-value gap is at most US$3,506.54. This gap is an upper bound on remaining optimisation opportunity, not an assertion of the exact unknown optimum.</w:t>
      </w:r>
    </w:p>
    <w:bookmarkEnd w:id="23"/>
    <w:bookmarkStart w:id="24" w:name="X374dd551714f8c948b47dc3ff4bfb581da5ce05"/>
    <w:p>
      <w:pPr>
        <w:pStyle w:val="Heading2"/>
        <w:keepNext/>
        <w:widowControl/>
        <w:spacing w:after="100"/>
      </w:pPr>
      <w:r>
        <w:rPr>
          <w:color w:val="000000"/>
        </w:rPr>
        <w:t xml:space="preserve">Terminal-rate sign and the reference-anchored liability</w:t>
      </w:r>
    </w:p>
    <w:p>
      <w:pPr>
        <w:widowControl/>
        <w:spacing w:after="100"/>
      </w:pPr>
      <w:r>
        <w:t xml:space="preserve">The outer bound must retain a possible negative constant in the original terminal account. This subsection establishes both the required coefficient sign and that constant’s allowance. The evidence is the released daily mark-to-market file</w:t>
      </w:r>
      <w:r>
        <w:t xml:space="preserve"> </w:t>
      </w:r>
      <w:r>
        <w:rPr>
          <w:rStyle w:val="VerbatimChar"/>
        </w:rPr>
        <w:t xml:space="preserve">source_data/current/worldmoe_daily_by_seed.csv</w:t>
      </w:r>
      <w:r>
        <w:t xml:space="preserve">, the same three annual policy arrays and the documented per-zone branch of</w:t>
      </w:r>
      <w:r>
        <w:t xml:space="preserve"> </w:t>
      </w:r>
      <w:r>
        <w:rPr>
          <w:rStyle w:val="VerbatimChar"/>
        </w:rPr>
        <w:t xml:space="preserve">economic_core.record</w:t>
      </w:r>
      <w:r>
        <w:t xml:space="preserve">, with no migration or fee/grid override. The source aggregate is produced by</w:t>
      </w:r>
      <w:r>
        <w:t xml:space="preserve"> </w:t>
      </w:r>
      <w:r>
        <w:rPr>
          <w:rStyle w:val="VerbatimChar"/>
        </w:rPr>
        <w:t xml:space="preserve">summarize_worldmoe_final.py</w:t>
      </w:r>
      <w:r>
        <w:t xml:space="preserve">. The inference conditions on that matched-account lineage, binary64 round-to-nearest arithmetic, shortest round-trip decimal exports and the one intervening default Pandas</w:t>
      </w:r>
      <w:r>
        <w:t xml:space="preserve"> </w:t>
      </w:r>
      <w:r>
        <w:rPr>
          <w:rStyle w:val="VerbatimChar"/>
        </w:rPr>
        <w:t xml:space="preserve">precise_xstrtod</w:t>
      </w:r>
      <w:r>
        <w:t xml:space="preserve"> </w:t>
      </w:r>
      <w:r>
        <w:t xml:space="preserve">parse. It does not infer a historical package version from the CSV or recover the original training-price file.</w:t>
      </w:r>
    </w:p>
    <w:p>
      <w:pPr>
        <w:widowControl/>
        <w:spacing w:after="100"/>
      </w:pPr>
      <w:r>
        <w:t xml:space="preserve">Reproduce the source’s binary64 cash-value array</w:t>
      </w:r>
      <w:r>
        <w:t xml:space="preserve"> </w:t>
      </w:r>
      <m:oMath>
        <m:sSub>
          <m:e>
            <m:r>
              <m:t>v</m:t>
            </m:r>
          </m:e>
          <m:sub>
            <m:r>
              <m:t>t</m:t>
            </m:r>
          </m:sub>
        </m:sSub>
      </m:oMath>
      <w:r>
        <w:t xml:space="preserve"> </w:t>
      </w:r>
      <w:r>
        <w:t xml:space="preserve">and cumulative work-energy differences</w:t>
      </w:r>
      <w:r>
        <w:t xml:space="preserve"> </w:t>
      </w:r>
      <m:oMath>
        <m:sSub>
          <m:e>
            <m:r>
              <m:t>w</m:t>
            </m:r>
          </m:e>
          <m:sub>
            <m:r>
              <m:t>t</m:t>
            </m:r>
            <m:r>
              <m:rPr>
                <m:sty m:val="p"/>
              </m:rPr>
              <m:t>,</m:t>
            </m:r>
            <m:r>
              <m:t>z</m:t>
            </m:r>
          </m:sub>
        </m:sSub>
        <m:r>
          <m:rPr>
            <m:sty m:val="p"/>
          </m:rPr>
          <m:t>=</m:t>
        </m:r>
        <m:r>
          <m:rPr>
            <m:sty m:val="p"/>
          </m:rPr>
          <m:t>fl</m:t>
        </m:r>
        <m:d>
          <m:dPr>
            <m:begChr m:val="("/>
            <m:endChr m:val=")"/>
            <m:sepChr m:val=""/>
            <m:grow/>
          </m:dPr>
          <m:e>
            <m:r>
              <m:t>Δ</m:t>
            </m:r>
            <m:r>
              <m:t>t</m:t>
            </m:r>
            <m:r>
              <m:rPr>
                <m:sty m:val="p"/>
              </m:rPr>
              <m:t>cumsum</m:t>
            </m:r>
            <m:sSub>
              <m:e>
                <m:d>
                  <m:dPr>
                    <m:begChr m:val="("/>
                    <m:endChr m:val=")"/>
                    <m:sepChr m:val=""/>
                    <m:grow/>
                  </m:dPr>
                  <m:e>
                    <m:d>
                      <m:dPr>
                        <m:begChr m:val="("/>
                        <m:endChr m:val=")"/>
                        <m:sepChr m:val=""/>
                        <m:grow/>
                      </m:dPr>
                      <m:e>
                        <m:r>
                          <m:t>b</m:t>
                        </m:r>
                        <m:r>
                          <m:rPr>
                            <m:sty m:val="p"/>
                          </m:rPr>
                          <m:t>−</m:t>
                        </m:r>
                        <m:r>
                          <m:t>x</m:t>
                        </m:r>
                      </m:e>
                    </m:d>
                    <m:sSub>
                      <m:e>
                        <m:r>
                          <m:t>k</m:t>
                        </m:r>
                      </m:e>
                      <m:sub>
                        <m:r>
                          <m:t>z</m:t>
                        </m:r>
                      </m:sub>
                    </m:sSub>
                  </m:e>
                </m:d>
              </m:e>
              <m:sub>
                <m:r>
                  <m:t>t</m:t>
                </m:r>
                <m:r>
                  <m:rPr>
                    <m:sty m:val="p"/>
                  </m:rPr>
                  <m:t>,</m:t>
                </m:r>
                <m:r>
                  <m:t>z</m:t>
                </m:r>
              </m:sub>
            </m:sSub>
          </m:e>
        </m:d>
      </m:oMath>
      <w:r>
        <w:t xml:space="preserve">. These floating outputs are known constants of the remaining inverse problem, rather than approximations that are silently substituted for an exact cumulative sum. Let</w:t>
      </w:r>
      <w:r>
        <w:t xml:space="preserve"> </w:t>
      </w:r>
      <m:oMath>
        <m:sSub>
          <m:e>
            <m:r>
              <m:t>ρ</m:t>
            </m:r>
          </m:e>
          <m:sub>
            <m:r>
              <m:t>z</m:t>
            </m:r>
          </m:sub>
        </m:sSub>
        <m:r>
          <m:rPr>
            <m:sty m:val="p"/>
          </m:rPr>
          <m:t>=</m:t>
        </m:r>
        <m:sSup>
          <m:e>
            <m:r>
              <m:rPr>
                <m:sty m:val="p"/>
              </m:rPr>
              <m:t>P</m:t>
            </m:r>
            <m:r>
              <m:rPr>
                <m:sty m:val="p"/>
              </m:rPr>
              <m:t>U</m:t>
            </m:r>
            <m:r>
              <m:rPr>
                <m:sty m:val="p"/>
              </m:rPr>
              <m:t>E</m:t>
            </m:r>
          </m:e>
          <m:sup>
            <m:r>
              <m:rPr>
                <m:sty m:val="p"/>
              </m:rPr>
              <m:t>max</m:t>
            </m:r>
          </m:sup>
        </m:sSup>
        <m:r>
          <m:t> </m:t>
        </m:r>
        <m:sSubSup>
          <m:e>
            <m:r>
              <m:t>p</m:t>
            </m:r>
          </m:e>
          <m:sub>
            <m:r>
              <m:t>z</m:t>
            </m:r>
          </m:sub>
          <m:sup>
            <m:r>
              <m:rPr>
                <m:sty m:val="p"/>
              </m:rPr>
              <m:t>h</m:t>
            </m:r>
            <m:r>
              <m:rPr>
                <m:sty m:val="p"/>
              </m:rPr>
              <m:t>i</m:t>
            </m:r>
            <m:r>
              <m:rPr>
                <m:sty m:val="p"/>
              </m:rPr>
              <m:t>s</m:t>
            </m:r>
            <m:r>
              <m:rPr>
                <m:sty m:val="p"/>
              </m:rPr>
              <m:t>t</m:t>
            </m:r>
          </m:sup>
        </m:sSubSup>
      </m:oMath>
      <w:r>
        <w:t xml:space="preserve"> </w:t>
      </w:r>
      <w:r>
        <w:t xml:space="preserve">be the unknown frozen terminal coefficient and</w:t>
      </w:r>
      <w:r>
        <w:t xml:space="preserve"> </w:t>
      </w:r>
      <m:oMath>
        <m:sSub>
          <m:e>
            <m:r>
              <m:t>D</m:t>
            </m:r>
          </m:e>
          <m:sub>
            <m:r>
              <m:t>t</m:t>
            </m:r>
          </m:sub>
        </m:sSub>
        <m:r>
          <m:rPr>
            <m:sty m:val="p"/>
          </m:rPr>
          <m:t>=</m:t>
        </m:r>
        <m:nary>
          <m:naryPr>
            <m:chr m:val="∑"/>
            <m:limLoc m:val="undOvr"/>
            <m:subHide m:val="off"/>
            <m:supHide m:val="on"/>
          </m:naryPr>
          <m:sub>
            <m:r>
              <m:t>z</m:t>
            </m:r>
          </m:sub>
          <m:sup>
            <m:r>
              <m:t>​</m:t>
            </m:r>
          </m:sup>
          <m:e>
            <m:sSub>
              <m:e>
                <m:r>
                  <m:t>w</m:t>
                </m:r>
              </m:e>
              <m:sub>
                <m:r>
                  <m:t>t</m:t>
                </m:r>
                <m:r>
                  <m:rPr>
                    <m:sty m:val="p"/>
                  </m:rPr>
                  <m:t>,</m:t>
                </m:r>
                <m:r>
                  <m:t>z</m:t>
                </m:r>
              </m:sub>
            </m:sSub>
          </m:e>
        </m:nary>
        <m:sSub>
          <m:e>
            <m:r>
              <m:t>ρ</m:t>
            </m:r>
          </m:e>
          <m:sub>
            <m:r>
              <m:t>z</m:t>
            </m:r>
          </m:sub>
        </m:sSub>
      </m:oMath>
      <w:r>
        <w:t xml:space="preserve">. The source computes its debt through two multiplications and a four-term reduction, subtracts successive debts from cash value, and sums the result within each local calendar day.</w:t>
      </w:r>
    </w:p>
    <w:p>
      <w:pPr>
        <w:widowControl/>
        <w:spacing w:after="100"/>
      </w:pPr>
      <w:r>
        <w:t xml:space="preserve">For a day spanning indices</w:t>
      </w:r>
      <w:r>
        <w:t xml:space="preserve"> </w:t>
      </w:r>
      <m:oMath>
        <m:r>
          <m:t>s</m:t>
        </m:r>
      </m:oMath>
      <w:r>
        <w:t xml:space="preserve"> </w:t>
      </w:r>
      <w:r>
        <w:t xml:space="preserve">through</w:t>
      </w:r>
      <w:r>
        <w:t xml:space="preserve"> </w:t>
      </w:r>
      <m:oMath>
        <m:r>
          <m:t>e</m:t>
        </m:r>
      </m:oMath>
      <w:r>
        <w:t xml:space="preserve">, let</w:t>
      </w:r>
      <w:r>
        <w:t xml:space="preserve"> </w:t>
      </w:r>
      <m:oMath>
        <m:sSub>
          <m:e>
            <m:r>
              <m:t>y</m:t>
            </m:r>
          </m:e>
          <m:sub>
            <m:r>
              <m:t>d</m:t>
            </m:r>
          </m:sub>
        </m:sSub>
      </m:oMath>
      <w:r>
        <w:t xml:space="preserve"> </w:t>
      </w:r>
      <w:r>
        <w:t xml:space="preserve">be the binary64 value round-tripped from its final CSV field. Define the exact matrix row and right-hand side by</w:t>
      </w:r>
    </w:p>
    <w:p>
      <w:pPr>
        <w:keepLines/>
        <w:widowControl/>
        <w:spacing w:after="120" w:before="80"/>
        <w:jc w:val="center"/>
      </w:pPr>
      <m:oMathPara>
        <m:oMathParaPr>
          <m:jc m:val="center"/>
        </m:oMathParaPr>
        <m:oMath>
          <m:m>
            <m:mPr>
              <m:baseJc m:val="center"/>
              <m:plcHide m:val="on"/>
              <m:mcs>
                <m:mc>
                  <m:mcPr>
                    <m:mcJc m:val="right"/>
                    <m:count m:val="1"/>
                  </m:mcPr>
                </m:mc>
                <m:mc>
                  <m:mcPr>
                    <m:mcJc m:val="left"/>
                    <m:count m:val="1"/>
                  </m:mcPr>
                </m:mc>
              </m:mcs>
            </m:mPr>
            <m:mr>
              <m:e>
                <m:sSub>
                  <m:e>
                    <m:r>
                      <m:t>M</m:t>
                    </m:r>
                  </m:e>
                  <m:sub>
                    <m:r>
                      <m:t>d</m:t>
                    </m:r>
                    <m:r>
                      <m:t>z</m:t>
                    </m:r>
                  </m:sub>
                </m:sSub>
              </m:e>
              <m:e>
                <m:r>
                  <m:rPr>
                    <m:sty m:val="p"/>
                  </m:rPr>
                  <m:t>=</m:t>
                </m:r>
                <m:sSub>
                  <m:e>
                    <m:r>
                      <m:t>w</m:t>
                    </m:r>
                  </m:e>
                  <m:sub>
                    <m:r>
                      <m:t>e</m:t>
                    </m:r>
                    <m:r>
                      <m:rPr>
                        <m:sty m:val="p"/>
                      </m:rPr>
                      <m:t>,</m:t>
                    </m:r>
                    <m:r>
                      <m:t>z</m:t>
                    </m:r>
                  </m:sub>
                </m:sSub>
                <m:r>
                  <m:rPr>
                    <m:sty m:val="p"/>
                  </m:rPr>
                  <m:t>−</m:t>
                </m:r>
                <m:sSub>
                  <m:e>
                    <m:r>
                      <m:t>w</m:t>
                    </m:r>
                  </m:e>
                  <m:sub>
                    <m:r>
                      <m:t>s</m:t>
                    </m:r>
                    <m:r>
                      <m:rPr>
                        <m:sty m:val="p"/>
                      </m:rPr>
                      <m:t>−</m:t>
                    </m:r>
                    <m:r>
                      <m:t>1</m:t>
                    </m:r>
                    <m:r>
                      <m:rPr>
                        <m:sty m:val="p"/>
                      </m:rPr>
                      <m:t>,</m:t>
                    </m:r>
                    <m:r>
                      <m:t>z</m:t>
                    </m:r>
                  </m:sub>
                </m:sSub>
                <m:r>
                  <m:rPr>
                    <m:sty m:val="p"/>
                  </m:rPr>
                  <m:t>,</m:t>
                </m:r>
                <m:r>
                  <m:t>  </m:t>
                </m:r>
                <m:sSub>
                  <m:e>
                    <m:r>
                      <m:t>d</m:t>
                    </m:r>
                  </m:e>
                  <m:sub>
                    <m:r>
                      <m:t>d</m:t>
                    </m:r>
                  </m:sub>
                </m:sSub>
                <m:r>
                  <m:rPr>
                    <m:sty m:val="p"/>
                  </m:rPr>
                  <m:t>=</m:t>
                </m:r>
                <m:nary>
                  <m:naryPr>
                    <m:chr m:val="∑"/>
                    <m:limLoc m:val="undOvr"/>
                    <m:subHide m:val="off"/>
                    <m:supHide m:val="off"/>
                  </m:naryPr>
                  <m:sub>
                    <m:r>
                      <m:t>t</m:t>
                    </m:r>
                    <m:r>
                      <m:rPr>
                        <m:sty m:val="p"/>
                      </m:rPr>
                      <m:t>=</m:t>
                    </m:r>
                    <m:r>
                      <m:t>s</m:t>
                    </m:r>
                  </m:sub>
                  <m:sup>
                    <m:r>
                      <m:t>e</m:t>
                    </m:r>
                  </m:sup>
                  <m:e>
                    <m:sSub>
                      <m:e>
                        <m:r>
                          <m:t>v</m:t>
                        </m:r>
                      </m:e>
                      <m:sub>
                        <m:r>
                          <m:t>t</m:t>
                        </m:r>
                      </m:sub>
                    </m:sSub>
                  </m:e>
                </m:nary>
                <m:r>
                  <m:rPr>
                    <m:sty m:val="p"/>
                  </m:rPr>
                  <m:t>−</m:t>
                </m:r>
                <m:sSub>
                  <m:e>
                    <m:r>
                      <m:t>y</m:t>
                    </m:r>
                  </m:e>
                  <m:sub>
                    <m:r>
                      <m:t>d</m:t>
                    </m:r>
                  </m:sub>
                </m:sSub>
                <m:r>
                  <m:rPr>
                    <m:sty m:val="p"/>
                  </m:rPr>
                  <m:t>,</m:t>
                </m:r>
              </m:e>
            </m:mr>
            <m:mr>
              <m:e>
                <m:r>
                  <m:rPr>
                    <m:sty m:val="p"/>
                  </m:rPr>
                  <m:t>|</m:t>
                </m:r>
                <m:sSub>
                  <m:e>
                    <m:r>
                      <m:t>d</m:t>
                    </m:r>
                  </m:e>
                  <m:sub>
                    <m:r>
                      <m:t>d</m:t>
                    </m:r>
                  </m:sub>
                </m:sSub>
                <m:r>
                  <m:rPr>
                    <m:sty m:val="p"/>
                  </m:rPr>
                  <m:t>−</m:t>
                </m:r>
                <m:sSub>
                  <m:e>
                    <m:r>
                      <m:t>M</m:t>
                    </m:r>
                  </m:e>
                  <m:sub>
                    <m:r>
                      <m:t>d</m:t>
                    </m:r>
                  </m:sub>
                </m:sSub>
                <m:r>
                  <m:t>ρ</m:t>
                </m:r>
                <m:r>
                  <m:rPr>
                    <m:sty m:val="p"/>
                  </m:rPr>
                  <m:t>|</m:t>
                </m:r>
              </m:e>
              <m:e>
                <m:r>
                  <m:rPr>
                    <m:sty m:val="p"/>
                  </m:rPr>
                  <m:t>≤</m:t>
                </m:r>
                <m:sSub>
                  <m:e>
                    <m:r>
                      <m:t>a</m:t>
                    </m:r>
                  </m:e>
                  <m:sub>
                    <m:r>
                      <m:t>d</m:t>
                    </m:r>
                  </m:sub>
                </m:sSub>
                <m:r>
                  <m:rPr>
                    <m:sty m:val="p"/>
                  </m:rPr>
                  <m:t>+</m:t>
                </m:r>
                <m:sSub>
                  <m:e>
                    <m:r>
                      <m:t>b</m:t>
                    </m:r>
                  </m:e>
                  <m:sub>
                    <m:r>
                      <m:t>d</m:t>
                    </m:r>
                  </m:sub>
                </m:sSub>
                <m:r>
                  <m:rPr>
                    <m:sty m:val="p"/>
                  </m:rPr>
                  <m:t>∥</m:t>
                </m:r>
                <m:r>
                  <m:t>ρ</m:t>
                </m:r>
                <m:sSub>
                  <m:e>
                    <m:r>
                      <m:rPr>
                        <m:sty m:val="p"/>
                      </m:rPr>
                      <m:t>∥</m:t>
                    </m:r>
                  </m:e>
                  <m:sub>
                    <m:r>
                      <m:rPr>
                        <m:sty m:val="p"/>
                      </m:rPr>
                      <m:t>∞</m:t>
                    </m:r>
                  </m:sub>
                </m:sSub>
                <m:r>
                  <m:rPr>
                    <m:sty m:val="p"/>
                  </m:rPr>
                  <m:t>.</m:t>
                </m:r>
              </m:e>
            </m:mr>
          </m:m>
          <m:r>
            <m:t>  </m:t>
          </m:r>
          <m:r>
            <m:rPr>
              <m:nor/>
              <m:sty m:val="p"/>
            </m:rPr>
            <m:t>(S27.11)</m:t>
          </m:r>
        </m:oMath>
      </m:oMathPara>
    </w:p>
    <w:p>
      <w:pPr>
        <w:widowControl/>
        <w:spacing w:after="100"/>
      </w:pPr>
      <w:r>
        <w:t xml:space="preserve">Here</w:t>
      </w:r>
      <w:r>
        <w:t xml:space="preserve"> </w:t>
      </w:r>
      <m:oMath>
        <m:sSub>
          <m:e>
            <m:r>
              <m:t>w</m:t>
            </m:r>
          </m:e>
          <m:sub>
            <m:r>
              <m:t>0</m:t>
            </m:r>
            <m:r>
              <m:rPr>
                <m:sty m:val="p"/>
              </m:rPr>
              <m:t>,</m:t>
            </m:r>
            <m:r>
              <m:t>z</m:t>
            </m:r>
          </m:sub>
        </m:sSub>
        <m:r>
          <m:rPr>
            <m:sty m:val="p"/>
          </m:rPr>
          <m:t>=</m:t>
        </m:r>
        <m:r>
          <m:t>0</m:t>
        </m:r>
      </m:oMath>
      <w:r>
        <w:t xml:space="preserve"> </w:t>
      </w:r>
      <w:r>
        <w:t xml:space="preserve">at the initial boundary, with the corresponding zero value used before the first day. Every known binary64 value is converted to its exact rational representation. Put</w:t>
      </w:r>
      <w:r>
        <w:t xml:space="preserve"> </w:t>
      </w:r>
      <m:oMath>
        <m:r>
          <m:t>u</m:t>
        </m:r>
        <m:r>
          <m:rPr>
            <m:sty m:val="p"/>
          </m:rPr>
          <m:t>=</m:t>
        </m:r>
        <m:sSup>
          <m:e>
            <m:r>
              <m:t>2</m:t>
            </m:r>
          </m:e>
          <m:sup>
            <m:r>
              <m:rPr>
                <m:sty m:val="p"/>
              </m:rPr>
              <m:t>−</m:t>
            </m:r>
            <m:r>
              <m:t>53</m:t>
            </m:r>
          </m:sup>
        </m:sSup>
      </m:oMath>
      <w:r>
        <w:t xml:space="preserve">,</w:t>
      </w:r>
      <w:r>
        <w:t xml:space="preserve"> </w:t>
      </w:r>
      <m:oMath>
        <m:sSub>
          <m:e>
            <m:r>
              <m:t>γ</m:t>
            </m:r>
          </m:e>
          <m:sub>
            <m:r>
              <m:t>n</m:t>
            </m:r>
          </m:sub>
        </m:sSub>
        <m:r>
          <m:rPr>
            <m:sty m:val="p"/>
          </m:rPr>
          <m:t>=</m:t>
        </m:r>
        <m:r>
          <m:t>n</m:t>
        </m:r>
        <m:r>
          <m:t>u</m:t>
        </m:r>
        <m:r>
          <m:rPr>
            <m:sty m:val="p"/>
          </m:rPr>
          <m:t>/</m:t>
        </m:r>
        <m:d>
          <m:dPr>
            <m:begChr m:val="("/>
            <m:endChr m:val=")"/>
            <m:sepChr m:val=""/>
            <m:grow/>
          </m:dPr>
          <m:e>
            <m:r>
              <m:t>1</m:t>
            </m:r>
            <m:r>
              <m:rPr>
                <m:sty m:val="p"/>
              </m:rPr>
              <m:t>−</m:t>
            </m:r>
            <m:r>
              <m:t>n</m:t>
            </m:r>
            <m:r>
              <m:t>u</m:t>
            </m:r>
          </m:e>
        </m:d>
      </m:oMath>
      <w:r>
        <w:t xml:space="preserve">,</w:t>
      </w:r>
      <w:r>
        <w:t xml:space="preserve"> </w:t>
      </w:r>
      <m:oMath>
        <m:sSub>
          <m:e>
            <m:r>
              <m:t>Λ</m:t>
            </m:r>
          </m:e>
          <m:sub>
            <m:r>
              <m:t>t</m:t>
            </m:r>
          </m:sub>
        </m:sSub>
        <m:r>
          <m:rPr>
            <m:sty m:val="p"/>
          </m:rPr>
          <m:t>=</m:t>
        </m:r>
        <m:nary>
          <m:naryPr>
            <m:chr m:val="∑"/>
            <m:limLoc m:val="undOvr"/>
            <m:subHide m:val="off"/>
            <m:supHide m:val="on"/>
          </m:naryPr>
          <m:sub>
            <m:r>
              <m:t>z</m:t>
            </m:r>
          </m:sub>
          <m:sup>
            <m:r>
              <m:t>​</m:t>
            </m:r>
          </m:sup>
          <m:e>
            <m:r>
              <m:rPr>
                <m:sty m:val="p"/>
              </m:rPr>
              <m:t>|</m:t>
            </m:r>
            <m:sSub>
              <m:e>
                <m:r>
                  <m:t>w</m:t>
                </m:r>
              </m:e>
              <m:sub>
                <m:r>
                  <m:t>t</m:t>
                </m:r>
                <m:r>
                  <m:rPr>
                    <m:sty m:val="p"/>
                  </m:rPr>
                  <m:t>,</m:t>
                </m:r>
                <m:r>
                  <m:t>z</m:t>
                </m:r>
              </m:sub>
            </m:sSub>
            <m:r>
              <m:rPr>
                <m:sty m:val="p"/>
              </m:rPr>
              <m:t>|</m:t>
            </m:r>
          </m:e>
        </m:nary>
      </m:oMath>
      <w:r>
        <w:t xml:space="preserve">,</w:t>
      </w:r>
      <w:r>
        <w:t xml:space="preserve"> </w:t>
      </w:r>
      <m:oMath>
        <m:sSub>
          <m:e>
            <m:r>
              <m:t>V</m:t>
            </m:r>
          </m:e>
          <m:sub>
            <m:r>
              <m:t>d</m:t>
            </m:r>
          </m:sub>
        </m:sSub>
        <m:r>
          <m:rPr>
            <m:sty m:val="p"/>
          </m:rPr>
          <m:t>=</m:t>
        </m:r>
        <m:nary>
          <m:naryPr>
            <m:chr m:val="∑"/>
            <m:limLoc m:val="undOvr"/>
            <m:subHide m:val="off"/>
            <m:supHide m:val="off"/>
          </m:naryPr>
          <m:sub>
            <m:r>
              <m:t>t</m:t>
            </m:r>
            <m:r>
              <m:rPr>
                <m:sty m:val="p"/>
              </m:rPr>
              <m:t>=</m:t>
            </m:r>
            <m:r>
              <m:t>s</m:t>
            </m:r>
          </m:sub>
          <m:sup>
            <m:r>
              <m:t>e</m:t>
            </m:r>
          </m:sup>
          <m:e>
            <m:r>
              <m:rPr>
                <m:sty m:val="p"/>
              </m:rPr>
              <m:t>|</m:t>
            </m:r>
            <m:sSub>
              <m:e>
                <m:r>
                  <m:t>v</m:t>
                </m:r>
              </m:e>
              <m:sub>
                <m:r>
                  <m:t>t</m:t>
                </m:r>
              </m:sub>
            </m:sSub>
            <m:r>
              <m:rPr>
                <m:sty m:val="p"/>
              </m:rPr>
              <m:t>|</m:t>
            </m:r>
          </m:e>
        </m:nary>
      </m:oMath>
      <w:r>
        <w:t xml:space="preserve">,</w:t>
      </w:r>
      <w:r>
        <w:t xml:space="preserve"> </w:t>
      </w:r>
      <m:oMath>
        <m:sSub>
          <m:e>
            <m:r>
              <m:t>J</m:t>
            </m:r>
          </m:e>
          <m:sub>
            <m:r>
              <m:t>d</m:t>
            </m:r>
          </m:sub>
        </m:sSub>
        <m:r>
          <m:rPr>
            <m:sty m:val="p"/>
          </m:rPr>
          <m:t>=</m:t>
        </m:r>
        <m:nary>
          <m:naryPr>
            <m:chr m:val="∑"/>
            <m:limLoc m:val="undOvr"/>
            <m:subHide m:val="off"/>
            <m:supHide m:val="off"/>
          </m:naryPr>
          <m:sub>
            <m:r>
              <m:t>t</m:t>
            </m:r>
            <m:r>
              <m:rPr>
                <m:sty m:val="p"/>
              </m:rPr>
              <m:t>=</m:t>
            </m:r>
            <m:r>
              <m:t>s</m:t>
            </m:r>
          </m:sub>
          <m:sup>
            <m:r>
              <m:t>e</m:t>
            </m:r>
          </m:sup>
          <m:e>
            <m:d>
              <m:dPr>
                <m:begChr m:val="("/>
                <m:endChr m:val=")"/>
                <m:sepChr m:val=""/>
                <m:grow/>
              </m:dPr>
              <m:e>
                <m:sSub>
                  <m:e>
                    <m:r>
                      <m:t>Λ</m:t>
                    </m:r>
                  </m:e>
                  <m:sub>
                    <m:r>
                      <m:t>t</m:t>
                    </m:r>
                  </m:sub>
                </m:sSub>
                <m:r>
                  <m:rPr>
                    <m:sty m:val="p"/>
                  </m:rPr>
                  <m:t>+</m:t>
                </m:r>
                <m:sSub>
                  <m:e>
                    <m:r>
                      <m:t>Λ</m:t>
                    </m:r>
                  </m:e>
                  <m:sub>
                    <m:r>
                      <m:t>t</m:t>
                    </m:r>
                    <m:r>
                      <m:rPr>
                        <m:sty m:val="p"/>
                      </m:rPr>
                      <m:t>−</m:t>
                    </m:r>
                    <m:r>
                      <m:t>1</m:t>
                    </m:r>
                  </m:sub>
                </m:sSub>
              </m:e>
            </m:d>
          </m:e>
        </m:nary>
      </m:oMath>
      <w:r>
        <w:t xml:space="preserve"> </w:t>
      </w:r>
      <w:r>
        <w:t xml:space="preserve">and</w:t>
      </w:r>
      <w:r>
        <w:t xml:space="preserve"> </w:t>
      </w:r>
      <m:oMath>
        <m:r>
          <m:t>m</m:t>
        </m:r>
        <m:r>
          <m:rPr>
            <m:sty m:val="p"/>
          </m:rPr>
          <m:t>=</m:t>
        </m:r>
        <m:r>
          <m:t>e</m:t>
        </m:r>
        <m:r>
          <m:rPr>
            <m:sty m:val="p"/>
          </m:rPr>
          <m:t>−</m:t>
        </m:r>
        <m:r>
          <m:t>s</m:t>
        </m:r>
        <m:r>
          <m:rPr>
            <m:sty m:val="p"/>
          </m:rPr>
          <m:t>+</m:t>
        </m:r>
        <m:r>
          <m:t>1</m:t>
        </m:r>
      </m:oMath>
      <w:r>
        <w:t xml:space="preserve">. The verified error coefficients are</w:t>
      </w:r>
    </w:p>
    <w:p>
      <w:pPr>
        <w:keepLines/>
        <w:widowControl/>
        <w:spacing w:after="120" w:before="80"/>
        <w:jc w:val="center"/>
      </w:pPr>
      <m:oMathPara>
        <m:oMathParaPr>
          <m:jc m:val="center"/>
        </m:oMathParaPr>
        <m:oMath>
          <m:sSub>
            <m:e>
              <m:r>
                <m:t>a</m:t>
              </m:r>
            </m:e>
            <m:sub>
              <m:r>
                <m:t>d</m:t>
              </m:r>
            </m:sub>
          </m:sSub>
          <m:r>
            <m:rPr>
              <m:sty m:val="p"/>
            </m:rPr>
            <m:t>=</m:t>
          </m:r>
          <m:d>
            <m:dPr>
              <m:begChr m:val="("/>
              <m:endChr m:val=")"/>
              <m:sepChr m:val=""/>
              <m:grow/>
            </m:dPr>
            <m:e>
              <m:r>
                <m:t>u</m:t>
              </m:r>
              <m:r>
                <m:rPr>
                  <m:sty m:val="p"/>
                </m:rPr>
                <m:t>+</m:t>
              </m:r>
              <m:sSub>
                <m:e>
                  <m:r>
                    <m:t>γ</m:t>
                  </m:r>
                </m:e>
                <m:sub>
                  <m:r>
                    <m:t>m</m:t>
                  </m:r>
                </m:sub>
              </m:sSub>
              <m:d>
                <m:dPr>
                  <m:begChr m:val="("/>
                  <m:endChr m:val=")"/>
                  <m:sepChr m:val=""/>
                  <m:grow/>
                </m:dPr>
                <m:e>
                  <m:r>
                    <m:t>1</m:t>
                  </m:r>
                  <m:r>
                    <m:rPr>
                      <m:sty m:val="p"/>
                    </m:rPr>
                    <m:t>+</m:t>
                  </m:r>
                  <m:r>
                    <m:t>u</m:t>
                  </m:r>
                </m:e>
              </m:d>
            </m:e>
          </m:d>
          <m:sSub>
            <m:e>
              <m:r>
                <m:t>V</m:t>
              </m:r>
            </m:e>
            <m:sub>
              <m:r>
                <m:t>d</m:t>
              </m:r>
            </m:sub>
          </m:sSub>
          <m:r>
            <m:rPr>
              <m:sty m:val="p"/>
            </m:rPr>
            <m:t>+</m:t>
          </m:r>
          <m:sSub>
            <m:e>
              <m:r>
                <m:t>ϵ</m:t>
              </m:r>
            </m:e>
            <m:sub>
              <m:r>
                <m:rPr>
                  <m:sty m:val="p"/>
                </m:rPr>
                <m:t>C</m:t>
              </m:r>
              <m:r>
                <m:rPr>
                  <m:sty m:val="p"/>
                </m:rPr>
                <m:t>S</m:t>
              </m:r>
              <m:r>
                <m:rPr>
                  <m:sty m:val="p"/>
                </m:rPr>
                <m:t>V</m:t>
              </m:r>
              <m:r>
                <m:rPr>
                  <m:sty m:val="p"/>
                </m:rPr>
                <m:t>,</m:t>
              </m:r>
              <m:r>
                <m:t>d</m:t>
              </m:r>
            </m:sub>
          </m:sSub>
          <m:r>
            <m:rPr>
              <m:sty m:val="p"/>
            </m:rPr>
            <m:t>+</m:t>
          </m:r>
          <m:sSup>
            <m:e>
              <m:r>
                <m:t>10</m:t>
              </m:r>
            </m:e>
            <m:sup>
              <m:r>
                <m:rPr>
                  <m:sty m:val="p"/>
                </m:rPr>
                <m:t>−</m:t>
              </m:r>
              <m:r>
                <m:t>100</m:t>
              </m:r>
            </m:sup>
          </m:sSup>
          <m:r>
            <m:rPr>
              <m:sty m:val="p"/>
            </m:rPr>
            <m:t>,</m:t>
          </m:r>
          <m:r>
            <m:t>  </m:t>
          </m:r>
          <m:r>
            <m:rPr>
              <m:nor/>
              <m:sty m:val="p"/>
            </m:rPr>
            <m:t>(S27.12a)</m:t>
          </m:r>
        </m:oMath>
      </m:oMathPara>
    </w:p>
    <w:p>
      <w:pPr>
        <w:keepLines/>
        <w:widowControl/>
        <w:spacing w:after="120" w:before="80"/>
        <w:jc w:val="center"/>
      </w:pPr>
      <m:oMathPara>
        <m:oMathParaPr>
          <m:jc m:val="center"/>
        </m:oMathParaPr>
        <m:oMath>
          <m:sSub>
            <m:e>
              <m:r>
                <m:t>b</m:t>
              </m:r>
            </m:e>
            <m:sub>
              <m:r>
                <m:t>d</m:t>
              </m:r>
            </m:sub>
          </m:sSub>
          <m:r>
            <m:rPr>
              <m:sty m:val="p"/>
            </m:rPr>
            <m:t>=</m:t>
          </m:r>
          <m:sSub>
            <m:e>
              <m:r>
                <m:t>γ</m:t>
              </m:r>
            </m:e>
            <m:sub>
              <m:r>
                <m:t>6</m:t>
              </m:r>
            </m:sub>
          </m:sSub>
          <m:d>
            <m:dPr>
              <m:begChr m:val="("/>
              <m:endChr m:val=")"/>
              <m:sepChr m:val=""/>
              <m:grow/>
            </m:dPr>
            <m:e>
              <m:sSub>
                <m:e>
                  <m:r>
                    <m:t>Λ</m:t>
                  </m:r>
                </m:e>
                <m:sub>
                  <m:r>
                    <m:t>e</m:t>
                  </m:r>
                </m:sub>
              </m:sSub>
              <m:r>
                <m:rPr>
                  <m:sty m:val="p"/>
                </m:rPr>
                <m:t>+</m:t>
              </m:r>
              <m:sSub>
                <m:e>
                  <m:r>
                    <m:t>Λ</m:t>
                  </m:r>
                </m:e>
                <m:sub>
                  <m:r>
                    <m:t>s</m:t>
                  </m:r>
                  <m:r>
                    <m:rPr>
                      <m:sty m:val="p"/>
                    </m:rPr>
                    <m:t>−</m:t>
                  </m:r>
                  <m:r>
                    <m:t>1</m:t>
                  </m:r>
                </m:sub>
              </m:sSub>
            </m:e>
          </m:d>
          <m:r>
            <m:rPr>
              <m:sty m:val="p"/>
            </m:rPr>
            <m:t>+</m:t>
          </m:r>
          <m:d>
            <m:dPr>
              <m:begChr m:val="("/>
              <m:endChr m:val=")"/>
              <m:sepChr m:val=""/>
              <m:grow/>
            </m:dPr>
            <m:e>
              <m:r>
                <m:t>u</m:t>
              </m:r>
              <m:d>
                <m:dPr>
                  <m:begChr m:val="("/>
                  <m:endChr m:val=")"/>
                  <m:sepChr m:val=""/>
                  <m:grow/>
                </m:dPr>
                <m:e>
                  <m:r>
                    <m:t>2</m:t>
                  </m:r>
                  <m:r>
                    <m:rPr>
                      <m:sty m:val="p"/>
                    </m:rPr>
                    <m:t>+</m:t>
                  </m:r>
                  <m:r>
                    <m:t>u</m:t>
                  </m:r>
                </m:e>
              </m:d>
              <m:d>
                <m:dPr>
                  <m:begChr m:val="("/>
                  <m:endChr m:val=")"/>
                  <m:sepChr m:val=""/>
                  <m:grow/>
                </m:dPr>
                <m:e>
                  <m:r>
                    <m:t>1</m:t>
                  </m:r>
                  <m:r>
                    <m:rPr>
                      <m:sty m:val="p"/>
                    </m:rPr>
                    <m:t>+</m:t>
                  </m:r>
                  <m:sSub>
                    <m:e>
                      <m:r>
                        <m:t>γ</m:t>
                      </m:r>
                    </m:e>
                    <m:sub>
                      <m:r>
                        <m:t>6</m:t>
                      </m:r>
                    </m:sub>
                  </m:sSub>
                </m:e>
              </m:d>
              <m:r>
                <m:rPr>
                  <m:sty m:val="p"/>
                </m:rPr>
                <m:t>+</m:t>
              </m:r>
              <m:sSub>
                <m:e>
                  <m:r>
                    <m:t>γ</m:t>
                  </m:r>
                </m:e>
                <m:sub>
                  <m:r>
                    <m:t>m</m:t>
                  </m:r>
                </m:sub>
              </m:sSub>
              <m:sSup>
                <m:e>
                  <m:d>
                    <m:dPr>
                      <m:begChr m:val="("/>
                      <m:endChr m:val=")"/>
                      <m:sepChr m:val=""/>
                      <m:grow/>
                    </m:dPr>
                    <m:e>
                      <m:r>
                        <m:t>1</m:t>
                      </m:r>
                      <m:r>
                        <m:rPr>
                          <m:sty m:val="p"/>
                        </m:rPr>
                        <m:t>+</m:t>
                      </m:r>
                      <m:r>
                        <m:t>u</m:t>
                      </m:r>
                    </m:e>
                  </m:d>
                </m:e>
                <m:sup>
                  <m:r>
                    <m:t>2</m:t>
                  </m:r>
                </m:sup>
              </m:sSup>
              <m:d>
                <m:dPr>
                  <m:begChr m:val="("/>
                  <m:endChr m:val=")"/>
                  <m:sepChr m:val=""/>
                  <m:grow/>
                </m:dPr>
                <m:e>
                  <m:r>
                    <m:t>1</m:t>
                  </m:r>
                  <m:r>
                    <m:rPr>
                      <m:sty m:val="p"/>
                    </m:rPr>
                    <m:t>+</m:t>
                  </m:r>
                  <m:sSub>
                    <m:e>
                      <m:r>
                        <m:t>γ</m:t>
                      </m:r>
                    </m:e>
                    <m:sub>
                      <m:r>
                        <m:t>6</m:t>
                      </m:r>
                    </m:sub>
                  </m:sSub>
                </m:e>
              </m:d>
            </m:e>
          </m:d>
          <m:sSub>
            <m:e>
              <m:r>
                <m:t>J</m:t>
              </m:r>
            </m:e>
            <m:sub>
              <m:r>
                <m:t>d</m:t>
              </m:r>
            </m:sub>
          </m:sSub>
          <m:r>
            <m:rPr>
              <m:sty m:val="p"/>
            </m:rPr>
            <m:t>.</m:t>
          </m:r>
          <m:r>
            <m:t>  </m:t>
          </m:r>
          <m:r>
            <m:rPr>
              <m:nor/>
              <m:sty m:val="p"/>
            </m:rPr>
            <m:t>(S27.12b)</m:t>
          </m:r>
        </m:oMath>
      </m:oMathPara>
    </w:p>
    <w:p>
      <w:pPr>
        <w:widowControl/>
        <w:spacing w:after="100"/>
      </w:pPr>
      <w:r>
        <w:t xml:space="preserve">To obtain this enclosure, the debt computation contributes at most</w:t>
      </w:r>
      <w:r>
        <w:t xml:space="preserve"> </w:t>
      </w:r>
      <m:oMath>
        <m:sSub>
          <m:e>
            <m:r>
              <m:t>γ</m:t>
            </m:r>
          </m:e>
          <m:sub>
            <m:r>
              <m:t>6</m:t>
            </m:r>
          </m:sub>
        </m:sSub>
        <m:sSub>
          <m:e>
            <m:r>
              <m:t>Λ</m:t>
            </m:r>
          </m:e>
          <m:sub>
            <m:r>
              <m:t>t</m:t>
            </m:r>
          </m:sub>
        </m:sSub>
        <m:r>
          <m:rPr>
            <m:sty m:val="p"/>
          </m:rPr>
          <m:t>∥</m:t>
        </m:r>
        <m:r>
          <m:t>ρ</m:t>
        </m:r>
        <m:sSub>
          <m:e>
            <m:r>
              <m:rPr>
                <m:sty m:val="p"/>
              </m:rPr>
              <m:t>∥</m:t>
            </m:r>
          </m:e>
          <m:sub>
            <m:r>
              <m:rPr>
                <m:sty m:val="p"/>
              </m:rPr>
              <m:t>∞</m:t>
            </m:r>
          </m:sub>
        </m:sSub>
      </m:oMath>
      <w:r>
        <w:t xml:space="preserve"> </w:t>
      </w:r>
      <w:r>
        <w:t xml:space="preserve">per interval. Summed exact debt differences telescope, leaving only the two endpoint debt errors. The remaining subtraction errors contribute the</w:t>
      </w:r>
      <w:r>
        <w:t xml:space="preserve"> </w:t>
      </w:r>
      <m:oMath>
        <m:r>
          <m:t>u</m:t>
        </m:r>
      </m:oMath>
      <w:r>
        <w:t xml:space="preserve"> </w:t>
      </w:r>
      <w:r>
        <w:t xml:space="preserve">and</w:t>
      </w:r>
      <w:r>
        <w:t xml:space="preserve"> </w:t>
      </w:r>
      <m:oMath>
        <m:r>
          <m:t>u</m:t>
        </m:r>
        <m:d>
          <m:dPr>
            <m:begChr m:val="("/>
            <m:endChr m:val=")"/>
            <m:sepChr m:val=""/>
            <m:grow/>
          </m:dPr>
          <m:e>
            <m:r>
              <m:t>2</m:t>
            </m:r>
            <m:r>
              <m:rPr>
                <m:sty m:val="p"/>
              </m:rPr>
              <m:t>+</m:t>
            </m:r>
            <m:r>
              <m:t>u</m:t>
            </m:r>
          </m:e>
        </m:d>
      </m:oMath>
      <w:r>
        <w:t xml:space="preserve"> </w:t>
      </w:r>
      <w:r>
        <w:t xml:space="preserve">factors, and the daily reduction contributes</w:t>
      </w:r>
      <w:r>
        <w:t xml:space="preserve"> </w:t>
      </w:r>
      <m:oMath>
        <m:sSub>
          <m:e>
            <m:r>
              <m:t>γ</m:t>
            </m:r>
          </m:e>
          <m:sub>
            <m:r>
              <m:t>m</m:t>
            </m:r>
          </m:sub>
        </m:sSub>
      </m:oMath>
      <w:r>
        <w:t xml:space="preserve">. The positive</w:t>
      </w:r>
      <w:r>
        <w:t xml:space="preserve"> </w:t>
      </w:r>
      <m:oMath>
        <m:sSup>
          <m:e>
            <m:r>
              <m:t>10</m:t>
            </m:r>
          </m:e>
          <m:sup>
            <m:r>
              <m:rPr>
                <m:sty m:val="p"/>
              </m:rPr>
              <m:t>−</m:t>
            </m:r>
            <m:r>
              <m:t>100</m:t>
            </m:r>
          </m:sup>
        </m:sSup>
      </m:oMath>
      <w:r>
        <w:t xml:space="preserve"> </w:t>
      </w:r>
      <w:r>
        <w:t xml:space="preserve">reserve covers subnormal effects in these finite nominal calculations; the declared maximum PUE is an order-one positive number.</w:t>
      </w:r>
    </w:p>
    <w:p>
      <w:pPr>
        <w:widowControl/>
        <w:spacing w:after="100"/>
      </w:pPr>
      <w:r>
        <w:t xml:space="preserve">The intermediate CSV parse is explicitly included. The retained official parser source uses at most 17 digits, at most 34 positive Horner operations, cached decimal powers and at most two divisions. A</w:t>
      </w:r>
      <w:r>
        <w:t xml:space="preserve"> </w:t>
      </w:r>
      <m:oMath>
        <m:sSub>
          <m:e>
            <m:r>
              <m:t>γ</m:t>
            </m:r>
          </m:e>
          <m:sub>
            <m:r>
              <m:t>40</m:t>
            </m:r>
          </m:sub>
        </m:sSub>
      </m:oMath>
      <w:r>
        <w:t xml:space="preserve"> </w:t>
      </w:r>
      <w:r>
        <w:t xml:space="preserve">relative allowance covers these operations. Shortest round-trip rendering contributes a conservative</w:t>
      </w:r>
      <w:r>
        <w:t xml:space="preserve"> </w:t>
      </w:r>
      <m:oMath>
        <m:sSub>
          <m:e>
            <m:r>
              <m:t>γ</m:t>
            </m:r>
          </m:e>
          <m:sub>
            <m:r>
              <m:t>2</m:t>
            </m:r>
          </m:sub>
        </m:sSub>
      </m:oMath>
      <w:r>
        <w:t xml:space="preserve"> </w:t>
      </w:r>
      <w:r>
        <w:t xml:space="preserve">relative allowance. Counting the leading zero against the parser’s digit limit can additionally discard less than</w:t>
      </w:r>
      <w:r>
        <w:t xml:space="preserve"> </w:t>
      </w:r>
      <m:oMath>
        <m:sSup>
          <m:e>
            <m:r>
              <m:t>10</m:t>
            </m:r>
          </m:e>
          <m:sup>
            <m:r>
              <m:rPr>
                <m:sty m:val="p"/>
              </m:rPr>
              <m:t>−</m:t>
            </m:r>
            <m:r>
              <m:t>16</m:t>
            </m:r>
          </m:sup>
        </m:sSup>
      </m:oMath>
      <w:r>
        <w:t xml:space="preserve"> </w:t>
      </w:r>
      <w:r>
        <w:t xml:space="preserve">in fixed notation below one. Thus</w:t>
      </w:r>
    </w:p>
    <w:p>
      <w:pPr>
        <w:keepLines/>
        <w:widowControl/>
        <w:spacing w:after="120" w:before="80"/>
        <w:jc w:val="center"/>
      </w:pPr>
      <m:oMathPara>
        <m:oMathParaPr>
          <m:jc m:val="center"/>
        </m:oMathParaPr>
        <m:oMath>
          <m:m>
            <m:mPr>
              <m:baseJc m:val="center"/>
              <m:plcHide m:val="on"/>
              <m:mcs>
                <m:mc>
                  <m:mcPr>
                    <m:mcJc m:val="right"/>
                    <m:count m:val="1"/>
                  </m:mcPr>
                </m:mc>
                <m:mc>
                  <m:mcPr>
                    <m:mcJc m:val="left"/>
                    <m:count m:val="1"/>
                  </m:mcPr>
                </m:mc>
              </m:mcs>
            </m:mPr>
            <m:mr>
              <m:e>
                <m:r>
                  <m:t>η</m:t>
                </m:r>
              </m:e>
              <m:e>
                <m:r>
                  <m:rPr>
                    <m:sty m:val="p"/>
                  </m:rPr>
                  <m:t>=</m:t>
                </m:r>
                <m:d>
                  <m:dPr>
                    <m:begChr m:val="("/>
                    <m:endChr m:val=")"/>
                    <m:sepChr m:val=""/>
                    <m:grow/>
                  </m:dPr>
                  <m:e>
                    <m:r>
                      <m:t>1</m:t>
                    </m:r>
                    <m:r>
                      <m:rPr>
                        <m:sty m:val="p"/>
                      </m:rPr>
                      <m:t>+</m:t>
                    </m:r>
                    <m:sSub>
                      <m:e>
                        <m:r>
                          <m:t>γ</m:t>
                        </m:r>
                      </m:e>
                      <m:sub>
                        <m:r>
                          <m:t>2</m:t>
                        </m:r>
                      </m:sub>
                    </m:sSub>
                  </m:e>
                </m:d>
                <m:d>
                  <m:dPr>
                    <m:begChr m:val="("/>
                    <m:endChr m:val=")"/>
                    <m:sepChr m:val=""/>
                    <m:grow/>
                  </m:dPr>
                  <m:e>
                    <m:r>
                      <m:t>1</m:t>
                    </m:r>
                    <m:r>
                      <m:rPr>
                        <m:sty m:val="p"/>
                      </m:rPr>
                      <m:t>+</m:t>
                    </m:r>
                    <m:sSub>
                      <m:e>
                        <m:r>
                          <m:t>γ</m:t>
                        </m:r>
                      </m:e>
                      <m:sub>
                        <m:r>
                          <m:t>40</m:t>
                        </m:r>
                      </m:sub>
                    </m:sSub>
                  </m:e>
                </m:d>
                <m:r>
                  <m:rPr>
                    <m:sty m:val="p"/>
                  </m:rPr>
                  <m:t>−</m:t>
                </m:r>
                <m:r>
                  <m:t>1</m:t>
                </m:r>
                <m:r>
                  <m:rPr>
                    <m:sty m:val="p"/>
                  </m:rPr>
                  <m:t>,</m:t>
                </m:r>
                <m:r>
                  <m:t>  </m:t>
                </m:r>
                <m:r>
                  <m:t>δ</m:t>
                </m:r>
                <m:r>
                  <m:rPr>
                    <m:sty m:val="p"/>
                  </m:rPr>
                  <m:t>=</m:t>
                </m:r>
                <m:d>
                  <m:dPr>
                    <m:begChr m:val="("/>
                    <m:endChr m:val=")"/>
                    <m:sepChr m:val=""/>
                    <m:grow/>
                  </m:dPr>
                  <m:e>
                    <m:r>
                      <m:t>1</m:t>
                    </m:r>
                    <m:r>
                      <m:rPr>
                        <m:sty m:val="p"/>
                      </m:rPr>
                      <m:t>+</m:t>
                    </m:r>
                    <m:sSub>
                      <m:e>
                        <m:r>
                          <m:t>γ</m:t>
                        </m:r>
                      </m:e>
                      <m:sub>
                        <m:r>
                          <m:t>40</m:t>
                        </m:r>
                      </m:sub>
                    </m:sSub>
                  </m:e>
                </m:d>
                <m:sSup>
                  <m:e>
                    <m:r>
                      <m:t>10</m:t>
                    </m:r>
                  </m:e>
                  <m:sup>
                    <m:r>
                      <m:rPr>
                        <m:sty m:val="p"/>
                      </m:rPr>
                      <m:t>−</m:t>
                    </m:r>
                    <m:r>
                      <m:t>16</m:t>
                    </m:r>
                  </m:sup>
                </m:sSup>
                <m:r>
                  <m:rPr>
                    <m:sty m:val="p"/>
                  </m:rPr>
                  <m:t>+</m:t>
                </m:r>
                <m:sSup>
                  <m:e>
                    <m:r>
                      <m:t>10</m:t>
                    </m:r>
                  </m:e>
                  <m:sup>
                    <m:r>
                      <m:rPr>
                        <m:sty m:val="p"/>
                      </m:rPr>
                      <m:t>−</m:t>
                    </m:r>
                    <m:r>
                      <m:t>300</m:t>
                    </m:r>
                  </m:sup>
                </m:sSup>
                <m:r>
                  <m:rPr>
                    <m:sty m:val="p"/>
                  </m:rPr>
                  <m:t>,</m:t>
                </m:r>
              </m:e>
            </m:mr>
            <m:mr>
              <m:e>
                <m:sSub>
                  <m:e>
                    <m:r>
                      <m:t>ϵ</m:t>
                    </m:r>
                  </m:e>
                  <m:sub>
                    <m:r>
                      <m:rPr>
                        <m:sty m:val="p"/>
                      </m:rPr>
                      <m:t>C</m:t>
                    </m:r>
                    <m:r>
                      <m:rPr>
                        <m:sty m:val="p"/>
                      </m:rPr>
                      <m:t>S</m:t>
                    </m:r>
                    <m:r>
                      <m:rPr>
                        <m:sty m:val="p"/>
                      </m:rPr>
                      <m:t>V</m:t>
                    </m:r>
                    <m:r>
                      <m:rPr>
                        <m:sty m:val="p"/>
                      </m:rPr>
                      <m:t>,</m:t>
                    </m:r>
                    <m:r>
                      <m:t>d</m:t>
                    </m:r>
                  </m:sub>
                </m:sSub>
              </m:e>
              <m:e>
                <m:r>
                  <m:rPr>
                    <m:sty m:val="p"/>
                  </m:rPr>
                  <m:t>=</m:t>
                </m:r>
                <m:f>
                  <m:fPr>
                    <m:type m:val="bar"/>
                  </m:fPr>
                  <m:num>
                    <m:r>
                      <m:t>η</m:t>
                    </m:r>
                    <m:r>
                      <m:rPr>
                        <m:sty m:val="p"/>
                      </m:rPr>
                      <m:t>|</m:t>
                    </m:r>
                    <m:sSub>
                      <m:e>
                        <m:r>
                          <m:t>y</m:t>
                        </m:r>
                      </m:e>
                      <m:sub>
                        <m:r>
                          <m:t>d</m:t>
                        </m:r>
                      </m:sub>
                    </m:sSub>
                    <m:r>
                      <m:rPr>
                        <m:sty m:val="p"/>
                      </m:rPr>
                      <m:t>|</m:t>
                    </m:r>
                    <m:r>
                      <m:rPr>
                        <m:sty m:val="p"/>
                      </m:rPr>
                      <m:t>+</m:t>
                    </m:r>
                    <m:r>
                      <m:t>δ</m:t>
                    </m:r>
                  </m:num>
                  <m:den>
                    <m:r>
                      <m:t>1</m:t>
                    </m:r>
                    <m:r>
                      <m:rPr>
                        <m:sty m:val="p"/>
                      </m:rPr>
                      <m:t>−</m:t>
                    </m:r>
                    <m:r>
                      <m:t>η</m:t>
                    </m:r>
                  </m:den>
                </m:f>
                <m:r>
                  <m:rPr>
                    <m:sty m:val="p"/>
                  </m:rPr>
                  <m:t>.</m:t>
                </m:r>
              </m:e>
            </m:mr>
          </m:m>
          <m:r>
            <m:t>  </m:t>
          </m:r>
          <m:r>
            <m:rPr>
              <m:nor/>
              <m:sty m:val="p"/>
            </m:rPr>
            <m:t>(S27.13)</m:t>
          </m:r>
        </m:oMath>
      </m:oMathPara>
    </w:p>
    <w:p>
      <w:pPr>
        <w:widowControl/>
        <w:spacing w:after="100"/>
      </w:pPr>
      <w:r>
        <w:t xml:space="preserve">Indeed, if</w:t>
      </w:r>
      <w:r>
        <w:t xml:space="preserve"> </w:t>
      </w:r>
      <m:oMath>
        <m:sSubSup>
          <m:e>
            <m:r>
              <m:t>y</m:t>
            </m:r>
          </m:e>
          <m:sub>
            <m:r>
              <m:t>d</m:t>
            </m:r>
          </m:sub>
          <m:sup>
            <m:r>
              <m:t>0</m:t>
            </m:r>
          </m:sup>
        </m:sSubSup>
      </m:oMath>
      <w:r>
        <w:t xml:space="preserve"> </w:t>
      </w:r>
      <w:r>
        <w:t xml:space="preserve">is the unknown original daily sum, then</w:t>
      </w:r>
      <w:r>
        <w:t xml:space="preserve"> </w:t>
      </w:r>
      <m:oMath>
        <m:r>
          <m:rPr>
            <m:sty m:val="p"/>
          </m:rPr>
          <m:t>|</m:t>
        </m:r>
        <m:sSub>
          <m:e>
            <m:r>
              <m:t>y</m:t>
            </m:r>
          </m:e>
          <m:sub>
            <m:r>
              <m:t>d</m:t>
            </m:r>
          </m:sub>
        </m:sSub>
        <m:r>
          <m:rPr>
            <m:sty m:val="p"/>
          </m:rPr>
          <m:t>−</m:t>
        </m:r>
        <m:sSubSup>
          <m:e>
            <m:r>
              <m:t>y</m:t>
            </m:r>
          </m:e>
          <m:sub>
            <m:r>
              <m:t>d</m:t>
            </m:r>
          </m:sub>
          <m:sup>
            <m:r>
              <m:t>0</m:t>
            </m:r>
          </m:sup>
        </m:sSubSup>
        <m:r>
          <m:rPr>
            <m:sty m:val="p"/>
          </m:rPr>
          <m:t>|</m:t>
        </m:r>
        <m:r>
          <m:rPr>
            <m:sty m:val="p"/>
          </m:rPr>
          <m:t>≤</m:t>
        </m:r>
        <m:r>
          <m:t>η</m:t>
        </m:r>
        <m:r>
          <m:rPr>
            <m:sty m:val="p"/>
          </m:rPr>
          <m:t>|</m:t>
        </m:r>
        <m:sSubSup>
          <m:e>
            <m:r>
              <m:t>y</m:t>
            </m:r>
          </m:e>
          <m:sub>
            <m:r>
              <m:t>d</m:t>
            </m:r>
          </m:sub>
          <m:sup>
            <m:r>
              <m:t>0</m:t>
            </m:r>
          </m:sup>
        </m:sSubSup>
        <m:r>
          <m:rPr>
            <m:sty m:val="p"/>
          </m:rPr>
          <m:t>|</m:t>
        </m:r>
        <m:r>
          <m:rPr>
            <m:sty m:val="p"/>
          </m:rPr>
          <m:t>+</m:t>
        </m:r>
        <m:r>
          <m:t>δ</m:t>
        </m:r>
      </m:oMath>
      <w:r>
        <w:t xml:space="preserve">. Applying</w:t>
      </w:r>
      <w:r>
        <w:t xml:space="preserve"> </w:t>
      </w:r>
      <m:oMath>
        <m:r>
          <m:rPr>
            <m:sty m:val="p"/>
          </m:rPr>
          <m:t>|</m:t>
        </m:r>
        <m:sSubSup>
          <m:e>
            <m:r>
              <m:t>y</m:t>
            </m:r>
          </m:e>
          <m:sub>
            <m:r>
              <m:t>d</m:t>
            </m:r>
          </m:sub>
          <m:sup>
            <m:r>
              <m:t>0</m:t>
            </m:r>
          </m:sup>
        </m:sSubSup>
        <m:r>
          <m:rPr>
            <m:sty m:val="p"/>
          </m:rPr>
          <m:t>|</m:t>
        </m:r>
        <m:r>
          <m:rPr>
            <m:sty m:val="p"/>
          </m:rPr>
          <m:t>≤</m:t>
        </m:r>
        <m:r>
          <m:rPr>
            <m:sty m:val="p"/>
          </m:rPr>
          <m:t>|</m:t>
        </m:r>
        <m:sSub>
          <m:e>
            <m:r>
              <m:t>y</m:t>
            </m:r>
          </m:e>
          <m:sub>
            <m:r>
              <m:t>d</m:t>
            </m:r>
          </m:sub>
        </m:sSub>
        <m:r>
          <m:rPr>
            <m:sty m:val="p"/>
          </m:rPr>
          <m:t>|</m:t>
        </m:r>
        <m:r>
          <m:rPr>
            <m:sty m:val="p"/>
          </m:rPr>
          <m:t>+</m:t>
        </m:r>
        <m:r>
          <m:rPr>
            <m:sty m:val="p"/>
          </m:rPr>
          <m:t>|</m:t>
        </m:r>
        <m:sSub>
          <m:e>
            <m:r>
              <m:t>y</m:t>
            </m:r>
          </m:e>
          <m:sub>
            <m:r>
              <m:t>d</m:t>
            </m:r>
          </m:sub>
        </m:sSub>
        <m:r>
          <m:rPr>
            <m:sty m:val="p"/>
          </m:rPr>
          <m:t>−</m:t>
        </m:r>
        <m:sSubSup>
          <m:e>
            <m:r>
              <m:t>y</m:t>
            </m:r>
          </m:e>
          <m:sub>
            <m:r>
              <m:t>d</m:t>
            </m:r>
          </m:sub>
          <m:sup>
            <m:r>
              <m:t>0</m:t>
            </m:r>
          </m:sup>
        </m:sSubSup>
        <m:r>
          <m:rPr>
            <m:sty m:val="p"/>
          </m:rPr>
          <m:t>|</m:t>
        </m:r>
      </m:oMath>
      <w:r>
        <w:t xml:space="preserve"> </w:t>
      </w:r>
      <w:r>
        <w:t xml:space="preserve">yields the displayed computable bound. The largest selected-row CSV allowance is below US$3.686×10⁻¹¹. Default parsing is therefore not assumed correctly rounded.</w:t>
      </w:r>
    </w:p>
    <w:p>
      <w:pPr>
        <w:widowControl/>
        <w:spacing w:after="100"/>
      </w:pPr>
      <w:r>
        <w:t xml:space="preserve">Four rows are selected by pivoted QR only as a discovery step. They are seed 20260922 on 25 July, 6 January and 27 June 2025, and seed 20260921 on 18 August 2025. The matrix, right-hand side and inverse are then reconstructed and checked exactly. Let</w:t>
      </w:r>
      <w:r>
        <w:t xml:space="preserve"> </w:t>
      </w:r>
      <m:oMath>
        <m:acc>
          <m:accPr>
            <m:chr m:val="̂"/>
          </m:accPr>
          <m:e>
            <m:r>
              <m:t>ρ</m:t>
            </m:r>
          </m:e>
        </m:acc>
        <m:r>
          <m:rPr>
            <m:sty m:val="p"/>
          </m:rPr>
          <m:t>=</m:t>
        </m:r>
        <m:sSup>
          <m:e>
            <m:r>
              <m:t>M</m:t>
            </m:r>
          </m:e>
          <m:sup>
            <m:r>
              <m:rPr>
                <m:sty m:val="p"/>
              </m:rPr>
              <m:t>−</m:t>
            </m:r>
            <m:r>
              <m:t>1</m:t>
            </m:r>
          </m:sup>
        </m:sSup>
        <m:r>
          <m:t>d</m:t>
        </m:r>
      </m:oMath>
      <w:r>
        <w:t xml:space="preserve">,</w:t>
      </w:r>
      <w:r>
        <w:t xml:space="preserve"> </w:t>
      </w:r>
      <m:oMath>
        <m:r>
          <m:t>κ</m:t>
        </m:r>
        <m:r>
          <m:rPr>
            <m:sty m:val="p"/>
          </m:rPr>
          <m:t>=</m:t>
        </m:r>
        <m:r>
          <m:rPr>
            <m:sty m:val="p"/>
          </m:rPr>
          <m:t>∥</m:t>
        </m:r>
        <m:sSup>
          <m:e>
            <m:r>
              <m:t>M</m:t>
            </m:r>
          </m:e>
          <m:sup>
            <m:r>
              <m:rPr>
                <m:sty m:val="p"/>
              </m:rPr>
              <m:t>−</m:t>
            </m:r>
            <m:r>
              <m:t>1</m:t>
            </m:r>
          </m:sup>
        </m:sSup>
        <m:sSub>
          <m:e>
            <m:r>
              <m:rPr>
                <m:sty m:val="p"/>
              </m:rPr>
              <m:t>∥</m:t>
            </m:r>
          </m:e>
          <m:sub>
            <m:r>
              <m:rPr>
                <m:sty m:val="p"/>
              </m:rPr>
              <m:t>∞</m:t>
            </m:r>
          </m:sub>
        </m:sSub>
      </m:oMath>
      <w:r>
        <w:t xml:space="preserve">,</w:t>
      </w:r>
      <w:r>
        <w:t xml:space="preserve"> </w:t>
      </w:r>
      <m:oMath>
        <m:r>
          <m:t>a</m:t>
        </m:r>
        <m:r>
          <m:rPr>
            <m:sty m:val="p"/>
          </m:rPr>
          <m:t>=</m:t>
        </m:r>
        <m:sSub>
          <m:e>
            <m:r>
              <m:rPr>
                <m:sty m:val="p"/>
              </m:rPr>
              <m:t>max</m:t>
            </m:r>
          </m:e>
          <m:sub>
            <m:r>
              <m:t>d</m:t>
            </m:r>
          </m:sub>
        </m:sSub>
        <m:sSub>
          <m:e>
            <m:r>
              <m:t>a</m:t>
            </m:r>
          </m:e>
          <m:sub>
            <m:r>
              <m:t>d</m:t>
            </m:r>
          </m:sub>
        </m:sSub>
      </m:oMath>
      <w:r>
        <w:t xml:space="preserve"> </w:t>
      </w:r>
      <w:r>
        <w:t xml:space="preserve">and</w:t>
      </w:r>
      <w:r>
        <w:t xml:space="preserve"> </w:t>
      </w:r>
      <m:oMath>
        <m:r>
          <m:t>b</m:t>
        </m:r>
        <m:r>
          <m:rPr>
            <m:sty m:val="p"/>
          </m:rPr>
          <m:t>=</m:t>
        </m:r>
        <m:sSub>
          <m:e>
            <m:r>
              <m:rPr>
                <m:sty m:val="p"/>
              </m:rPr>
              <m:t>max</m:t>
            </m:r>
          </m:e>
          <m:sub>
            <m:r>
              <m:t>d</m:t>
            </m:r>
          </m:sub>
        </m:sSub>
        <m:sSub>
          <m:e>
            <m:r>
              <m:t>b</m:t>
            </m:r>
          </m:e>
          <m:sub>
            <m:r>
              <m:t>d</m:t>
            </m:r>
          </m:sub>
        </m:sSub>
      </m:oMath>
      <w:r>
        <w:t xml:space="preserve">. Since the exact calculation verifies</w:t>
      </w:r>
      <w:r>
        <w:t xml:space="preserve"> </w:t>
      </w:r>
      <m:oMath>
        <m:r>
          <m:t>κ</m:t>
        </m:r>
        <m:r>
          <m:t>b</m:t>
        </m:r>
        <m:r>
          <m:rPr>
            <m:sty m:val="p"/>
          </m:rPr>
          <m:t>&lt;</m:t>
        </m:r>
        <m:r>
          <m:t>1</m:t>
        </m:r>
      </m:oMath>
      <w:r>
        <w:t xml:space="preserve">, every compatible coefficient vector satisfies</w:t>
      </w:r>
    </w:p>
    <w:p>
      <w:pPr>
        <w:keepLines/>
        <w:widowControl/>
        <w:spacing w:after="120" w:before="80"/>
        <w:jc w:val="center"/>
      </w:pPr>
      <m:oMathPara>
        <m:oMathParaPr>
          <m:jc m:val="center"/>
        </m:oMathParaPr>
        <m:oMath>
          <m:m>
            <m:mPr>
              <m:baseJc m:val="center"/>
              <m:plcHide m:val="on"/>
              <m:mcs>
                <m:mc>
                  <m:mcPr>
                    <m:mcJc m:val="right"/>
                    <m:count m:val="1"/>
                  </m:mcPr>
                </m:mc>
                <m:mc>
                  <m:mcPr>
                    <m:mcJc m:val="left"/>
                    <m:count m:val="1"/>
                  </m:mcPr>
                </m:mc>
              </m:mcs>
            </m:mPr>
            <m:mr>
              <m:e>
                <m:r>
                  <m:rPr>
                    <m:sty m:val="p"/>
                  </m:rPr>
                  <m:t>∥</m:t>
                </m:r>
                <m:r>
                  <m:t>ρ</m:t>
                </m:r>
                <m:sSub>
                  <m:e>
                    <m:r>
                      <m:rPr>
                        <m:sty m:val="p"/>
                      </m:rPr>
                      <m:t>∥</m:t>
                    </m:r>
                  </m:e>
                  <m:sub>
                    <m:r>
                      <m:rPr>
                        <m:sty m:val="p"/>
                      </m:rPr>
                      <m:t>∞</m:t>
                    </m:r>
                  </m:sub>
                </m:sSub>
              </m:e>
              <m:e>
                <m:r>
                  <m:rPr>
                    <m:sty m:val="p"/>
                  </m:rPr>
                  <m:t>≤</m:t>
                </m:r>
                <m:r>
                  <m:t>T</m:t>
                </m:r>
                <m:box>
                  <m:boxPr>
                    <m:opEmu m:val="on"/>
                  </m:boxPr>
                  <m:e>
                    <m:r>
                      <m:rPr>
                        <m:sty m:val="p"/>
                      </m:rPr>
                      <m:t>:=</m:t>
                    </m:r>
                  </m:e>
                </m:box>
                <m:f>
                  <m:fPr>
                    <m:type m:val="bar"/>
                  </m:fPr>
                  <m:num>
                    <m:r>
                      <m:rPr>
                        <m:sty m:val="p"/>
                      </m:rPr>
                      <m:t>∥</m:t>
                    </m:r>
                    <m:acc>
                      <m:accPr>
                        <m:chr m:val="̂"/>
                      </m:accPr>
                      <m:e>
                        <m:r>
                          <m:t>ρ</m:t>
                        </m:r>
                      </m:e>
                    </m:acc>
                    <m:sSub>
                      <m:e>
                        <m:r>
                          <m:rPr>
                            <m:sty m:val="p"/>
                          </m:rPr>
                          <m:t>∥</m:t>
                        </m:r>
                      </m:e>
                      <m:sub>
                        <m:r>
                          <m:rPr>
                            <m:sty m:val="p"/>
                          </m:rPr>
                          <m:t>∞</m:t>
                        </m:r>
                      </m:sub>
                    </m:sSub>
                    <m:r>
                      <m:rPr>
                        <m:sty m:val="p"/>
                      </m:rPr>
                      <m:t>+</m:t>
                    </m:r>
                    <m:r>
                      <m:t>κ</m:t>
                    </m:r>
                    <m:r>
                      <m:t>a</m:t>
                    </m:r>
                  </m:num>
                  <m:den>
                    <m:r>
                      <m:t>1</m:t>
                    </m:r>
                    <m:r>
                      <m:rPr>
                        <m:sty m:val="p"/>
                      </m:rPr>
                      <m:t>−</m:t>
                    </m:r>
                    <m:r>
                      <m:t>κ</m:t>
                    </m:r>
                    <m:r>
                      <m:t>b</m:t>
                    </m:r>
                  </m:den>
                </m:f>
                <m:r>
                  <m:rPr>
                    <m:sty m:val="p"/>
                  </m:rPr>
                  <m:t>,</m:t>
                </m:r>
              </m:e>
            </m:mr>
            <m:mr>
              <m:e>
                <m:r>
                  <m:rPr>
                    <m:sty m:val="p"/>
                  </m:rPr>
                  <m:t>∥</m:t>
                </m:r>
                <m:r>
                  <m:t>ρ</m:t>
                </m:r>
                <m:r>
                  <m:rPr>
                    <m:sty m:val="p"/>
                  </m:rPr>
                  <m:t>−</m:t>
                </m:r>
                <m:acc>
                  <m:accPr>
                    <m:chr m:val="̂"/>
                  </m:accPr>
                  <m:e>
                    <m:r>
                      <m:t>ρ</m:t>
                    </m:r>
                  </m:e>
                </m:acc>
                <m:sSub>
                  <m:e>
                    <m:r>
                      <m:rPr>
                        <m:sty m:val="p"/>
                      </m:rPr>
                      <m:t>∥</m:t>
                    </m:r>
                  </m:e>
                  <m:sub>
                    <m:r>
                      <m:rPr>
                        <m:sty m:val="p"/>
                      </m:rPr>
                      <m:t>∞</m:t>
                    </m:r>
                  </m:sub>
                </m:sSub>
              </m:e>
              <m:e>
                <m:r>
                  <m:rPr>
                    <m:sty m:val="p"/>
                  </m:rPr>
                  <m:t>≤</m:t>
                </m:r>
                <m:r>
                  <m:t>κ</m:t>
                </m:r>
                <m:d>
                  <m:dPr>
                    <m:begChr m:val="("/>
                    <m:endChr m:val=")"/>
                    <m:sepChr m:val=""/>
                    <m:grow/>
                  </m:dPr>
                  <m:e>
                    <m:r>
                      <m:t>a</m:t>
                    </m:r>
                    <m:r>
                      <m:rPr>
                        <m:sty m:val="p"/>
                      </m:rPr>
                      <m:t>+</m:t>
                    </m:r>
                    <m:r>
                      <m:t>b</m:t>
                    </m:r>
                    <m:r>
                      <m:t>T</m:t>
                    </m:r>
                  </m:e>
                </m:d>
                <m:r>
                  <m:rPr>
                    <m:sty m:val="p"/>
                  </m:rPr>
                  <m:t>.</m:t>
                </m:r>
              </m:e>
            </m:mr>
          </m:m>
          <m:r>
            <m:t>  </m:t>
          </m:r>
          <m:r>
            <m:rPr>
              <m:nor/>
              <m:sty m:val="p"/>
            </m:rPr>
            <m:t>(S27.14)</m:t>
          </m:r>
        </m:oMath>
      </m:oMathPara>
    </w:p>
    <w:p>
      <w:pPr>
        <w:widowControl/>
        <w:spacing w:after="100"/>
      </w:pPr>
      <w:r>
        <w:t xml:space="preserve">This self-bound follows from</w:t>
      </w:r>
      <w:r>
        <w:t xml:space="preserve"> </w:t>
      </w:r>
      <m:oMath>
        <m:r>
          <m:t>ρ</m:t>
        </m:r>
        <m:r>
          <m:rPr>
            <m:sty m:val="p"/>
          </m:rPr>
          <m:t>=</m:t>
        </m:r>
        <m:acc>
          <m:accPr>
            <m:chr m:val="̂"/>
          </m:accPr>
          <m:e>
            <m:r>
              <m:t>ρ</m:t>
            </m:r>
          </m:e>
        </m:acc>
        <m:r>
          <m:rPr>
            <m:sty m:val="p"/>
          </m:rPr>
          <m:t>−</m:t>
        </m:r>
        <m:sSup>
          <m:e>
            <m:r>
              <m:t>M</m:t>
            </m:r>
          </m:e>
          <m:sup>
            <m:r>
              <m:rPr>
                <m:sty m:val="p"/>
              </m:rPr>
              <m:t>−</m:t>
            </m:r>
            <m:r>
              <m:t>1</m:t>
            </m:r>
          </m:sup>
        </m:sSup>
        <m:d>
          <m:dPr>
            <m:begChr m:val="("/>
            <m:endChr m:val=")"/>
            <m:sepChr m:val=""/>
            <m:grow/>
          </m:dPr>
          <m:e>
            <m:r>
              <m:t>d</m:t>
            </m:r>
            <m:r>
              <m:rPr>
                <m:sty m:val="p"/>
              </m:rPr>
              <m:t>−</m:t>
            </m:r>
            <m:r>
              <m:t>M</m:t>
            </m:r>
            <m:r>
              <m:t>ρ</m:t>
            </m:r>
          </m:e>
        </m:d>
      </m:oMath>
      <w:r>
        <w:t xml:space="preserve"> </w:t>
      </w:r>
      <w:r>
        <w:t xml:space="preserve">and does not assume a prior sign or magnitude for the historical prices. The retained exact inverse infinity norm is approximately 0.748489,</w:t>
      </w:r>
      <w:r>
        <w:t xml:space="preserve"> </w:t>
      </w:r>
      <m:oMath>
        <m:r>
          <m:t>a</m:t>
        </m:r>
        <m:r>
          <m:rPr>
            <m:sty m:val="p"/>
          </m:rPr>
          <m:t>&lt;</m:t>
        </m:r>
        <m:r>
          <m:t>1.411</m:t>
        </m:r>
        <m:r>
          <m:rPr>
            <m:sty m:val="p"/>
          </m:rPr>
          <m:t>×</m:t>
        </m:r>
        <m:sSup>
          <m:e>
            <m:r>
              <m:t>10</m:t>
            </m:r>
          </m:e>
          <m:sup>
            <m:r>
              <m:rPr>
                <m:sty m:val="p"/>
              </m:rPr>
              <m:t>−</m:t>
            </m:r>
            <m:r>
              <m:t>10</m:t>
            </m:r>
          </m:sup>
        </m:sSup>
      </m:oMath>
      <w:r>
        <w:t xml:space="preserve"> </w:t>
      </w:r>
      <w:r>
        <w:t xml:space="preserve">and</w:t>
      </w:r>
      <w:r>
        <w:t xml:space="preserve"> </w:t>
      </w:r>
      <m:oMath>
        <m:r>
          <m:t>b</m:t>
        </m:r>
        <m:r>
          <m:rPr>
            <m:sty m:val="p"/>
          </m:rPr>
          <m:t>&lt;</m:t>
        </m:r>
        <m:r>
          <m:t>4.314</m:t>
        </m:r>
        <m:r>
          <m:rPr>
            <m:sty m:val="p"/>
          </m:rPr>
          <m:t>×</m:t>
        </m:r>
        <m:sSup>
          <m:e>
            <m:r>
              <m:t>10</m:t>
            </m:r>
          </m:e>
          <m:sup>
            <m:r>
              <m:rPr>
                <m:sty m:val="p"/>
              </m:rPr>
              <m:t>−</m:t>
            </m:r>
            <m:r>
              <m:t>11</m:t>
            </m:r>
          </m:sup>
        </m:sSup>
      </m:oMath>
      <w:r>
        <w:t xml:space="preserve">. The verified radius is less than</w:t>
      </w:r>
      <w:r>
        <w:t xml:space="preserve"> </w:t>
      </w:r>
      <m:oMath>
        <m:r>
          <m:t>1.728</m:t>
        </m:r>
        <m:r>
          <m:rPr>
            <m:sty m:val="p"/>
          </m:rPr>
          <m:t>×</m:t>
        </m:r>
        <m:sSup>
          <m:e>
            <m:r>
              <m:t>10</m:t>
            </m:r>
          </m:e>
          <m:sup>
            <m:r>
              <m:rPr>
                <m:sty m:val="p"/>
              </m:rPr>
              <m:t>−</m:t>
            </m:r>
            <m:r>
              <m:t>9</m:t>
            </m:r>
          </m:sup>
        </m:sSup>
      </m:oMath>
      <w:r>
        <w:t xml:space="preserve">. The four coefficient lower endpoints exceed 31.0069471485, 44.8218153888, 44.3299885923 and 50.2319101507. Hence every compatible coefficient is strictly positive. Dividing the central estimates by the published maximum PUE gives 28.37, 41.01, 40.56 and 45.96 US dollars/MWh, which are descriptive centres rather than recovered training records. The complete 1,095-row residual check is also retained; the exact four-row enclosure, rather than that descriptive fit, proves the sign.</w:t>
      </w:r>
    </w:p>
    <w:p>
      <w:pPr>
        <w:widowControl/>
        <w:spacing w:after="100"/>
      </w:pPr>
      <w:r>
        <w:t xml:space="preserve">Define the dollar coefficient per work unit as</w:t>
      </w:r>
      <w:r>
        <w:t xml:space="preserve"> </w:t>
      </w:r>
      <m:oMath>
        <m:sSub>
          <m:e>
            <m:r>
              <m:t>τ</m:t>
            </m:r>
          </m:e>
          <m:sub>
            <m:r>
              <m:t>z</m:t>
            </m:r>
          </m:sub>
        </m:sSub>
        <m:r>
          <m:rPr>
            <m:sty m:val="p"/>
          </m:rPr>
          <m:t>=</m:t>
        </m:r>
        <m:r>
          <m:t>Δ</m:t>
        </m:r>
        <m:r>
          <m:t>t</m:t>
        </m:r>
        <m:r>
          <m:t> </m:t>
        </m:r>
        <m:sSub>
          <m:e>
            <m:r>
              <m:t>k</m:t>
            </m:r>
          </m:e>
          <m:sub>
            <m:r>
              <m:t>z</m:t>
            </m:r>
          </m:sub>
        </m:sSub>
        <m:sSub>
          <m:e>
            <m:r>
              <m:t>ρ</m:t>
            </m:r>
          </m:e>
          <m:sub>
            <m:r>
              <m:t>z</m:t>
            </m:r>
          </m:sub>
        </m:sSub>
      </m:oMath>
      <w:r>
        <w:t xml:space="preserve">. The verified upper endpoints are below 12.7055544656, 18.3664007270, 18.1648674345 and 20.5832669449, so the common rational bound</w:t>
      </w:r>
      <w:r>
        <w:t xml:space="preserve"> </w:t>
      </w:r>
      <m:oMath>
        <m:r>
          <m:t>0</m:t>
        </m:r>
        <m:r>
          <m:rPr>
            <m:sty m:val="p"/>
          </m:rPr>
          <m:t>&lt;</m:t>
        </m:r>
        <m:sSub>
          <m:e>
            <m:r>
              <m:t>τ</m:t>
            </m:r>
          </m:e>
          <m:sub>
            <m:r>
              <m:t>z</m:t>
            </m:r>
          </m:sub>
        </m:sSub>
        <m:r>
          <m:rPr>
            <m:sty m:val="p"/>
          </m:rPr>
          <m:t>&lt;</m:t>
        </m:r>
        <m:r>
          <m:t>21</m:t>
        </m:r>
      </m:oMath>
      <w:r>
        <w:t xml:space="preserve"> </w:t>
      </w:r>
      <w:r>
        <w:t xml:space="preserve">is valid. The source terminal account is reference-anchored: it charges</w:t>
      </w:r>
      <w:r>
        <w:t xml:space="preserve"> </w:t>
      </w:r>
      <m:oMath>
        <m:sSub>
          <m:e>
            <m:r>
              <m:t>τ</m:t>
            </m:r>
          </m:e>
          <m:sub>
            <m:r>
              <m:t>z</m:t>
            </m:r>
          </m:sub>
        </m:sSub>
        <m:d>
          <m:dPr>
            <m:begChr m:val="("/>
            <m:endChr m:val=")"/>
            <m:sepChr m:val=""/>
            <m:grow/>
          </m:dPr>
          <m:e>
            <m:sSub>
              <m:e>
                <m:r>
                  <m:t>R</m:t>
                </m:r>
              </m:e>
              <m:sub>
                <m:r>
                  <m:t>N</m:t>
                </m:r>
                <m:r>
                  <m:rPr>
                    <m:sty m:val="p"/>
                  </m:rPr>
                  <m:t>,</m:t>
                </m:r>
                <m:r>
                  <m:t>z</m:t>
                </m:r>
              </m:sub>
            </m:sSub>
            <m:r>
              <m:rPr>
                <m:sty m:val="p"/>
              </m:rPr>
              <m:t>−</m:t>
            </m:r>
            <m:sSub>
              <m:e>
                <m:r>
                  <m:t>X</m:t>
                </m:r>
              </m:e>
              <m:sub>
                <m:r>
                  <m:t>N</m:t>
                </m:r>
                <m:r>
                  <m:rPr>
                    <m:sty m:val="p"/>
                  </m:rPr>
                  <m:t>,</m:t>
                </m:r>
                <m:r>
                  <m:t>z</m:t>
                </m:r>
              </m:sub>
            </m:sSub>
          </m:e>
        </m:d>
      </m:oMath>
      <w:r>
        <w:t xml:space="preserve">. Exact original service feasibility gives</w:t>
      </w:r>
      <w:r>
        <w:t xml:space="preserve"> </w:t>
      </w:r>
      <m:oMath>
        <m:sSub>
          <m:e>
            <m:r>
              <m:t>X</m:t>
            </m:r>
          </m:e>
          <m:sub>
            <m:r>
              <m:t>N</m:t>
            </m:r>
            <m:r>
              <m:rPr>
                <m:sty m:val="p"/>
              </m:rPr>
              <m:t>,</m:t>
            </m:r>
            <m:r>
              <m:t>z</m:t>
            </m:r>
          </m:sub>
        </m:sSub>
        <m:r>
          <m:rPr>
            <m:sty m:val="p"/>
          </m:rPr>
          <m:t>≤</m:t>
        </m:r>
        <m:sSub>
          <m:e>
            <m:r>
              <m:t>A</m:t>
            </m:r>
          </m:e>
          <m:sub>
            <m:r>
              <m:t>N</m:t>
            </m:r>
            <m:r>
              <m:rPr>
                <m:sty m:val="p"/>
              </m:rPr>
              <m:t>,</m:t>
            </m:r>
            <m:r>
              <m:t>z</m:t>
            </m:r>
          </m:sub>
        </m:sSub>
      </m:oMath>
      <w:r>
        <w:t xml:space="preserve">, and the reference envelope gives</w:t>
      </w:r>
      <w:r>
        <w:t xml:space="preserve"> </w:t>
      </w:r>
      <m:oMath>
        <m:r>
          <m:rPr>
            <m:sty m:val="p"/>
          </m:rPr>
          <m:t>|</m:t>
        </m:r>
        <m:sSub>
          <m:e>
            <m:r>
              <m:t>R</m:t>
            </m:r>
          </m:e>
          <m:sub>
            <m:r>
              <m:t>N</m:t>
            </m:r>
            <m:r>
              <m:rPr>
                <m:sty m:val="p"/>
              </m:rPr>
              <m:t>,</m:t>
            </m:r>
            <m:r>
              <m:t>z</m:t>
            </m:r>
          </m:sub>
        </m:sSub>
        <m:r>
          <m:rPr>
            <m:sty m:val="p"/>
          </m:rPr>
          <m:t>−</m:t>
        </m:r>
        <m:sSub>
          <m:e>
            <m:r>
              <m:t>A</m:t>
            </m:r>
          </m:e>
          <m:sub>
            <m:r>
              <m:t>N</m:t>
            </m:r>
            <m:r>
              <m:rPr>
                <m:sty m:val="p"/>
              </m:rPr>
              <m:t>,</m:t>
            </m:r>
            <m:r>
              <m:t>z</m:t>
            </m:r>
          </m:sub>
        </m:sSub>
        <m:r>
          <m:rPr>
            <m:sty m:val="p"/>
          </m:rPr>
          <m:t>|</m:t>
        </m:r>
        <m:r>
          <m:rPr>
            <m:sty m:val="p"/>
          </m:rPr>
          <m:t>≤</m:t>
        </m:r>
        <m:r>
          <m:t>E</m:t>
        </m:r>
      </m:oMath>
      <w:r>
        <w:t xml:space="preserve">. Consequently</w:t>
      </w:r>
    </w:p>
    <w:p>
      <w:pPr>
        <w:keepLines/>
        <w:widowControl/>
        <w:spacing w:after="120" w:before="80"/>
        <w:jc w:val="center"/>
      </w:pPr>
      <m:oMathPara>
        <m:oMathParaPr>
          <m:jc m:val="center"/>
        </m:oMathParaPr>
        <m:oMath>
          <m:sSub>
            <m:e>
              <m:r>
                <m:t>δ</m:t>
              </m:r>
            </m:e>
            <m:sub>
              <m:r>
                <m:t>T</m:t>
              </m:r>
            </m:sub>
          </m:sSub>
          <m:box>
            <m:boxPr>
              <m:opEmu m:val="on"/>
            </m:boxPr>
            <m:e>
              <m:r>
                <m:rPr>
                  <m:sty m:val="p"/>
                </m:rPr>
                <m:t>:=</m:t>
              </m:r>
            </m:e>
          </m:box>
          <m:r>
            <m:t>21</m:t>
          </m:r>
          <m:d>
            <m:dPr>
              <m:begChr m:val="("/>
              <m:endChr m:val=")"/>
              <m:sepChr m:val=""/>
              <m:grow/>
            </m:dPr>
            <m:e>
              <m:r>
                <m:t>4</m:t>
              </m:r>
              <m:r>
                <m:t>E</m:t>
              </m:r>
            </m:e>
          </m:d>
          <m:r>
            <m:rPr>
              <m:sty m:val="p"/>
            </m:rPr>
            <m:t>=</m:t>
          </m:r>
          <m:r>
            <m:t>0.000000000202608</m:t>
          </m:r>
          <m:r>
            <m:t> </m:t>
          </m:r>
          <m:r>
            <m:rPr>
              <m:nor/>
              <m:sty m:val="p"/>
            </m:rPr>
            <m:t>US dollars</m:t>
          </m:r>
          <m:r>
            <m:rPr>
              <m:sty m:val="p"/>
            </m:rPr>
            <m:t>,</m:t>
          </m:r>
          <m:r>
            <m:t>  </m:t>
          </m:r>
          <m:nary>
            <m:naryPr>
              <m:chr m:val="∑"/>
              <m:limLoc m:val="undOvr"/>
              <m:subHide m:val="off"/>
              <m:supHide m:val="on"/>
            </m:naryPr>
            <m:sub>
              <m:r>
                <m:t>z</m:t>
              </m:r>
            </m:sub>
            <m:sup>
              <m:r>
                <m:t>​</m:t>
              </m:r>
            </m:sup>
            <m:e>
              <m:sSub>
                <m:e>
                  <m:r>
                    <m:t>τ</m:t>
                  </m:r>
                </m:e>
                <m:sub>
                  <m:r>
                    <m:t>z</m:t>
                  </m:r>
                </m:sub>
              </m:sSub>
            </m:e>
          </m:nary>
          <m:d>
            <m:dPr>
              <m:begChr m:val="("/>
              <m:endChr m:val=")"/>
              <m:sepChr m:val=""/>
              <m:grow/>
            </m:dPr>
            <m:e>
              <m:sSub>
                <m:e>
                  <m:r>
                    <m:t>R</m:t>
                  </m:r>
                </m:e>
                <m:sub>
                  <m:r>
                    <m:t>N</m:t>
                  </m:r>
                  <m:r>
                    <m:rPr>
                      <m:sty m:val="p"/>
                    </m:rPr>
                    <m:t>,</m:t>
                  </m:r>
                  <m:r>
                    <m:t>z</m:t>
                  </m:r>
                </m:sub>
              </m:sSub>
              <m:r>
                <m:rPr>
                  <m:sty m:val="p"/>
                </m:rPr>
                <m:t>−</m:t>
              </m:r>
              <m:sSub>
                <m:e>
                  <m:r>
                    <m:t>X</m:t>
                  </m:r>
                </m:e>
                <m:sub>
                  <m:r>
                    <m:t>N</m:t>
                  </m:r>
                  <m:r>
                    <m:rPr>
                      <m:sty m:val="p"/>
                    </m:rPr>
                    <m:t>,</m:t>
                  </m:r>
                  <m:r>
                    <m:t>z</m:t>
                  </m:r>
                </m:sub>
              </m:sSub>
            </m:e>
          </m:d>
          <m:r>
            <m:rPr>
              <m:sty m:val="p"/>
            </m:rPr>
            <m:t>≥</m:t>
          </m:r>
          <m:r>
            <m:rPr>
              <m:sty m:val="p"/>
            </m:rPr>
            <m:t>−</m:t>
          </m:r>
          <m:sSub>
            <m:e>
              <m:r>
                <m:t>δ</m:t>
              </m:r>
            </m:e>
            <m:sub>
              <m:r>
                <m:t>T</m:t>
              </m:r>
            </m:sub>
          </m:sSub>
          <m:r>
            <m:rPr>
              <m:sty m:val="p"/>
            </m:rPr>
            <m:t>.</m:t>
          </m:r>
          <m:r>
            <m:t>  </m:t>
          </m:r>
          <m:r>
            <m:rPr>
              <m:nor/>
              <m:sty m:val="p"/>
            </m:rPr>
            <m:t>(S27.15)</m:t>
          </m:r>
        </m:oMath>
      </m:oMathPara>
    </w:p>
    <w:p>
      <w:pPr>
        <w:widowControl/>
        <w:spacing w:after="100"/>
      </w:pPr>
      <w:r>
        <w:t xml:space="preserve">Each outer cost floor is therefore reduced by</w:t>
      </w:r>
      <w:r>
        <w:t xml:space="preserve"> </w:t>
      </w:r>
      <m:oMath>
        <m:sSub>
          <m:e>
            <m:r>
              <m:t>δ</m:t>
            </m:r>
          </m:e>
          <m:sub>
            <m:r>
              <m:t>T</m:t>
            </m:r>
          </m:sub>
        </m:sSub>
      </m:oMath>
      <w:r>
        <w:t xml:space="preserve"> </w:t>
      </w:r>
      <w:r>
        <w:t xml:space="preserve">before forming its saving ceiling. For the actual-admission repaired witness,</w:t>
      </w:r>
      <w:r>
        <w:t xml:space="preserve"> </w:t>
      </w:r>
      <m:oMath>
        <m:sSub>
          <m:e>
            <m:r>
              <m:t>X</m:t>
            </m:r>
          </m:e>
          <m:sub>
            <m:r>
              <m:t>N</m:t>
            </m:r>
            <m:r>
              <m:rPr>
                <m:sty m:val="p"/>
              </m:rPr>
              <m:t>,</m:t>
            </m:r>
            <m:r>
              <m:t>z</m:t>
            </m:r>
          </m:sub>
        </m:sSub>
        <m:r>
          <m:rPr>
            <m:sty m:val="p"/>
          </m:rPr>
          <m:t>=</m:t>
        </m:r>
        <m:sSub>
          <m:e>
            <m:r>
              <m:t>A</m:t>
            </m:r>
          </m:e>
          <m:sub>
            <m:r>
              <m:t>N</m:t>
            </m:r>
            <m:r>
              <m:rPr>
                <m:sty m:val="p"/>
              </m:rPr>
              <m:t>,</m:t>
            </m:r>
            <m:r>
              <m:t>z</m:t>
            </m:r>
          </m:sub>
        </m:sSub>
      </m:oMath>
      <w:r>
        <w:t xml:space="preserve">, so the true physical backlog is zero while the reference-anchored terminal charge may be signed. Its magnitude is at most</w:t>
      </w:r>
      <w:r>
        <w:t xml:space="preserve"> </w:t>
      </w:r>
      <m:oMath>
        <m:sSub>
          <m:e>
            <m:r>
              <m:t>δ</m:t>
            </m:r>
          </m:e>
          <m:sub>
            <m:r>
              <m:t>T</m:t>
            </m:r>
          </m:sub>
        </m:sSub>
      </m:oMath>
      <w:r>
        <w:t xml:space="preserve">; the witness cost upper bound includes</w:t>
      </w:r>
      <w:r>
        <w:t xml:space="preserve"> </w:t>
      </w:r>
      <m:oMath>
        <m:r>
          <m:rPr>
            <m:sty m:val="p"/>
          </m:rPr>
          <m:t>+</m:t>
        </m:r>
        <m:sSub>
          <m:e>
            <m:r>
              <m:t>δ</m:t>
            </m:r>
          </m:e>
          <m:sub>
            <m:r>
              <m:t>T</m:t>
            </m:r>
          </m:sub>
        </m:sSub>
      </m:oMath>
      <w:r>
        <w:t xml:space="preserve">. A lower bound on an upgraded contract’s opportunity minus a narrower-rights ceiling retains both adverse allowances. The original reference account and deviation-fee anchor remain fixed. The result neither changes those accounts nor treats the tiny constant as negligible merely because it is smaller than a cent.</w:t>
      </w:r>
    </w:p>
    <w:p>
      <w:pPr>
        <w:widowControl/>
        <w:spacing w:after="100"/>
      </w:pPr>
      <w:r>
        <w:t xml:space="preserve">The executable proof is</w:t>
      </w:r>
      <w:r>
        <w:t xml:space="preserve"> </w:t>
      </w:r>
      <w:r>
        <w:rPr>
          <w:rStyle w:val="VerbatimChar"/>
        </w:rPr>
        <w:t xml:space="preserve">terminal_rate_audit.py</w:t>
      </w:r>
      <w:r>
        <w:t xml:space="preserve">; its exact matrix, inverse, error coefficients, parser assumptions, input hashes and rational coefficient enclosures are retained in</w:t>
      </w:r>
      <w:r>
        <w:t xml:space="preserve"> </w:t>
      </w:r>
      <w:r>
        <w:rPr>
          <w:rStyle w:val="VerbatimChar"/>
        </w:rPr>
        <w:t xml:space="preserve">terminal_rate_audit.json</w:t>
      </w:r>
      <w:r>
        <w:t xml:space="preserve">, with the full derivation in</w:t>
      </w:r>
      <w:r>
        <w:t xml:space="preserve"> </w:t>
      </w:r>
      <w:r>
        <w:rPr>
          <w:rStyle w:val="VerbatimChar"/>
        </w:rPr>
        <w:t xml:space="preserve">terminal_rate_audit.txt</w:t>
      </w:r>
      <w:r>
        <w:t xml:space="preserve"> </w:t>
      </w:r>
      <w:r>
        <w:t xml:space="preserve">and the official parser provenance files. The terminal and reference-envelope assumptions are shared by both annual certificate formulations.</w:t>
      </w:r>
    </w:p>
    <w:bookmarkEnd w:id="24"/>
    <w:bookmarkStart w:id="25" w:name="Xcb7ee5fe365e6478cdfceedc3f4f0a20a9234fa"/>
    <w:p>
      <w:pPr>
        <w:pStyle w:val="Heading2"/>
        <w:keepNext/>
        <w:widowControl/>
        <w:spacing w:after="100"/>
      </w:pPr>
      <w:r>
        <w:rPr>
          <w:color w:val="000000"/>
        </w:rPr>
        <w:t xml:space="preserve">Retained materials and reproducibility boundary</w:t>
      </w:r>
    </w:p>
    <w:p>
      <w:pPr>
        <w:widowControl/>
        <w:spacing w:after="100"/>
      </w:pPr>
      <w:r>
        <w:t xml:space="preserve">The new verification directory contains 12 original-cost multiplier NPZs, 12 independently assembled epigraph multiplier NPZs, complete exact breakpoint/facet files, finite-bound files, four complete rational surrogate schedules and their original-account costs. A separate replay verifies the retained files and hashes without invoking an LP solver. Seven small regression tests check the new formulas, signs, negative-price facets, exact repair, admission non-identification and outward signed monetary rendering; those fixtures are distinct from the full-year certificate replay.</w:t>
      </w:r>
    </w:p>
    <w:p>
      <w:pPr>
        <w:widowControl/>
        <w:spacing w:after="100"/>
      </w:pPr>
      <w:r>
        <w:t>The original 29 October certificate and US$117,000.2387599464 hindsight assignment were outside the earlier public-only verification. They are not the numerical basis of the current conservative replacement. The source admissions and original policy books have now been recovered; S29 materialises the current exact witness and S30 provides complete historical policy fulfilment and settlement evidence. The current proofs and results use S27–S30. All original WorldMoE ablation data and figure images remain unchanged. Historical first-release-vintage validation and prospective performance remain separate evidence questions.</w:t>
      </w:r>
    </w:p>
    <w:bookmarkEnd w:id="25"/>
    <w:bookmarkEnd w:id="26"/>
    <w:p>
      <w:r>
        <w:br w:type="page"/>
      </w:r>
    </w:p>
    <w:bookmarkStart w:id="25" w:name="X635fb53d369cb3752b165add79240720ca5b6f7"/>
    <w:p>
      <w:pPr>
        <w:pStyle w:val="Heading1"/>
        <w:keepNext/>
        <w:widowControl/>
        <w:spacing w:after="100"/>
      </w:pPr>
      <w:r>
        <w:rPr>
          <w:color w:val="000000"/>
        </w:rPr>
        <w:t xml:space="preserve">S28 Operating equations and retained main-paper figures</w:t>
      </w:r>
    </w:p>
    <w:bookmarkStart w:id="20" w:name="X98c520802e57cf59f71cce719deb1d98e25f1b4"/>
    <w:p>
      <w:pPr>
        <w:pStyle w:val="Heading2"/>
        <w:keepNext/>
        <w:widowControl/>
        <w:spacing w:after="100"/>
      </w:pPr>
      <w:r>
        <w:rPr>
          <w:color w:val="000000"/>
        </w:rPr>
        <w:t xml:space="preserve">S28.1 WorldMoE’s role in the economic comparison</w:t>
      </w:r>
    </w:p>
    <w:p>
      <w:pPr>
        <w:widowControl/>
        <w:spacing w:after="100"/>
      </w:pPr>
      <w:r>
        <w:t xml:space="preserve">WorldMoE supplies the recorded operating trajectories under a common executor. Its W0/W1 market backbone and APIC price representation feed R2’s physical and queue-dependent valuation; the allocator reserves capacity across obligations and the executor commits one current action. An exactly feasible, fully settled schedule from any method can supply a lower endpoint for perfect-information opportunity. The independent opportunity bound does not depend on this architecture. Tables 16–22 and the retained model-method sections give the full dimensions, losses, chronology and public-inference specification. This section retains the equations moved from the main paper and identifies their economic function.</w:t>
      </w:r>
    </w:p>
    <w:bookmarkEnd w:id="20"/>
    <w:bookmarkStart w:id="21" w:name="X287c11147e883e701b118f3dcdde6e07ba12fdd"/>
    <w:p>
      <w:pPr>
        <w:pStyle w:val="Heading2"/>
        <w:keepNext/>
        <w:widowControl/>
        <w:spacing w:after="100"/>
      </w:pPr>
      <w:r>
        <w:rPr>
          <w:color w:val="000000"/>
        </w:rPr>
        <w:t xml:space="preserve">S28.2 Price identity and physical marginal cost</w:t>
      </w:r>
    </w:p>
    <w:p>
      <w:pPr>
        <w:widowControl/>
        <w:spacing w:after="100"/>
      </w:pPr>
      <w:r>
        <w:t xml:space="preserve">Before DA publication, the price representation forms joint DA/spread paths; after publication, the released DA value anchors complementary RT quantiles:</w:t>
      </w:r>
    </w:p>
    <w:p>
      <w:pPr>
        <w:keepLines/>
        <w:widowControl/>
        <w:spacing w:after="120" w:before="80"/>
        <w:jc w:val="center"/>
      </w:pPr>
      <m:oMathPara>
        <m:oMathParaPr>
          <m:jc m:val="center"/>
        </m:oMathParaPr>
        <m:oMath>
          <m:m>
            <m:mPr>
              <m:baseJc m:val="center"/>
              <m:plcHide m:val="on"/>
              <m:mcs>
                <m:mc>
                  <m:mcPr>
                    <m:mcJc m:val="right"/>
                    <m:count m:val="1"/>
                  </m:mcPr>
                </m:mc>
                <m:mc>
                  <m:mcPr>
                    <m:mcJc m:val="left"/>
                    <m:count m:val="1"/>
                  </m:mcPr>
                </m:mc>
              </m:mcs>
            </m:mPr>
            <m:mr>
              <m:e>
                <m:sSup>
                  <m:e>
                    <m:r>
                      <m:t>A</m:t>
                    </m:r>
                  </m:e>
                  <m:sup>
                    <m:d>
                      <m:dPr>
                        <m:begChr m:val="("/>
                        <m:endChr m:val=")"/>
                        <m:sepChr m:val=""/>
                        <m:grow/>
                      </m:dPr>
                      <m:e>
                        <m:r>
                          <m:t>j</m:t>
                        </m:r>
                      </m:e>
                    </m:d>
                  </m:sup>
                </m:sSup>
              </m:e>
              <m:e>
                <m:r>
                  <m:rPr>
                    <m:sty m:val="p"/>
                  </m:rPr>
                  <m:t>=</m:t>
                </m:r>
                <m:sSub>
                  <m:e>
                    <m:r>
                      <m:t>Q</m:t>
                    </m:r>
                  </m:e>
                  <m:sub>
                    <m:r>
                      <m:t>A</m:t>
                    </m:r>
                  </m:sub>
                </m:sSub>
                <m:d>
                  <m:dPr>
                    <m:begChr m:val="("/>
                    <m:endChr m:val=")"/>
                    <m:sepChr m:val=""/>
                    <m:grow/>
                  </m:dPr>
                  <m:e>
                    <m:sSub>
                      <m:e>
                        <m:r>
                          <m:t>U</m:t>
                        </m:r>
                      </m:e>
                      <m:sub>
                        <m:r>
                          <m:t>j</m:t>
                        </m:r>
                      </m:sub>
                    </m:sSub>
                  </m:e>
                </m:d>
                <m:r>
                  <m:rPr>
                    <m:sty m:val="p"/>
                  </m:rPr>
                  <m:t>,</m:t>
                </m:r>
                <m:r>
                  <m:t> </m:t>
                </m:r>
                <m:r>
                  <m:t>Δ</m:t>
                </m:r>
                <m:sSup>
                  <m:e>
                    <m:r>
                      <m:t>p</m:t>
                    </m:r>
                  </m:e>
                  <m:sup>
                    <m:d>
                      <m:dPr>
                        <m:begChr m:val="("/>
                        <m:endChr m:val=")"/>
                        <m:sepChr m:val=""/>
                        <m:grow/>
                      </m:dPr>
                      <m:e>
                        <m:r>
                          <m:t>j</m:t>
                        </m:r>
                      </m:e>
                    </m:d>
                  </m:sup>
                </m:sSup>
                <m:r>
                  <m:rPr>
                    <m:sty m:val="p"/>
                  </m:rPr>
                  <m:t>=</m:t>
                </m:r>
                <m:sSub>
                  <m:e>
                    <m:r>
                      <m:t>Q</m:t>
                    </m:r>
                  </m:e>
                  <m:sub>
                    <m:r>
                      <m:t>Δ</m:t>
                    </m:r>
                    <m:r>
                      <m:t>p</m:t>
                    </m:r>
                  </m:sub>
                </m:sSub>
                <m:d>
                  <m:dPr>
                    <m:begChr m:val="("/>
                    <m:endChr m:val=")"/>
                    <m:sepChr m:val=""/>
                    <m:grow/>
                  </m:dPr>
                  <m:e>
                    <m:sSub>
                      <m:e>
                        <m:r>
                          <m:t>V</m:t>
                        </m:r>
                      </m:e>
                      <m:sub>
                        <m:r>
                          <m:t>j</m:t>
                        </m:r>
                      </m:sub>
                    </m:sSub>
                  </m:e>
                </m:d>
                <m:r>
                  <m:rPr>
                    <m:sty m:val="p"/>
                  </m:rPr>
                  <m:t>,</m:t>
                </m:r>
                <m:r>
                  <m:t> </m:t>
                </m:r>
                <m:sSup>
                  <m:e>
                    <m:r>
                      <m:t>r</m:t>
                    </m:r>
                  </m:e>
                  <m:sup>
                    <m:d>
                      <m:dPr>
                        <m:begChr m:val="("/>
                        <m:endChr m:val=")"/>
                        <m:sepChr m:val=""/>
                        <m:grow/>
                      </m:dPr>
                      <m:e>
                        <m:r>
                          <m:t>j</m:t>
                        </m:r>
                      </m:e>
                    </m:d>
                  </m:sup>
                </m:sSup>
                <m:r>
                  <m:rPr>
                    <m:sty m:val="p"/>
                  </m:rPr>
                  <m:t>=</m:t>
                </m:r>
                <m:sSup>
                  <m:e>
                    <m:r>
                      <m:t>A</m:t>
                    </m:r>
                  </m:e>
                  <m:sup>
                    <m:d>
                      <m:dPr>
                        <m:begChr m:val="("/>
                        <m:endChr m:val=")"/>
                        <m:sepChr m:val=""/>
                        <m:grow/>
                      </m:dPr>
                      <m:e>
                        <m:r>
                          <m:t>j</m:t>
                        </m:r>
                      </m:e>
                    </m:d>
                  </m:sup>
                </m:sSup>
                <m:r>
                  <m:rPr>
                    <m:sty m:val="p"/>
                  </m:rPr>
                  <m:t>−</m:t>
                </m:r>
                <m:r>
                  <m:t>Δ</m:t>
                </m:r>
                <m:sSup>
                  <m:e>
                    <m:r>
                      <m:t>p</m:t>
                    </m:r>
                  </m:e>
                  <m:sup>
                    <m:d>
                      <m:dPr>
                        <m:begChr m:val="("/>
                        <m:endChr m:val=")"/>
                        <m:sepChr m:val=""/>
                        <m:grow/>
                      </m:dPr>
                      <m:e>
                        <m:r>
                          <m:t>j</m:t>
                        </m:r>
                      </m:e>
                    </m:d>
                  </m:sup>
                </m:sSup>
                <m:r>
                  <m:rPr>
                    <m:sty m:val="p"/>
                  </m:rPr>
                  <m:t>,</m:t>
                </m:r>
              </m:e>
            </m:mr>
            <m:mr>
              <m:e>
                <m:sSub>
                  <m:e>
                    <m:r>
                      <m:t>q</m:t>
                    </m:r>
                  </m:e>
                  <m:sub>
                    <m:r>
                      <m:rPr>
                        <m:sty m:val="p"/>
                      </m:rPr>
                      <m:t>R</m:t>
                    </m:r>
                    <m:r>
                      <m:rPr>
                        <m:sty m:val="p"/>
                      </m:rPr>
                      <m:t>T</m:t>
                    </m:r>
                  </m:sub>
                </m:sSub>
                <m:d>
                  <m:dPr>
                    <m:begChr m:val="("/>
                    <m:endChr m:val=")"/>
                    <m:sepChr m:val=""/>
                    <m:grow/>
                  </m:dPr>
                  <m:e>
                    <m:r>
                      <m:t>τ</m:t>
                    </m:r>
                    <m:r>
                      <m:rPr>
                        <m:sty m:val="p"/>
                      </m:rPr>
                      <m:t>∣</m:t>
                    </m:r>
                    <m:r>
                      <m:t>A</m:t>
                    </m:r>
                  </m:e>
                </m:d>
              </m:e>
              <m:e>
                <m:r>
                  <m:rPr>
                    <m:sty m:val="p"/>
                  </m:rPr>
                  <m:t>=</m:t>
                </m:r>
                <m:r>
                  <m:t>A</m:t>
                </m:r>
                <m:r>
                  <m:rPr>
                    <m:sty m:val="p"/>
                  </m:rPr>
                  <m:t>−</m:t>
                </m:r>
                <m:sSub>
                  <m:e>
                    <m:r>
                      <m:t>q</m:t>
                    </m:r>
                  </m:e>
                  <m:sub>
                    <m:r>
                      <m:rPr>
                        <m:sty m:val="p"/>
                      </m:rPr>
                      <m:t>D</m:t>
                    </m:r>
                    <m:r>
                      <m:rPr>
                        <m:sty m:val="p"/>
                      </m:rPr>
                      <m:t>A</m:t>
                    </m:r>
                    <m:r>
                      <m:rPr>
                        <m:sty m:val="p"/>
                      </m:rPr>
                      <m:t>R</m:t>
                    </m:r>
                    <m:r>
                      <m:rPr>
                        <m:sty m:val="p"/>
                      </m:rPr>
                      <m:t>T</m:t>
                    </m:r>
                  </m:sub>
                </m:sSub>
                <m:d>
                  <m:dPr>
                    <m:begChr m:val="("/>
                    <m:endChr m:val=")"/>
                    <m:sepChr m:val=""/>
                    <m:grow/>
                  </m:dPr>
                  <m:e>
                    <m:r>
                      <m:t>1</m:t>
                    </m:r>
                    <m:r>
                      <m:rPr>
                        <m:sty m:val="p"/>
                      </m:rPr>
                      <m:t>−</m:t>
                    </m:r>
                    <m:r>
                      <m:t>τ</m:t>
                    </m:r>
                    <m:r>
                      <m:rPr>
                        <m:sty m:val="p"/>
                      </m:rPr>
                      <m:t>∣</m:t>
                    </m:r>
                    <m:r>
                      <m:t>A</m:t>
                    </m:r>
                  </m:e>
                </m:d>
                <m:r>
                  <m:rPr>
                    <m:sty m:val="p"/>
                  </m:rPr>
                  <m:t>.</m:t>
                </m:r>
              </m:e>
            </m:mr>
          </m:m>
          <m:r>
            <m:t>  </m:t>
          </m:r>
          <m:r>
            <m:rPr>
              <m:nor/>
              <m:sty m:val="p"/>
            </m:rPr>
            <m:t>(S28.1)</m:t>
          </m:r>
        </m:oMath>
      </m:oMathPara>
    </w:p>
    <w:p>
      <w:pPr>
        <w:widowControl/>
        <w:spacing w:after="100"/>
      </w:pPr>
      <w:r>
        <w:t xml:space="preserve">This construction preserves the stated price identity. Workload states affect service valuation rather than overwriting the exogenous price-scoring targets. The identity is an algebraic property; receipt-time input availability is verified separately.</w:t>
      </w:r>
    </w:p>
    <w:p>
      <w:pPr>
        <w:widowControl/>
        <w:spacing w:after="100"/>
      </w:pPr>
      <w:r>
        <w:t xml:space="preserve">For service</w:t>
      </w:r>
      <w:r>
        <w:t xml:space="preserve"> </w:t>
      </w:r>
      <m:oMath>
        <m:r>
          <m:t>x</m:t>
        </m:r>
      </m:oMath>
      <w:r>
        <w:t xml:space="preserve">, facility load is</w:t>
      </w:r>
      <w:r>
        <w:t xml:space="preserve"> </w:t>
      </w:r>
      <m:oMath>
        <m:r>
          <m:t>L</m:t>
        </m:r>
        <m:r>
          <m:rPr>
            <m:sty m:val="p"/>
          </m:rPr>
          <m:t>=</m:t>
        </m:r>
        <m:r>
          <m:rPr>
            <m:sty m:val="p"/>
          </m:rPr>
          <m:t>P</m:t>
        </m:r>
        <m:r>
          <m:rPr>
            <m:sty m:val="p"/>
          </m:rPr>
          <m:t>U</m:t>
        </m:r>
        <m:r>
          <m:rPr>
            <m:sty m:val="p"/>
          </m:rPr>
          <m:t>E</m:t>
        </m:r>
        <m:d>
          <m:dPr>
            <m:begChr m:val="("/>
            <m:endChr m:val=")"/>
            <m:sepChr m:val=""/>
            <m:grow/>
          </m:dPr>
          <m:e>
            <m:sSup>
              <m:e>
                <m:r>
                  <m:t>P</m:t>
                </m:r>
              </m:e>
              <m:sup>
                <m:r>
                  <m:rPr>
                    <m:sty m:val="p"/>
                  </m:rPr>
                  <m:t>i</m:t>
                </m:r>
                <m:r>
                  <m:rPr>
                    <m:sty m:val="p"/>
                  </m:rPr>
                  <m:t>d</m:t>
                </m:r>
                <m:r>
                  <m:rPr>
                    <m:sty m:val="p"/>
                  </m:rPr>
                  <m:t>l</m:t>
                </m:r>
                <m:r>
                  <m:rPr>
                    <m:sty m:val="p"/>
                  </m:rPr>
                  <m:t>e</m:t>
                </m:r>
              </m:sup>
            </m:sSup>
            <m:r>
              <m:rPr>
                <m:sty m:val="p"/>
              </m:rPr>
              <m:t>+</m:t>
            </m:r>
            <m:r>
              <m:t>k</m:t>
            </m:r>
            <m:r>
              <m:t>x</m:t>
            </m:r>
          </m:e>
        </m:d>
      </m:oMath>
      <w:r>
        <w:t xml:space="preserve">. With clipped-Gaussian PV</w:t>
      </w:r>
      <w:r>
        <w:t xml:space="preserve"> </w:t>
      </w:r>
      <m:oMath>
        <m:r>
          <m:t>P</m:t>
        </m:r>
        <m:r>
          <m:rPr>
            <m:sty m:val="p"/>
          </m:rPr>
          <m:t>=</m:t>
        </m:r>
        <m:r>
          <m:rPr>
            <m:sty m:val="p"/>
          </m:rPr>
          <m:t>max</m:t>
        </m:r>
        <m:d>
          <m:dPr>
            <m:begChr m:val="("/>
            <m:endChr m:val=")"/>
            <m:sepChr m:val=""/>
            <m:grow/>
          </m:dPr>
          <m:e>
            <m:r>
              <m:t>0</m:t>
            </m:r>
            <m:r>
              <m:rPr>
                <m:sty m:val="p"/>
              </m:rPr>
              <m:t>,</m:t>
            </m:r>
            <m:r>
              <m:t>μ</m:t>
            </m:r>
            <m:r>
              <m:rPr>
                <m:sty m:val="p"/>
              </m:rPr>
              <m:t>+</m:t>
            </m:r>
            <m:r>
              <m:t>σ</m:t>
            </m:r>
            <m:r>
              <m:t>Z</m:t>
            </m:r>
          </m:e>
        </m:d>
      </m:oMath>
      <w:r>
        <w:t xml:space="preserve">,</w:t>
      </w:r>
      <w:r>
        <w:t xml:space="preserve"> </w:t>
      </w:r>
      <m:oMath>
        <m:r>
          <m:t>σ</m:t>
        </m:r>
        <m:r>
          <m:rPr>
            <m:sty m:val="p"/>
          </m:rPr>
          <m:t>&gt;</m:t>
        </m:r>
        <m:r>
          <m:t>0</m:t>
        </m:r>
      </m:oMath>
      <w:r>
        <w:t xml:space="preserve">, define</w:t>
      </w:r>
      <w:r>
        <w:t xml:space="preserve"> </w:t>
      </w:r>
      <m:oMath>
        <m:sSub>
          <m:e>
            <m:r>
              <m:t>z</m:t>
            </m:r>
          </m:e>
          <m:sub>
            <m:r>
              <m:t>L</m:t>
            </m:r>
          </m:sub>
        </m:sSub>
        <m:r>
          <m:rPr>
            <m:sty m:val="p"/>
          </m:rPr>
          <m:t>=</m:t>
        </m:r>
        <m:d>
          <m:dPr>
            <m:begChr m:val="("/>
            <m:endChr m:val=")"/>
            <m:sepChr m:val=""/>
            <m:grow/>
          </m:dPr>
          <m:e>
            <m:r>
              <m:t>L</m:t>
            </m:r>
            <m:r>
              <m:rPr>
                <m:sty m:val="p"/>
              </m:rPr>
              <m:t>−</m:t>
            </m:r>
            <m:r>
              <m:t>μ</m:t>
            </m:r>
          </m:e>
        </m:d>
        <m:r>
          <m:rPr>
            <m:sty m:val="p"/>
          </m:rPr>
          <m:t>/</m:t>
        </m:r>
        <m:r>
          <m:t>σ</m:t>
        </m:r>
      </m:oMath>
      <w:r>
        <w:t xml:space="preserve"> </w:t>
      </w:r>
      <w:r>
        <w:t xml:space="preserve">and</w:t>
      </w:r>
      <w:r>
        <w:t xml:space="preserve"> </w:t>
      </w:r>
      <m:oMath>
        <m:sSub>
          <m:e>
            <m:r>
              <m:t>z</m:t>
            </m:r>
          </m:e>
          <m:sub>
            <m:r>
              <m:t>0</m:t>
            </m:r>
          </m:sub>
        </m:sSub>
        <m:r>
          <m:rPr>
            <m:sty m:val="p"/>
          </m:rPr>
          <m:t>=</m:t>
        </m:r>
        <m:r>
          <m:rPr>
            <m:sty m:val="p"/>
          </m:rPr>
          <m:t>−</m:t>
        </m:r>
        <m:r>
          <m:t>μ</m:t>
        </m:r>
        <m:r>
          <m:rPr>
            <m:sty m:val="p"/>
          </m:rPr>
          <m:t>/</m:t>
        </m:r>
        <m:r>
          <m:t>σ</m:t>
        </m:r>
      </m:oMath>
      <w:r>
        <w:t xml:space="preserve">. The standard-normal CDF and density are</w:t>
      </w:r>
      <w:r>
        <w:t xml:space="preserve"> </w:t>
      </w:r>
      <m:oMath>
        <m:r>
          <m:t>Φ</m:t>
        </m:r>
      </m:oMath>
      <w:r>
        <w:t xml:space="preserve"> </w:t>
      </w:r>
      <w:r>
        <w:t xml:space="preserve">and</w:t>
      </w:r>
      <w:r>
        <w:t xml:space="preserve"> </w:t>
      </w:r>
      <m:oMath>
        <m:r>
          <m:t>ϕ</m:t>
        </m:r>
      </m:oMath>
      <w:r>
        <w:t xml:space="preserve">. The first partial moment and expected imports are</w:t>
      </w:r>
    </w:p>
    <w:p>
      <w:pPr>
        <w:keepLines/>
        <w:widowControl/>
        <w:spacing w:after="120" w:before="80"/>
        <w:jc w:val="center"/>
      </w:pPr>
      <m:oMathPara>
        <m:oMathParaPr>
          <m:jc m:val="center"/>
        </m:oMathParaPr>
        <m:oMath>
          <m:m>
            <m:mPr>
              <m:baseJc m:val="center"/>
              <m:plcHide m:val="on"/>
              <m:mcs>
                <m:mc>
                  <m:mcPr>
                    <m:mcJc m:val="right"/>
                    <m:count m:val="1"/>
                  </m:mcPr>
                </m:mc>
                <m:mc>
                  <m:mcPr>
                    <m:mcJc m:val="left"/>
                    <m:count m:val="1"/>
                  </m:mcPr>
                </m:mc>
              </m:mcs>
            </m:mPr>
            <m:mr>
              <m:e>
                <m:sSub>
                  <m:e>
                    <m:r>
                      <m:t>m</m:t>
                    </m:r>
                  </m:e>
                  <m:sub>
                    <m:r>
                      <m:t>1</m:t>
                    </m:r>
                  </m:sub>
                </m:sSub>
                <m:d>
                  <m:dPr>
                    <m:begChr m:val="("/>
                    <m:endChr m:val=")"/>
                    <m:sepChr m:val=""/>
                    <m:grow/>
                  </m:dPr>
                  <m:e>
                    <m:r>
                      <m:t>L</m:t>
                    </m:r>
                  </m:e>
                </m:d>
              </m:e>
              <m:e>
                <m:r>
                  <m:rPr>
                    <m:sty m:val="p"/>
                  </m:rPr>
                  <m:t>=</m:t>
                </m:r>
                <m:r>
                  <m:t>μ</m:t>
                </m:r>
                <m:d>
                  <m:dPr>
                    <m:begChr m:val="("/>
                    <m:endChr m:val=")"/>
                    <m:sepChr m:val=""/>
                    <m:grow/>
                  </m:dPr>
                  <m:e>
                    <m:r>
                      <m:t>Φ</m:t>
                    </m:r>
                    <m:d>
                      <m:dPr>
                        <m:begChr m:val="("/>
                        <m:endChr m:val=")"/>
                        <m:sepChr m:val=""/>
                        <m:grow/>
                      </m:dPr>
                      <m:e>
                        <m:sSub>
                          <m:e>
                            <m:r>
                              <m:t>z</m:t>
                            </m:r>
                          </m:e>
                          <m:sub>
                            <m:r>
                              <m:t>L</m:t>
                            </m:r>
                          </m:sub>
                        </m:sSub>
                      </m:e>
                    </m:d>
                    <m:r>
                      <m:rPr>
                        <m:sty m:val="p"/>
                      </m:rPr>
                      <m:t>−</m:t>
                    </m:r>
                    <m:r>
                      <m:t>Φ</m:t>
                    </m:r>
                    <m:d>
                      <m:dPr>
                        <m:begChr m:val="("/>
                        <m:endChr m:val=")"/>
                        <m:sepChr m:val=""/>
                        <m:grow/>
                      </m:dPr>
                      <m:e>
                        <m:sSub>
                          <m:e>
                            <m:r>
                              <m:t>z</m:t>
                            </m:r>
                          </m:e>
                          <m:sub>
                            <m:r>
                              <m:t>0</m:t>
                            </m:r>
                          </m:sub>
                        </m:sSub>
                      </m:e>
                    </m:d>
                  </m:e>
                </m:d>
                <m:r>
                  <m:rPr>
                    <m:sty m:val="p"/>
                  </m:rPr>
                  <m:t>+</m:t>
                </m:r>
                <m:r>
                  <m:t>σ</m:t>
                </m:r>
                <m:d>
                  <m:dPr>
                    <m:begChr m:val="("/>
                    <m:endChr m:val=")"/>
                    <m:sepChr m:val=""/>
                    <m:grow/>
                  </m:dPr>
                  <m:e>
                    <m:r>
                      <m:t>ϕ</m:t>
                    </m:r>
                    <m:d>
                      <m:dPr>
                        <m:begChr m:val="("/>
                        <m:endChr m:val=")"/>
                        <m:sepChr m:val=""/>
                        <m:grow/>
                      </m:dPr>
                      <m:e>
                        <m:sSub>
                          <m:e>
                            <m:r>
                              <m:t>z</m:t>
                            </m:r>
                          </m:e>
                          <m:sub>
                            <m:r>
                              <m:t>0</m:t>
                            </m:r>
                          </m:sub>
                        </m:sSub>
                      </m:e>
                    </m:d>
                    <m:r>
                      <m:rPr>
                        <m:sty m:val="p"/>
                      </m:rPr>
                      <m:t>−</m:t>
                    </m:r>
                    <m:r>
                      <m:t>ϕ</m:t>
                    </m:r>
                    <m:d>
                      <m:dPr>
                        <m:begChr m:val="("/>
                        <m:endChr m:val=")"/>
                        <m:sepChr m:val=""/>
                        <m:grow/>
                      </m:dPr>
                      <m:e>
                        <m:sSub>
                          <m:e>
                            <m:r>
                              <m:t>z</m:t>
                            </m:r>
                          </m:e>
                          <m:sub>
                            <m:r>
                              <m:t>L</m:t>
                            </m:r>
                          </m:sub>
                        </m:sSub>
                      </m:e>
                    </m:d>
                  </m:e>
                </m:d>
                <m:r>
                  <m:rPr>
                    <m:sty m:val="p"/>
                  </m:rPr>
                  <m:t>,</m:t>
                </m:r>
              </m:e>
            </m:mr>
            <m:mr>
              <m:e>
                <m:r>
                  <m:rPr>
                    <m:sty m:val="p"/>
                    <m:scr m:val="double-struck"/>
                  </m:rPr>
                  <m:t>E</m:t>
                </m:r>
                <m:r>
                  <m:rPr>
                    <m:sty m:val="p"/>
                  </m:rPr>
                  <m:t>[</m:t>
                </m:r>
                <m:sSub>
                  <m:e>
                    <m:d>
                      <m:dPr>
                        <m:begChr m:val="("/>
                        <m:endChr m:val=")"/>
                        <m:sepChr m:val=""/>
                        <m:grow/>
                      </m:dPr>
                      <m:e>
                        <m:r>
                          <m:t>L</m:t>
                        </m:r>
                        <m:r>
                          <m:rPr>
                            <m:sty m:val="p"/>
                          </m:rPr>
                          <m:t>−</m:t>
                        </m:r>
                        <m:r>
                          <m:t>P</m:t>
                        </m:r>
                      </m:e>
                    </m:d>
                  </m:e>
                  <m:sub>
                    <m:r>
                      <m:rPr>
                        <m:sty m:val="p"/>
                      </m:rPr>
                      <m:t>+</m:t>
                    </m:r>
                  </m:sub>
                </m:sSub>
                <m:r>
                  <m:rPr>
                    <m:sty m:val="p"/>
                  </m:rPr>
                  <m:t>]</m:t>
                </m:r>
              </m:e>
              <m:e>
                <m:r>
                  <m:rPr>
                    <m:sty m:val="p"/>
                  </m:rPr>
                  <m:t>=</m:t>
                </m:r>
                <m:r>
                  <m:t>L</m:t>
                </m:r>
                <m:r>
                  <m:t>Φ</m:t>
                </m:r>
                <m:d>
                  <m:dPr>
                    <m:begChr m:val="("/>
                    <m:endChr m:val=")"/>
                    <m:sepChr m:val=""/>
                    <m:grow/>
                  </m:dPr>
                  <m:e>
                    <m:sSub>
                      <m:e>
                        <m:r>
                          <m:t>z</m:t>
                        </m:r>
                      </m:e>
                      <m:sub>
                        <m:r>
                          <m:t>L</m:t>
                        </m:r>
                      </m:sub>
                    </m:sSub>
                  </m:e>
                </m:d>
                <m:r>
                  <m:rPr>
                    <m:sty m:val="p"/>
                  </m:rPr>
                  <m:t>−</m:t>
                </m:r>
                <m:sSub>
                  <m:e>
                    <m:r>
                      <m:t>m</m:t>
                    </m:r>
                  </m:e>
                  <m:sub>
                    <m:r>
                      <m:t>1</m:t>
                    </m:r>
                  </m:sub>
                </m:sSub>
                <m:d>
                  <m:dPr>
                    <m:begChr m:val="("/>
                    <m:endChr m:val=")"/>
                    <m:sepChr m:val=""/>
                    <m:grow/>
                  </m:dPr>
                  <m:e>
                    <m:r>
                      <m:t>L</m:t>
                    </m:r>
                  </m:e>
                </m:d>
                <m:r>
                  <m:rPr>
                    <m:sty m:val="p"/>
                  </m:rPr>
                  <m:t>.</m:t>
                </m:r>
              </m:e>
            </m:mr>
          </m:m>
          <m:r>
            <m:t>  </m:t>
          </m:r>
          <m:r>
            <m:rPr>
              <m:nor/>
              <m:sty m:val="p"/>
            </m:rPr>
            <m:t>(S28.2)</m:t>
          </m:r>
        </m:oMath>
      </m:oMathPara>
    </w:p>
    <w:p>
      <w:pPr>
        <w:widowControl/>
        <w:spacing w:after="100"/>
      </w:pPr>
      <w:r>
        <w:t xml:space="preserve">Under the conditional-price approximation</w:t>
      </w:r>
      <w:r>
        <w:t xml:space="preserve"> </w:t>
      </w:r>
      <m:oMath>
        <m:r>
          <m:rPr>
            <m:sty m:val="p"/>
            <m:scr m:val="double-struck"/>
          </m:rPr>
          <m:t>E</m:t>
        </m:r>
        <m:r>
          <m:rPr>
            <m:sty m:val="p"/>
          </m:rPr>
          <m:t>[</m:t>
        </m:r>
        <m:r>
          <m:t>r</m:t>
        </m:r>
        <m:r>
          <m:rPr>
            <m:sty m:val="p"/>
          </m:rPr>
          <m:t>∣</m:t>
        </m:r>
        <m:r>
          <m:t>P</m:t>
        </m:r>
        <m:r>
          <m:rPr>
            <m:sty m:val="p"/>
          </m:rPr>
          <m:t>]</m:t>
        </m:r>
        <m:r>
          <m:rPr>
            <m:sty m:val="p"/>
          </m:rPr>
          <m:t>=</m:t>
        </m:r>
        <m:r>
          <m:t>α</m:t>
        </m:r>
        <m:r>
          <m:rPr>
            <m:sty m:val="p"/>
          </m:rPr>
          <m:t>+</m:t>
        </m:r>
        <m:r>
          <m:t>β</m:t>
        </m:r>
        <m:r>
          <m:t>P</m:t>
        </m:r>
      </m:oMath>
      <w:r>
        <w:t xml:space="preserve">, with PUE and the conditional distribution fixed, the marginal imported-energy surrogate cost is</w:t>
      </w:r>
    </w:p>
    <w:p>
      <w:pPr>
        <w:keepLines/>
        <w:widowControl/>
        <w:spacing w:after="120" w:before="80"/>
        <w:jc w:val="center"/>
      </w:pPr>
      <m:oMathPara>
        <m:oMathParaPr>
          <m:jc m:val="center"/>
        </m:oMathParaPr>
        <m:oMath>
          <m:r>
            <m:t>g</m:t>
          </m:r>
          <m:r>
            <m:rPr>
              <m:sty m:val="p"/>
            </m:rPr>
            <m:t>′</m:t>
          </m:r>
          <m:d>
            <m:dPr>
              <m:begChr m:val="("/>
              <m:endChr m:val=")"/>
              <m:sepChr m:val=""/>
              <m:grow/>
            </m:dPr>
            <m:e>
              <m:r>
                <m:t>x</m:t>
              </m:r>
            </m:e>
          </m:d>
          <m:r>
            <m:rPr>
              <m:sty m:val="p"/>
            </m:rPr>
            <m:t>=</m:t>
          </m:r>
          <m:r>
            <m:t>Δ</m:t>
          </m:r>
          <m:r>
            <m:t>t</m:t>
          </m:r>
          <m:r>
            <m:t> </m:t>
          </m:r>
          <m:r>
            <m:t>k</m:t>
          </m:r>
          <m:r>
            <m:t> </m:t>
          </m:r>
          <m:r>
            <m:rPr>
              <m:sty m:val="p"/>
            </m:rPr>
            <m:t>P</m:t>
          </m:r>
          <m:r>
            <m:rPr>
              <m:sty m:val="p"/>
            </m:rPr>
            <m:t>U</m:t>
          </m:r>
          <m:r>
            <m:rPr>
              <m:sty m:val="p"/>
            </m:rPr>
            <m:t>E</m:t>
          </m:r>
          <m:d>
            <m:dPr>
              <m:begChr m:val="("/>
              <m:endChr m:val=")"/>
              <m:sepChr m:val=""/>
              <m:grow/>
            </m:dPr>
            <m:e>
              <m:r>
                <m:t>α</m:t>
              </m:r>
              <m:r>
                <m:t>Φ</m:t>
              </m:r>
              <m:d>
                <m:dPr>
                  <m:begChr m:val="("/>
                  <m:endChr m:val=")"/>
                  <m:sepChr m:val=""/>
                  <m:grow/>
                </m:dPr>
                <m:e>
                  <m:sSub>
                    <m:e>
                      <m:r>
                        <m:t>z</m:t>
                      </m:r>
                    </m:e>
                    <m:sub>
                      <m:r>
                        <m:t>L</m:t>
                      </m:r>
                    </m:sub>
                  </m:sSub>
                </m:e>
              </m:d>
              <m:r>
                <m:rPr>
                  <m:sty m:val="p"/>
                </m:rPr>
                <m:t>+</m:t>
              </m:r>
              <m:r>
                <m:t>β</m:t>
              </m:r>
              <m:sSub>
                <m:e>
                  <m:r>
                    <m:t>m</m:t>
                  </m:r>
                </m:e>
                <m:sub>
                  <m:r>
                    <m:t>1</m:t>
                  </m:r>
                </m:sub>
              </m:sSub>
              <m:d>
                <m:dPr>
                  <m:begChr m:val="("/>
                  <m:endChr m:val=")"/>
                  <m:sepChr m:val=""/>
                  <m:grow/>
                </m:dPr>
                <m:e>
                  <m:r>
                    <m:t>L</m:t>
                  </m:r>
                </m:e>
              </m:d>
            </m:e>
          </m:d>
          <m:r>
            <m:rPr>
              <m:sty m:val="p"/>
            </m:rPr>
            <m:t>=</m:t>
          </m:r>
          <m:r>
            <m:t>Δ</m:t>
          </m:r>
          <m:r>
            <m:t>t</m:t>
          </m:r>
          <m:r>
            <m:t> </m:t>
          </m:r>
          <m:r>
            <m:t>k</m:t>
          </m:r>
          <m:r>
            <m:t> </m:t>
          </m:r>
          <m:r>
            <m:rPr>
              <m:sty m:val="p"/>
            </m:rPr>
            <m:t>P</m:t>
          </m:r>
          <m:r>
            <m:rPr>
              <m:sty m:val="p"/>
            </m:rPr>
            <m:t>U</m:t>
          </m:r>
          <m:r>
            <m:rPr>
              <m:sty m:val="p"/>
            </m:rPr>
            <m:t>E</m:t>
          </m:r>
          <m:r>
            <m:t> </m:t>
          </m:r>
          <m:r>
            <m:rPr>
              <m:sty m:val="p"/>
              <m:scr m:val="double-struck"/>
            </m:rPr>
            <m:t>E</m:t>
          </m:r>
          <m:r>
            <m:rPr>
              <m:sty m:val="p"/>
            </m:rPr>
            <m:t>[</m:t>
          </m:r>
          <m:r>
            <m:t>r</m:t>
          </m:r>
          <m:r>
            <m:t> </m:t>
          </m:r>
          <m:sSub>
            <m:e>
              <m:r>
                <m:rPr>
                  <m:sty m:val="b"/>
                </m:rPr>
                <m:t>1</m:t>
              </m:r>
            </m:e>
            <m:sub>
              <m:r>
                <m:rPr>
                  <m:sty m:val="p"/>
                </m:rPr>
                <m:t>{</m:t>
              </m:r>
              <m:r>
                <m:t>P</m:t>
              </m:r>
              <m:r>
                <m:rPr>
                  <m:sty m:val="p"/>
                </m:rPr>
                <m:t>&lt;</m:t>
              </m:r>
              <m:r>
                <m:t>L</m:t>
              </m:r>
              <m:r>
                <m:rPr>
                  <m:sty m:val="p"/>
                </m:rPr>
                <m:t>}</m:t>
              </m:r>
            </m:sub>
          </m:sSub>
          <m:r>
            <m:rPr>
              <m:sty m:val="p"/>
            </m:rPr>
            <m:t>]</m:t>
          </m:r>
          <m:r>
            <m:rPr>
              <m:sty m:val="p"/>
            </m:rPr>
            <m:t>.</m:t>
          </m:r>
          <m:r>
            <m:t>  </m:t>
          </m:r>
          <m:r>
            <m:rPr>
              <m:nor/>
              <m:sty m:val="p"/>
            </m:rPr>
            <m:t>(S28.3)</m:t>
          </m:r>
        </m:oMath>
      </m:oMathPara>
    </w:p>
    <w:p>
      <w:pPr>
        <w:widowControl/>
        <w:spacing w:after="100"/>
      </w:pPr>
      <w:r>
        <w:t xml:space="preserve">The derivative follows by differentiating the positive-part import cost away from its probability-zero continuous kink; the zero-PV atom is included in the import region for positive load. This formula describes imported-energy valuation under the declared approximation. The original curtailment, import-deviation and terminal charges remain in execution and settlement. The full second partial moment and price–PV cross moment are retained in the analytical decoder section above.</w:t>
      </w:r>
    </w:p>
    <w:bookmarkEnd w:id="21"/>
    <w:bookmarkStart w:id="22" w:name="Xcb95efeb8cb12a0b1f92e83784f58623c71e731"/>
    <w:p>
      <w:pPr>
        <w:pStyle w:val="Heading2"/>
        <w:keepNext/>
        <w:widowControl/>
        <w:spacing w:after="100"/>
      </w:pPr>
      <w:r>
        <w:rPr>
          <w:color w:val="000000"/>
        </w:rPr>
        <w:t xml:space="preserve">S28.3 Allocation and the shadow cost of capacity</w:t>
      </w:r>
    </w:p>
    <w:p>
      <w:pPr>
        <w:widowControl/>
        <w:spacing w:after="100"/>
      </w:pPr>
      <w:r>
        <w:t xml:space="preserve">For a cohort of size</w:t>
      </w:r>
      <w:r>
        <w:t xml:space="preserve"> </w:t>
      </w:r>
      <m:oMath>
        <m:r>
          <m:t>a</m:t>
        </m:r>
      </m:oMath>
      <w:r>
        <w:t xml:space="preserve">, segment allocation</w:t>
      </w:r>
      <w:r>
        <w:t xml:space="preserve"> </w:t>
      </w:r>
      <m:oMath>
        <m:r>
          <m:t>z</m:t>
        </m:r>
      </m:oMath>
      <w:r>
        <w:t xml:space="preserve">, widths</w:t>
      </w:r>
      <w:r>
        <w:t xml:space="preserve"> </w:t>
      </w:r>
      <m:oMath>
        <m:r>
          <m:t>u</m:t>
        </m:r>
      </m:oMath>
      <w:r>
        <w:t xml:space="preserve">, segment costs</w:t>
      </w:r>
      <w:r>
        <w:t xml:space="preserve"> </w:t>
      </w:r>
      <m:oMath>
        <m:r>
          <m:t>c</m:t>
        </m:r>
      </m:oMath>
      <w:r>
        <w:t xml:space="preserve"> </w:t>
      </w:r>
      <w:r>
        <w:t xml:space="preserve">and total slot execution</w:t>
      </w:r>
      <w:r>
        <w:t xml:space="preserve"> </w:t>
      </w:r>
      <m:oMath>
        <m:sSub>
          <m:e>
            <m:r>
              <m:t>x</m:t>
            </m:r>
          </m:e>
          <m:sub>
            <m:r>
              <m:t>s</m:t>
            </m:r>
          </m:sub>
        </m:sSub>
      </m:oMath>
      <w:r>
        <w:t xml:space="preserve">, the differentiable allocator solves</w:t>
      </w:r>
    </w:p>
    <w:p>
      <w:pPr>
        <w:keepLines/>
        <w:widowControl/>
        <w:spacing w:after="120" w:before="80"/>
        <w:jc w:val="center"/>
      </w:pPr>
      <m:oMathPara>
        <m:oMathParaPr>
          <m:jc m:val="center"/>
        </m:oMathParaPr>
        <m:oMath>
          <m:limLow>
            <m:e>
              <m:r>
                <m:rPr>
                  <m:sty m:val="p"/>
                </m:rPr>
                <m:t>min</m:t>
              </m:r>
            </m:e>
            <m:lim>
              <m:r>
                <m:t>z</m:t>
              </m:r>
            </m:lim>
          </m:limLow>
          <m:r>
            <m:t> </m:t>
          </m:r>
          <m:sSup>
            <m:e>
              <m:r>
                <m:t>c</m:t>
              </m:r>
            </m:e>
            <m:sup>
              <m:r>
                <m:rPr>
                  <m:sty m:val="p"/>
                </m:rPr>
                <m:t>⊤</m:t>
              </m:r>
            </m:sup>
          </m:sSup>
          <m:r>
            <m:t>z</m:t>
          </m:r>
          <m:r>
            <m:rPr>
              <m:sty m:val="p"/>
            </m:rPr>
            <m:t>+</m:t>
          </m:r>
          <m:f>
            <m:fPr>
              <m:type m:val="bar"/>
            </m:fPr>
            <m:num>
              <m:r>
                <m:t>τ</m:t>
              </m:r>
            </m:num>
            <m:den>
              <m:r>
                <m:t>2</m:t>
              </m:r>
            </m:den>
          </m:f>
          <m:nary>
            <m:naryPr>
              <m:chr m:val="∑"/>
              <m:limLoc m:val="undOvr"/>
              <m:subHide m:val="off"/>
              <m:supHide m:val="on"/>
            </m:naryPr>
            <m:sub>
              <m:r>
                <m:t>s</m:t>
              </m:r>
            </m:sub>
            <m:sup>
              <m:r>
                <m:t>​</m:t>
              </m:r>
            </m:sup>
            <m:e>
              <m:sSubSup>
                <m:e>
                  <m:r>
                    <m:t>x</m:t>
                  </m:r>
                </m:e>
                <m:sub>
                  <m:r>
                    <m:t>s</m:t>
                  </m:r>
                </m:sub>
                <m:sup>
                  <m:r>
                    <m:t>2</m:t>
                  </m:r>
                </m:sup>
              </m:sSubSup>
            </m:e>
          </m:nary>
          <m:r>
            <m:rPr>
              <m:sty m:val="p"/>
            </m:rPr>
            <m:t>,</m:t>
          </m:r>
          <m:r>
            <m:t>  </m:t>
          </m:r>
          <m:r>
            <m:t>0</m:t>
          </m:r>
          <m:r>
            <m:rPr>
              <m:sty m:val="p"/>
            </m:rPr>
            <m:t>≤</m:t>
          </m:r>
          <m:r>
            <m:t>z</m:t>
          </m:r>
          <m:r>
            <m:rPr>
              <m:sty m:val="p"/>
            </m:rPr>
            <m:t>≤</m:t>
          </m:r>
          <m:r>
            <m:t>u</m:t>
          </m:r>
          <m:r>
            <m:rPr>
              <m:sty m:val="p"/>
            </m:rPr>
            <m:t>,</m:t>
          </m:r>
          <m:r>
            <m:t>  </m:t>
          </m:r>
          <m:sSup>
            <m:e>
              <m:r>
                <m:rPr>
                  <m:sty m:val="b"/>
                </m:rPr>
                <m:t>1</m:t>
              </m:r>
            </m:e>
            <m:sup>
              <m:r>
                <m:rPr>
                  <m:sty m:val="p"/>
                </m:rPr>
                <m:t>⊤</m:t>
              </m:r>
            </m:sup>
          </m:sSup>
          <m:r>
            <m:t>z</m:t>
          </m:r>
          <m:r>
            <m:rPr>
              <m:sty m:val="p"/>
            </m:rPr>
            <m:t>=</m:t>
          </m:r>
          <m:r>
            <m:t>a</m:t>
          </m:r>
          <m:r>
            <m:rPr>
              <m:sty m:val="p"/>
            </m:rPr>
            <m:t>,</m:t>
          </m:r>
          <m:r>
            <m:t>  </m:t>
          </m:r>
          <m:r>
            <m:t>τ</m:t>
          </m:r>
          <m:r>
            <m:rPr>
              <m:sty m:val="p"/>
            </m:rPr>
            <m:t>=</m:t>
          </m:r>
          <m:r>
            <m:t>2</m:t>
          </m:r>
          <m:r>
            <m:rPr>
              <m:sty m:val="p"/>
            </m:rPr>
            <m:t>.</m:t>
          </m:r>
          <m:r>
            <m:t>  </m:t>
          </m:r>
          <m:r>
            <m:rPr>
              <m:nor/>
              <m:sty m:val="p"/>
            </m:rPr>
            <m:t>(S28.4)</m:t>
          </m:r>
        </m:oMath>
      </m:oMathPara>
    </w:p>
    <w:p>
      <w:pPr>
        <w:widowControl/>
        <w:spacing w:after="100"/>
      </w:pPr>
      <w:r>
        <w:t xml:space="preserve">Sequential cohort reservations share capacity, so a cheaper slot can be valuable to an obligation with fewer alternatives. Let</w:t>
      </w:r>
      <w:r>
        <w:t xml:space="preserve"> </w:t>
      </w:r>
      <m:oMath>
        <m:r>
          <m:rPr>
            <m:sty m:val="p"/>
          </m:rPr>
          <m:t>ℓ</m:t>
        </m:r>
        <m:d>
          <m:dPr>
            <m:begChr m:val="("/>
            <m:endChr m:val=")"/>
            <m:sepChr m:val=""/>
            <m:grow/>
          </m:dPr>
          <m:e>
            <m:r>
              <m:t>x</m:t>
            </m:r>
          </m:e>
        </m:d>
      </m:oMath>
      <w:r>
        <w:t xml:space="preserve"> </w:t>
      </w:r>
      <w:r>
        <w:t xml:space="preserve">be direct cost,</w:t>
      </w:r>
      <w:r>
        <w:t xml:space="preserve"> </w:t>
      </w:r>
      <m:oMath>
        <m:r>
          <m:t>U</m:t>
        </m:r>
      </m:oMath>
      <w:r>
        <w:t xml:space="preserve"> </w:t>
      </w:r>
      <w:r>
        <w:t xml:space="preserve">available capacity and</w:t>
      </w:r>
      <w:r>
        <w:t xml:space="preserve"> </w:t>
      </w:r>
      <m:oMath>
        <m:r>
          <m:t>F</m:t>
        </m:r>
        <m:d>
          <m:dPr>
            <m:begChr m:val="("/>
            <m:endChr m:val=")"/>
            <m:sepChr m:val=""/>
            <m:grow/>
          </m:dPr>
          <m:e>
            <m:r>
              <m:t>U</m:t>
            </m:r>
            <m:r>
              <m:rPr>
                <m:sty m:val="p"/>
              </m:rPr>
              <m:t>−</m:t>
            </m:r>
            <m:r>
              <m:t>x</m:t>
            </m:r>
          </m:e>
        </m:d>
      </m:oMath>
      <w:r>
        <w:t xml:space="preserve"> </w:t>
      </w:r>
      <w:r>
        <w:t xml:space="preserve">continuation cost. Within a differentiable active set, write</w:t>
      </w:r>
      <w:r>
        <w:t xml:space="preserve"> </w:t>
      </w:r>
      <m:oMath>
        <m:sSub>
          <m:e>
            <m:r>
              <m:t>m</m:t>
            </m:r>
          </m:e>
          <m:sub>
            <m:r>
              <m:t>s</m:t>
            </m:r>
          </m:sub>
        </m:sSub>
        <m:r>
          <m:rPr>
            <m:sty m:val="p"/>
          </m:rPr>
          <m:t>=</m:t>
        </m:r>
        <m:r>
          <m:rPr>
            <m:sty m:val="p"/>
          </m:rPr>
          <m:t>∂</m:t>
        </m:r>
        <m:r>
          <m:rPr>
            <m:sty m:val="p"/>
          </m:rPr>
          <m:t>ℓ</m:t>
        </m:r>
        <m:r>
          <m:rPr>
            <m:sty m:val="p"/>
          </m:rPr>
          <m:t>/</m:t>
        </m:r>
        <m:r>
          <m:rPr>
            <m:sty m:val="p"/>
          </m:rPr>
          <m:t>∂</m:t>
        </m:r>
        <m:sSub>
          <m:e>
            <m:r>
              <m:t>x</m:t>
            </m:r>
          </m:e>
          <m:sub>
            <m:r>
              <m:t>s</m:t>
            </m:r>
          </m:sub>
        </m:sSub>
      </m:oMath>
      <w:r>
        <w:t xml:space="preserve"> </w:t>
      </w:r>
      <w:r>
        <w:t xml:space="preserve">and</w:t>
      </w:r>
      <w:r>
        <w:t xml:space="preserve"> </w:t>
      </w:r>
      <m:oMath>
        <m:sSub>
          <m:e>
            <m:r>
              <m:t>κ</m:t>
            </m:r>
          </m:e>
          <m:sub>
            <m:r>
              <m:t>s</m:t>
            </m:r>
          </m:sub>
        </m:sSub>
        <m:r>
          <m:rPr>
            <m:sty m:val="p"/>
          </m:rPr>
          <m:t>=</m:t>
        </m:r>
        <m:r>
          <m:rPr>
            <m:sty m:val="p"/>
          </m:rPr>
          <m:t>−</m:t>
        </m:r>
        <m:r>
          <m:rPr>
            <m:sty m:val="p"/>
          </m:rPr>
          <m:t>∂</m:t>
        </m:r>
        <m:r>
          <m:t>F</m:t>
        </m:r>
        <m:r>
          <m:rPr>
            <m:sty m:val="p"/>
          </m:rPr>
          <m:t>/</m:t>
        </m:r>
        <m:r>
          <m:rPr>
            <m:sty m:val="p"/>
          </m:rPr>
          <m:t>∂</m:t>
        </m:r>
        <m:r>
          <m:t>U</m:t>
        </m:r>
        <m:sSub>
          <m:e>
            <m:r>
              <m:rPr>
                <m:sty m:val="p"/>
              </m:rPr>
              <m:t>′</m:t>
            </m:r>
          </m:e>
          <m:sub>
            <m:r>
              <m:t>s</m:t>
            </m:r>
          </m:sub>
        </m:sSub>
      </m:oMath>
      <w:r>
        <w:t xml:space="preserve"> </w:t>
      </w:r>
      <w:r>
        <w:t xml:space="preserve">at</w:t>
      </w:r>
      <w:r>
        <w:t xml:space="preserve"> </w:t>
      </w:r>
      <m:oMath>
        <m:r>
          <m:t>U</m:t>
        </m:r>
        <m:r>
          <m:rPr>
            <m:sty m:val="p"/>
          </m:rPr>
          <m:t>′</m:t>
        </m:r>
        <m:r>
          <m:rPr>
            <m:sty m:val="p"/>
          </m:rPr>
          <m:t>=</m:t>
        </m:r>
        <m:r>
          <m:t>U</m:t>
        </m:r>
        <m:r>
          <m:rPr>
            <m:sty m:val="p"/>
          </m:rPr>
          <m:t>−</m:t>
        </m:r>
        <m:r>
          <m:t>x</m:t>
        </m:r>
      </m:oMath>
      <w:r>
        <w:t xml:space="preserve">. A feasible marginal transfer from slot</w:t>
      </w:r>
      <w:r>
        <w:t xml:space="preserve"> </w:t>
      </w:r>
      <m:oMath>
        <m:r>
          <m:t>t</m:t>
        </m:r>
      </m:oMath>
      <w:r>
        <w:t xml:space="preserve"> </w:t>
      </w:r>
      <w:r>
        <w:t xml:space="preserve">to slot</w:t>
      </w:r>
      <w:r>
        <w:t xml:space="preserve"> </w:t>
      </w:r>
      <m:oMath>
        <m:r>
          <m:t>s</m:t>
        </m:r>
      </m:oMath>
      <w:r>
        <w:t xml:space="preserve"> </w:t>
      </w:r>
      <w:r>
        <w:t xml:space="preserve">gives</w:t>
      </w:r>
    </w:p>
    <w:p>
      <w:pPr>
        <w:keepLines/>
        <w:widowControl/>
        <w:spacing w:after="120" w:before="80"/>
        <w:jc w:val="center"/>
      </w:pPr>
      <m:oMathPara>
        <m:oMathParaPr>
          <m:jc m:val="center"/>
        </m:oMathParaPr>
        <m:oMath>
          <m:r>
            <m:t>J</m:t>
          </m:r>
          <m:d>
            <m:dPr>
              <m:begChr m:val="("/>
              <m:endChr m:val=")"/>
              <m:sepChr m:val=""/>
              <m:grow/>
            </m:dPr>
            <m:e>
              <m:r>
                <m:t>x</m:t>
              </m:r>
              <m:r>
                <m:rPr>
                  <m:sty m:val="p"/>
                </m:rPr>
                <m:t>,</m:t>
              </m:r>
              <m:r>
                <m:t>U</m:t>
              </m:r>
            </m:e>
          </m:d>
          <m:r>
            <m:rPr>
              <m:sty m:val="p"/>
            </m:rPr>
            <m:t>=</m:t>
          </m:r>
          <m:r>
            <m:rPr>
              <m:sty m:val="p"/>
            </m:rPr>
            <m:t>ℓ</m:t>
          </m:r>
          <m:d>
            <m:dPr>
              <m:begChr m:val="("/>
              <m:endChr m:val=")"/>
              <m:sepChr m:val=""/>
              <m:grow/>
            </m:dPr>
            <m:e>
              <m:r>
                <m:t>x</m:t>
              </m:r>
            </m:e>
          </m:d>
          <m:r>
            <m:rPr>
              <m:sty m:val="p"/>
            </m:rPr>
            <m:t>+</m:t>
          </m:r>
          <m:r>
            <m:t>F</m:t>
          </m:r>
          <m:d>
            <m:dPr>
              <m:begChr m:val="("/>
              <m:endChr m:val=")"/>
              <m:sepChr m:val=""/>
              <m:grow/>
            </m:dPr>
            <m:e>
              <m:r>
                <m:t>U</m:t>
              </m:r>
              <m:r>
                <m:rPr>
                  <m:sty m:val="p"/>
                </m:rPr>
                <m:t>−</m:t>
              </m:r>
              <m:r>
                <m:t>x</m:t>
              </m:r>
            </m:e>
          </m:d>
          <m:r>
            <m:rPr>
              <m:sty m:val="p"/>
            </m:rPr>
            <m:t>,</m:t>
          </m:r>
          <m:r>
            <m:t>  </m:t>
          </m:r>
          <m:sSub>
            <m:e>
              <m:r>
                <m:t>D</m:t>
              </m:r>
            </m:e>
            <m:sub>
              <m:r>
                <m:t>t</m:t>
              </m:r>
              <m:r>
                <m:rPr>
                  <m:sty m:val="p"/>
                </m:rPr>
                <m:t>→</m:t>
              </m:r>
              <m:r>
                <m:t>s</m:t>
              </m:r>
            </m:sub>
          </m:sSub>
          <m:r>
            <m:t>J</m:t>
          </m:r>
          <m:r>
            <m:rPr>
              <m:sty m:val="p"/>
            </m:rPr>
            <m:t>=</m:t>
          </m:r>
          <m:sSub>
            <m:e>
              <m:r>
                <m:t>m</m:t>
              </m:r>
            </m:e>
            <m:sub>
              <m:r>
                <m:t>s</m:t>
              </m:r>
            </m:sub>
          </m:sSub>
          <m:r>
            <m:rPr>
              <m:sty m:val="p"/>
            </m:rPr>
            <m:t>−</m:t>
          </m:r>
          <m:sSub>
            <m:e>
              <m:r>
                <m:t>m</m:t>
              </m:r>
            </m:e>
            <m:sub>
              <m:r>
                <m:t>t</m:t>
              </m:r>
            </m:sub>
          </m:sSub>
          <m:r>
            <m:rPr>
              <m:sty m:val="p"/>
            </m:rPr>
            <m:t>+</m:t>
          </m:r>
          <m:sSub>
            <m:e>
              <m:r>
                <m:t>κ</m:t>
              </m:r>
            </m:e>
            <m:sub>
              <m:r>
                <m:t>s</m:t>
              </m:r>
            </m:sub>
          </m:sSub>
          <m:r>
            <m:rPr>
              <m:sty m:val="p"/>
            </m:rPr>
            <m:t>−</m:t>
          </m:r>
          <m:sSub>
            <m:e>
              <m:r>
                <m:t>κ</m:t>
              </m:r>
            </m:e>
            <m:sub>
              <m:r>
                <m:t>t</m:t>
              </m:r>
            </m:sub>
          </m:sSub>
          <m:r>
            <m:rPr>
              <m:sty m:val="p"/>
            </m:rPr>
            <m:t>.</m:t>
          </m:r>
          <m:r>
            <m:t>  </m:t>
          </m:r>
          <m:r>
            <m:rPr>
              <m:nor/>
              <m:sty m:val="p"/>
            </m:rPr>
            <m:t>(S28.5)</m:t>
          </m:r>
        </m:oMath>
      </m:oMathPara>
    </w:p>
    <w:p>
      <w:pPr>
        <w:widowControl/>
        <w:spacing w:after="100"/>
      </w:pPr>
      <w:r>
        <w:t xml:space="preserve">Delay reduces local cost when</w:t>
      </w:r>
      <w:r>
        <w:t xml:space="preserve"> </w:t>
      </w:r>
      <m:oMath>
        <m:sSub>
          <m:e>
            <m:r>
              <m:t>m</m:t>
            </m:r>
          </m:e>
          <m:sub>
            <m:r>
              <m:t>t</m:t>
            </m:r>
          </m:sub>
        </m:sSub>
        <m:r>
          <m:rPr>
            <m:sty m:val="p"/>
          </m:rPr>
          <m:t>−</m:t>
        </m:r>
        <m:sSub>
          <m:e>
            <m:r>
              <m:t>m</m:t>
            </m:r>
          </m:e>
          <m:sub>
            <m:r>
              <m:t>s</m:t>
            </m:r>
          </m:sub>
        </m:sSub>
        <m:r>
          <m:rPr>
            <m:sty m:val="p"/>
          </m:rPr>
          <m:t>&gt;</m:t>
        </m:r>
        <m:sSub>
          <m:e>
            <m:r>
              <m:t>κ</m:t>
            </m:r>
          </m:e>
          <m:sub>
            <m:r>
              <m:t>s</m:t>
            </m:r>
          </m:sub>
        </m:sSub>
        <m:r>
          <m:rPr>
            <m:sty m:val="p"/>
          </m:rPr>
          <m:t>−</m:t>
        </m:r>
        <m:sSub>
          <m:e>
            <m:r>
              <m:t>κ</m:t>
            </m:r>
          </m:e>
          <m:sub>
            <m:r>
              <m:t>t</m:t>
            </m:r>
          </m:sub>
        </m:sSub>
      </m:oMath>
      <w:r>
        <w:t xml:space="preserve">. The comparison includes the capacity released at the earlier slot. For a concrete illustration, two unit cohorts can use slots 1–2 and 2–3, respectively, with unit slot capacities and</w:t>
      </w:r>
      <w:r>
        <w:t xml:space="preserve"> </w:t>
      </w:r>
      <m:oMath>
        <m:sSub>
          <m:e>
            <m:r>
              <m:t>c</m:t>
            </m:r>
          </m:e>
          <m:sub>
            <m:r>
              <m:t>2</m:t>
            </m:r>
          </m:sub>
        </m:sSub>
        <m:r>
          <m:rPr>
            <m:sty m:val="p"/>
          </m:rPr>
          <m:t>&lt;</m:t>
        </m:r>
        <m:sSub>
          <m:e>
            <m:r>
              <m:t>c</m:t>
            </m:r>
          </m:e>
          <m:sub>
            <m:r>
              <m:t>1</m:t>
            </m:r>
          </m:sub>
        </m:sSub>
        <m:r>
          <m:rPr>
            <m:sty m:val="p"/>
          </m:rPr>
          <m:t>&lt;</m:t>
        </m:r>
        <m:sSub>
          <m:e>
            <m:r>
              <m:t>c</m:t>
            </m:r>
          </m:e>
          <m:sub>
            <m:r>
              <m:t>3</m:t>
            </m:r>
          </m:sub>
        </m:sSub>
      </m:oMath>
      <w:r>
        <w:t xml:space="preserve">. Moving the first cohort from 1 to 2 saves</w:t>
      </w:r>
      <w:r>
        <w:t xml:space="preserve"> </w:t>
      </w:r>
      <m:oMath>
        <m:sSub>
          <m:e>
            <m:r>
              <m:t>c</m:t>
            </m:r>
          </m:e>
          <m:sub>
            <m:r>
              <m:t>1</m:t>
            </m:r>
          </m:sub>
        </m:sSub>
        <m:r>
          <m:rPr>
            <m:sty m:val="p"/>
          </m:rPr>
          <m:t>−</m:t>
        </m:r>
        <m:sSub>
          <m:e>
            <m:r>
              <m:t>c</m:t>
            </m:r>
          </m:e>
          <m:sub>
            <m:r>
              <m:t>2</m:t>
            </m:r>
          </m:sub>
        </m:sSub>
      </m:oMath>
      <w:r>
        <w:t xml:space="preserve"> </w:t>
      </w:r>
      <w:r>
        <w:t xml:space="preserve">directly but displaces the second cohort from 2 to 3 at cost</w:t>
      </w:r>
      <w:r>
        <w:t xml:space="preserve"> </w:t>
      </w:r>
      <m:oMath>
        <m:sSub>
          <m:e>
            <m:r>
              <m:t>c</m:t>
            </m:r>
          </m:e>
          <m:sub>
            <m:r>
              <m:t>3</m:t>
            </m:r>
          </m:sub>
        </m:sSub>
        <m:r>
          <m:rPr>
            <m:sty m:val="p"/>
          </m:rPr>
          <m:t>−</m:t>
        </m:r>
        <m:sSub>
          <m:e>
            <m:r>
              <m:t>c</m:t>
            </m:r>
          </m:e>
          <m:sub>
            <m:r>
              <m:t>2</m:t>
            </m:r>
          </m:sub>
        </m:sSub>
      </m:oMath>
      <w:r>
        <w:t xml:space="preserve">. Serving the first cohort earlier saves</w:t>
      </w:r>
      <w:r>
        <w:t xml:space="preserve"> </w:t>
      </w:r>
      <m:oMath>
        <m:sSub>
          <m:e>
            <m:r>
              <m:t>c</m:t>
            </m:r>
          </m:e>
          <m:sub>
            <m:r>
              <m:t>3</m:t>
            </m:r>
          </m:sub>
        </m:sSub>
        <m:r>
          <m:rPr>
            <m:sty m:val="p"/>
          </m:rPr>
          <m:t>−</m:t>
        </m:r>
        <m:sSub>
          <m:e>
            <m:r>
              <m:t>c</m:t>
            </m:r>
          </m:e>
          <m:sub>
            <m:r>
              <m:t>1</m:t>
            </m:r>
          </m:sub>
        </m:sSub>
      </m:oMath>
      <w:r>
        <w:t xml:space="preserve"> </w:t>
      </w:r>
      <w:r>
        <w:t xml:space="preserve">overall while completing the same work. This is a deterministic operating illustration, separate from the abstract information examples in Table 38.</w:t>
      </w:r>
    </w:p>
    <w:bookmarkEnd w:id="22"/>
    <w:bookmarkStart w:id="23" w:name="s28.4-commitment-time-executor"/>
    <w:p>
      <w:pPr>
        <w:pStyle w:val="Heading2"/>
        <w:keepNext/>
        <w:widowControl/>
        <w:spacing w:after="100"/>
      </w:pPr>
      <w:r>
        <w:rPr>
          <w:color w:val="000000"/>
        </w:rPr>
        <w:t xml:space="preserve">S28.4 Commitment-time executor</w:t>
      </w:r>
    </w:p>
    <w:p>
      <w:pPr>
        <w:widowControl/>
        <w:spacing w:after="100"/>
      </w:pPr>
      <w:r>
        <w:t xml:space="preserve">Let</w:t>
      </w:r>
      <w:r>
        <w:t xml:space="preserve"> </w:t>
      </w:r>
      <m:oMath>
        <m:sSub>
          <m:e>
            <m:r>
              <m:t>B</m:t>
            </m:r>
          </m:e>
          <m:sub>
            <m:r>
              <m:t>t</m:t>
            </m:r>
          </m:sub>
        </m:sSub>
        <m:d>
          <m:dPr>
            <m:begChr m:val="("/>
            <m:endChr m:val=")"/>
            <m:sepChr m:val=""/>
            <m:grow/>
          </m:dPr>
          <m:e>
            <m:r>
              <m:t>d</m:t>
            </m:r>
          </m:e>
        </m:d>
      </m:oMath>
      <w:r>
        <w:t xml:space="preserve"> </w:t>
      </w:r>
      <w:r>
        <w:t xml:space="preserve">be known outstanding admitted work whose exclusive deadline is no later than</w:t>
      </w:r>
      <w:r>
        <w:t xml:space="preserve"> </w:t>
      </w:r>
      <m:oMath>
        <m:r>
          <m:t>d</m:t>
        </m:r>
      </m:oMath>
      <w:r>
        <w:t xml:space="preserve">, and let</w:t>
      </w:r>
      <w:r>
        <w:t xml:space="preserve"> </w:t>
      </w:r>
      <m:oMath>
        <m:sSubSup>
          <m:e>
            <m:r>
              <m:t>K</m:t>
            </m:r>
          </m:e>
          <m:sub>
            <m:r>
              <m:t>s</m:t>
            </m:r>
          </m:sub>
          <m:sup>
            <m:r>
              <m:rPr>
                <m:sty m:val="p"/>
              </m:rPr>
              <m:t>−</m:t>
            </m:r>
          </m:sup>
        </m:sSubSup>
      </m:oMath>
      <w:r>
        <w:t xml:space="preserve"> </w:t>
      </w:r>
      <w:r>
        <w:t xml:space="preserve">be a jointly achievable conservative future capacity path. The required current service is</w:t>
      </w:r>
    </w:p>
    <w:p>
      <w:pPr>
        <w:keepLines/>
        <w:widowControl/>
        <w:spacing w:after="120" w:before="80"/>
        <w:jc w:val="center"/>
      </w:pPr>
      <m:oMathPara>
        <m:oMathParaPr>
          <m:jc m:val="center"/>
        </m:oMathParaPr>
        <m:oMath>
          <m:sSub>
            <m:e>
              <m:r>
                <m:t>r</m:t>
              </m:r>
            </m:e>
            <m:sub>
              <m:r>
                <m:t>t</m:t>
              </m:r>
            </m:sub>
          </m:sSub>
          <m:r>
            <m:rPr>
              <m:sty m:val="p"/>
            </m:rPr>
            <m:t>=</m:t>
          </m:r>
          <m:r>
            <m:rPr>
              <m:sty m:val="p"/>
            </m:rPr>
            <m:t>max</m:t>
          </m:r>
          <m:d>
            <m:dPr>
              <m:begChr m:val="("/>
              <m:endChr m:val=")"/>
              <m:sepChr m:val=""/>
              <m:grow/>
            </m:dPr>
            <m:e>
              <m:r>
                <m:t>0</m:t>
              </m:r>
              <m:r>
                <m:rPr>
                  <m:sty m:val="p"/>
                </m:rPr>
                <m:t>,</m:t>
              </m:r>
              <m:limLow>
                <m:e>
                  <m:r>
                    <m:rPr>
                      <m:sty m:val="p"/>
                    </m:rPr>
                    <m:t>max</m:t>
                  </m:r>
                </m:e>
                <m:lim>
                  <m:r>
                    <m:t>d</m:t>
                  </m:r>
                  <m:r>
                    <m:rPr>
                      <m:sty m:val="p"/>
                    </m:rPr>
                    <m:t>≥</m:t>
                  </m:r>
                  <m:r>
                    <m:t>t</m:t>
                  </m:r>
                  <m:r>
                    <m:rPr>
                      <m:sty m:val="p"/>
                    </m:rPr>
                    <m:t>+</m:t>
                  </m:r>
                  <m:r>
                    <m:t>1</m:t>
                  </m:r>
                </m:lim>
              </m:limLow>
              <m:d>
                <m:dPr>
                  <m:begChr m:val="("/>
                  <m:endChr m:val=")"/>
                  <m:sepChr m:val=""/>
                  <m:grow/>
                </m:dPr>
                <m:e>
                  <m:sSub>
                    <m:e>
                      <m:r>
                        <m:t>B</m:t>
                      </m:r>
                    </m:e>
                    <m:sub>
                      <m:r>
                        <m:t>t</m:t>
                      </m:r>
                    </m:sub>
                  </m:sSub>
                  <m:d>
                    <m:dPr>
                      <m:begChr m:val="("/>
                      <m:endChr m:val=")"/>
                      <m:sepChr m:val=""/>
                      <m:grow/>
                    </m:dPr>
                    <m:e>
                      <m:r>
                        <m:t>d</m:t>
                      </m:r>
                    </m:e>
                  </m:d>
                  <m:r>
                    <m:rPr>
                      <m:sty m:val="p"/>
                    </m:rPr>
                    <m:t>−</m:t>
                  </m:r>
                  <m:nary>
                    <m:naryPr>
                      <m:chr m:val="∑"/>
                      <m:limLoc m:val="undOvr"/>
                      <m:subHide m:val="off"/>
                      <m:supHide m:val="off"/>
                    </m:naryPr>
                    <m:sub>
                      <m:r>
                        <m:t>s</m:t>
                      </m:r>
                      <m:r>
                        <m:rPr>
                          <m:sty m:val="p"/>
                        </m:rPr>
                        <m:t>=</m:t>
                      </m:r>
                      <m:r>
                        <m:t>t</m:t>
                      </m:r>
                      <m:r>
                        <m:rPr>
                          <m:sty m:val="p"/>
                        </m:rPr>
                        <m:t>+</m:t>
                      </m:r>
                      <m:r>
                        <m:t>1</m:t>
                      </m:r>
                    </m:sub>
                    <m:sup>
                      <m:r>
                        <m:t>d</m:t>
                      </m:r>
                      <m:r>
                        <m:rPr>
                          <m:sty m:val="p"/>
                        </m:rPr>
                        <m:t>−</m:t>
                      </m:r>
                      <m:r>
                        <m:t>1</m:t>
                      </m:r>
                    </m:sup>
                    <m:e>
                      <m:sSubSup>
                        <m:e>
                          <m:r>
                            <m:t>K</m:t>
                          </m:r>
                        </m:e>
                        <m:sub>
                          <m:r>
                            <m:t>s</m:t>
                          </m:r>
                        </m:sub>
                        <m:sup>
                          <m:r>
                            <m:rPr>
                              <m:sty m:val="p"/>
                            </m:rPr>
                            <m:t>−</m:t>
                          </m:r>
                        </m:sup>
                      </m:sSubSup>
                    </m:e>
                  </m:nary>
                </m:e>
              </m:d>
            </m:e>
          </m:d>
          <m:r>
            <m:rPr>
              <m:sty m:val="p"/>
            </m:rPr>
            <m:t>.</m:t>
          </m:r>
          <m:r>
            <m:t>  </m:t>
          </m:r>
          <m:r>
            <m:rPr>
              <m:nor/>
              <m:sty m:val="p"/>
            </m:rPr>
            <m:t>(S28.6)</m:t>
          </m:r>
        </m:oMath>
      </m:oMathPara>
    </w:p>
    <w:p>
      <w:pPr>
        <w:widowControl/>
        <w:spacing w:after="100"/>
      </w:pPr>
      <w:r>
        <w:t xml:space="preserve">For constant future capacity, the subtraction is</w:t>
      </w:r>
      <w:r>
        <w:t xml:space="preserve"> </w:t>
      </w:r>
      <m:oMath>
        <m:d>
          <m:dPr>
            <m:begChr m:val="("/>
            <m:endChr m:val=")"/>
            <m:sepChr m:val=""/>
            <m:grow/>
          </m:dPr>
          <m:e>
            <m:r>
              <m:t>d</m:t>
            </m:r>
            <m:r>
              <m:rPr>
                <m:sty m:val="p"/>
              </m:rPr>
              <m:t>−</m:t>
            </m:r>
            <m:r>
              <m:t>t</m:t>
            </m:r>
            <m:r>
              <m:rPr>
                <m:sty m:val="p"/>
              </m:rPr>
              <m:t>−</m:t>
            </m:r>
            <m:r>
              <m:t>1</m:t>
            </m:r>
          </m:e>
        </m:d>
        <m:sSup>
          <m:e>
            <m:r>
              <m:t>K</m:t>
            </m:r>
          </m:e>
          <m:sup>
            <m:r>
              <m:rPr>
                <m:sty m:val="p"/>
              </m:rPr>
              <m:t>min</m:t>
            </m:r>
          </m:sup>
        </m:sSup>
      </m:oMath>
      <w:r>
        <w:t xml:space="preserve">. The equivalent inclusive last-eligible slot</w:t>
      </w:r>
      <w:r>
        <w:t xml:space="preserve"> </w:t>
      </w:r>
      <m:oMath>
        <m:r>
          <m:t>u</m:t>
        </m:r>
        <m:r>
          <m:rPr>
            <m:sty m:val="p"/>
          </m:rPr>
          <m:t>=</m:t>
        </m:r>
        <m:r>
          <m:t>d</m:t>
        </m:r>
        <m:r>
          <m:rPr>
            <m:sty m:val="p"/>
          </m:rPr>
          <m:t>−</m:t>
        </m:r>
        <m:r>
          <m:t>1</m:t>
        </m:r>
      </m:oMath>
      <w:r>
        <w:t xml:space="preserve"> </w:t>
      </w:r>
      <w:r>
        <w:t xml:space="preserve">gives</w:t>
      </w:r>
      <w:r>
        <w:t xml:space="preserve"> </w:t>
      </w:r>
      <m:oMath>
        <m:d>
          <m:dPr>
            <m:begChr m:val="("/>
            <m:endChr m:val=")"/>
            <m:sepChr m:val=""/>
            <m:grow/>
          </m:dPr>
          <m:e>
            <m:r>
              <m:t>u</m:t>
            </m:r>
            <m:r>
              <m:rPr>
                <m:sty m:val="p"/>
              </m:rPr>
              <m:t>−</m:t>
            </m:r>
            <m:r>
              <m:t>t</m:t>
            </m:r>
          </m:e>
        </m:d>
        <m:sSup>
          <m:e>
            <m:r>
              <m:t>K</m:t>
            </m:r>
          </m:e>
          <m:sup>
            <m:r>
              <m:rPr>
                <m:sty m:val="p"/>
              </m:rPr>
              <m:t>min</m:t>
            </m:r>
          </m:sup>
        </m:sSup>
      </m:oMath>
      <w:r>
        <w:t xml:space="preserve">. The registered physical envelope uses zero PV, maximum PUE and the previous completed import:</w:t>
      </w:r>
    </w:p>
    <w:p>
      <w:pPr>
        <w:keepLines/>
        <w:widowControl/>
        <w:spacing w:after="120" w:before="80"/>
        <w:jc w:val="center"/>
      </w:pPr>
      <m:oMathPara>
        <m:oMathParaPr>
          <m:jc m:val="center"/>
        </m:oMathParaPr>
        <m:oMath>
          <m:m>
            <m:mPr>
              <m:baseJc m:val="center"/>
              <m:plcHide m:val="on"/>
              <m:mcs>
                <m:mc>
                  <m:mcPr>
                    <m:mcJc m:val="right"/>
                    <m:count m:val="1"/>
                  </m:mcPr>
                </m:mc>
                <m:mc>
                  <m:mcPr>
                    <m:mcJc m:val="left"/>
                    <m:count m:val="1"/>
                  </m:mcPr>
                </m:mc>
              </m:mcs>
            </m:mPr>
            <m:mr>
              <m:e>
                <m:sSubSup>
                  <m:e>
                    <m:r>
                      <m:t>G</m:t>
                    </m:r>
                  </m:e>
                  <m:sub>
                    <m:r>
                      <m:t>z</m:t>
                    </m:r>
                    <m:r>
                      <m:rPr>
                        <m:sty m:val="p"/>
                      </m:rPr>
                      <m:t>,</m:t>
                    </m:r>
                    <m:r>
                      <m:t>t</m:t>
                    </m:r>
                  </m:sub>
                  <m:sup>
                    <m:r>
                      <m:rPr>
                        <m:sty m:val="p"/>
                      </m:rPr>
                      <m:t>a</m:t>
                    </m:r>
                    <m:r>
                      <m:rPr>
                        <m:sty m:val="p"/>
                      </m:rPr>
                      <m:t>l</m:t>
                    </m:r>
                    <m:r>
                      <m:rPr>
                        <m:sty m:val="p"/>
                      </m:rPr>
                      <m:t>l</m:t>
                    </m:r>
                    <m:r>
                      <m:rPr>
                        <m:sty m:val="p"/>
                      </m:rPr>
                      <m:t>o</m:t>
                    </m:r>
                    <m:r>
                      <m:rPr>
                        <m:sty m:val="p"/>
                      </m:rPr>
                      <m:t>w</m:t>
                    </m:r>
                  </m:sup>
                </m:sSubSup>
              </m:e>
              <m:e>
                <m:r>
                  <m:rPr>
                    <m:sty m:val="p"/>
                  </m:rPr>
                  <m:t>=</m:t>
                </m:r>
                <m:r>
                  <m:rPr>
                    <m:sty m:val="p"/>
                  </m:rPr>
                  <m:t>min</m:t>
                </m:r>
                <m:d>
                  <m:dPr>
                    <m:begChr m:val="("/>
                    <m:endChr m:val=")"/>
                    <m:sepChr m:val=""/>
                    <m:grow/>
                  </m:dPr>
                  <m:e>
                    <m:sSubSup>
                      <m:e>
                        <m:r>
                          <m:t>G</m:t>
                        </m:r>
                      </m:e>
                      <m:sub>
                        <m:r>
                          <m:t>z</m:t>
                        </m:r>
                      </m:sub>
                      <m:sup>
                        <m:r>
                          <m:rPr>
                            <m:sty m:val="p"/>
                          </m:rPr>
                          <m:t>max</m:t>
                        </m:r>
                      </m:sup>
                    </m:sSubSup>
                    <m:r>
                      <m:rPr>
                        <m:sty m:val="p"/>
                      </m:rPr>
                      <m:t>,</m:t>
                    </m:r>
                    <m:sSub>
                      <m:e>
                        <m:r>
                          <m:t>G</m:t>
                        </m:r>
                      </m:e>
                      <m:sub>
                        <m:r>
                          <m:t>z</m:t>
                        </m:r>
                        <m:r>
                          <m:rPr>
                            <m:sty m:val="p"/>
                          </m:rPr>
                          <m:t>,</m:t>
                        </m:r>
                        <m:r>
                          <m:t>t</m:t>
                        </m:r>
                        <m:r>
                          <m:rPr>
                            <m:sty m:val="p"/>
                          </m:rPr>
                          <m:t>−</m:t>
                        </m:r>
                        <m:r>
                          <m:t>1</m:t>
                        </m:r>
                      </m:sub>
                    </m:sSub>
                    <m:r>
                      <m:rPr>
                        <m:sty m:val="p"/>
                      </m:rPr>
                      <m:t>+</m:t>
                    </m:r>
                    <m:sSubSup>
                      <m:e>
                        <m:r>
                          <m:t>R</m:t>
                        </m:r>
                      </m:e>
                      <m:sub>
                        <m:r>
                          <m:t>z</m:t>
                        </m:r>
                      </m:sub>
                      <m:sup>
                        <m:r>
                          <m:rPr>
                            <m:sty m:val="p"/>
                          </m:rPr>
                          <m:t>u</m:t>
                        </m:r>
                        <m:r>
                          <m:rPr>
                            <m:sty m:val="p"/>
                          </m:rPr>
                          <m:t>p</m:t>
                        </m:r>
                      </m:sup>
                    </m:sSubSup>
                  </m:e>
                </m:d>
                <m:r>
                  <m:rPr>
                    <m:sty m:val="p"/>
                  </m:rPr>
                  <m:t>,</m:t>
                </m:r>
              </m:e>
            </m:mr>
            <m:mr>
              <m:e>
                <m:sSubSup>
                  <m:e>
                    <m:r>
                      <m:t>K</m:t>
                    </m:r>
                  </m:e>
                  <m:sub>
                    <m:r>
                      <m:t>z</m:t>
                    </m:r>
                    <m:r>
                      <m:rPr>
                        <m:sty m:val="p"/>
                      </m:rPr>
                      <m:t>,</m:t>
                    </m:r>
                    <m:r>
                      <m:t>t</m:t>
                    </m:r>
                  </m:sub>
                  <m:sup>
                    <m:r>
                      <m:rPr>
                        <m:sty m:val="p"/>
                      </m:rPr>
                      <m:t>n</m:t>
                    </m:r>
                    <m:r>
                      <m:rPr>
                        <m:sty m:val="p"/>
                      </m:rPr>
                      <m:t>o</m:t>
                    </m:r>
                    <m:r>
                      <m:rPr>
                        <m:sty m:val="p"/>
                      </m:rPr>
                      <m:t>w</m:t>
                    </m:r>
                  </m:sup>
                </m:sSubSup>
              </m:e>
              <m:e>
                <m:r>
                  <m:rPr>
                    <m:sty m:val="p"/>
                  </m:rPr>
                  <m:t>=</m:t>
                </m:r>
                <m:r>
                  <m:rPr>
                    <m:sty m:val="p"/>
                  </m:rPr>
                  <m:t>min</m:t>
                </m:r>
                <m:d>
                  <m:dPr>
                    <m:begChr m:val="("/>
                    <m:endChr m:val=")"/>
                    <m:sepChr m:val=""/>
                    <m:grow/>
                  </m:dPr>
                  <m:e>
                    <m:sSub>
                      <m:e>
                        <m:r>
                          <m:t>C</m:t>
                        </m:r>
                      </m:e>
                      <m:sub>
                        <m:r>
                          <m:t>z</m:t>
                        </m:r>
                      </m:sub>
                    </m:sSub>
                    <m:r>
                      <m:rPr>
                        <m:sty m:val="p"/>
                      </m:rPr>
                      <m:t>,</m:t>
                    </m:r>
                    <m:r>
                      <m:rPr>
                        <m:sty m:val="p"/>
                      </m:rPr>
                      <m:t>max</m:t>
                    </m:r>
                    <m:d>
                      <m:dPr>
                        <m:begChr m:val="("/>
                        <m:endChr m:val=")"/>
                        <m:sepChr m:val=""/>
                        <m:grow/>
                      </m:dPr>
                      <m:e>
                        <m:r>
                          <m:t>0</m:t>
                        </m:r>
                        <m:r>
                          <m:rPr>
                            <m:sty m:val="p"/>
                          </m:rPr>
                          <m:t>,</m:t>
                        </m:r>
                        <m:d>
                          <m:dPr>
                            <m:begChr m:val="("/>
                            <m:endChr m:val=")"/>
                            <m:sepChr m:val=""/>
                            <m:grow/>
                          </m:dPr>
                          <m:e>
                            <m:sSubSup>
                              <m:e>
                                <m:r>
                                  <m:t>G</m:t>
                                </m:r>
                              </m:e>
                              <m:sub>
                                <m:r>
                                  <m:t>z</m:t>
                                </m:r>
                                <m:r>
                                  <m:rPr>
                                    <m:sty m:val="p"/>
                                  </m:rPr>
                                  <m:t>,</m:t>
                                </m:r>
                                <m:r>
                                  <m:t>t</m:t>
                                </m:r>
                              </m:sub>
                              <m:sup>
                                <m:r>
                                  <m:rPr>
                                    <m:sty m:val="p"/>
                                  </m:rPr>
                                  <m:t>a</m:t>
                                </m:r>
                                <m:r>
                                  <m:rPr>
                                    <m:sty m:val="p"/>
                                  </m:rPr>
                                  <m:t>l</m:t>
                                </m:r>
                                <m:r>
                                  <m:rPr>
                                    <m:sty m:val="p"/>
                                  </m:rPr>
                                  <m:t>l</m:t>
                                </m:r>
                                <m:r>
                                  <m:rPr>
                                    <m:sty m:val="p"/>
                                  </m:rPr>
                                  <m:t>o</m:t>
                                </m:r>
                                <m:r>
                                  <m:rPr>
                                    <m:sty m:val="p"/>
                                  </m:rPr>
                                  <m:t>w</m:t>
                                </m:r>
                              </m:sup>
                            </m:sSubSup>
                            <m:r>
                              <m:rPr>
                                <m:sty m:val="p"/>
                              </m:rPr>
                              <m:t>/</m:t>
                            </m:r>
                            <m:sSubSup>
                              <m:e>
                                <m:r>
                                  <m:rPr>
                                    <m:sty m:val="p"/>
                                  </m:rPr>
                                  <m:t>P</m:t>
                                </m:r>
                                <m:r>
                                  <m:rPr>
                                    <m:sty m:val="p"/>
                                  </m:rPr>
                                  <m:t>U</m:t>
                                </m:r>
                                <m:r>
                                  <m:rPr>
                                    <m:sty m:val="p"/>
                                  </m:rPr>
                                  <m:t>E</m:t>
                                </m:r>
                              </m:e>
                              <m:sub>
                                <m:r>
                                  <m:t>z</m:t>
                                </m:r>
                              </m:sub>
                              <m:sup>
                                <m:r>
                                  <m:rPr>
                                    <m:sty m:val="p"/>
                                  </m:rPr>
                                  <m:t>max</m:t>
                                </m:r>
                              </m:sup>
                            </m:sSubSup>
                            <m:r>
                              <m:rPr>
                                <m:sty m:val="p"/>
                              </m:rPr>
                              <m:t>−</m:t>
                            </m:r>
                            <m:sSubSup>
                              <m:e>
                                <m:r>
                                  <m:t>P</m:t>
                                </m:r>
                              </m:e>
                              <m:sub>
                                <m:r>
                                  <m:t>z</m:t>
                                </m:r>
                              </m:sub>
                              <m:sup>
                                <m:r>
                                  <m:rPr>
                                    <m:sty m:val="p"/>
                                  </m:rPr>
                                  <m:t>i</m:t>
                                </m:r>
                                <m:r>
                                  <m:rPr>
                                    <m:sty m:val="p"/>
                                  </m:rPr>
                                  <m:t>d</m:t>
                                </m:r>
                                <m:r>
                                  <m:rPr>
                                    <m:sty m:val="p"/>
                                  </m:rPr>
                                  <m:t>l</m:t>
                                </m:r>
                                <m:r>
                                  <m:rPr>
                                    <m:sty m:val="p"/>
                                  </m:rPr>
                                  <m:t>e</m:t>
                                </m:r>
                              </m:sup>
                            </m:sSubSup>
                          </m:e>
                        </m:d>
                        <m:r>
                          <m:rPr>
                            <m:sty m:val="p"/>
                          </m:rPr>
                          <m:t>/</m:t>
                        </m:r>
                        <m:sSub>
                          <m:e>
                            <m:r>
                              <m:t>k</m:t>
                            </m:r>
                          </m:e>
                          <m:sub>
                            <m:r>
                              <m:t>z</m:t>
                            </m:r>
                          </m:sub>
                        </m:sSub>
                      </m:e>
                    </m:d>
                  </m:e>
                </m:d>
                <m:r>
                  <m:rPr>
                    <m:sty m:val="p"/>
                  </m:rPr>
                  <m:t>.</m:t>
                </m:r>
              </m:e>
            </m:mr>
          </m:m>
          <m:r>
            <m:t>  </m:t>
          </m:r>
          <m:r>
            <m:rPr>
              <m:nor/>
              <m:sty m:val="p"/>
            </m:rPr>
            <m:t>(S28.7)</m:t>
          </m:r>
        </m:oMath>
      </m:oMathPara>
    </w:p>
    <w:p>
      <w:pPr>
        <w:widowControl/>
        <w:spacing w:after="100"/>
      </w:pPr>
      <w:r>
        <w:t xml:space="preserve">Serving the larger of the economic request and</w:t>
      </w:r>
      <w:r>
        <w:t xml:space="preserve"> </w:t>
      </w:r>
      <m:oMath>
        <m:sSub>
          <m:e>
            <m:r>
              <m:t>r</m:t>
            </m:r>
          </m:e>
          <m:sub>
            <m:r>
              <m:t>t</m:t>
            </m:r>
          </m:sub>
        </m:sSub>
      </m:oMath>
      <w:r>
        <w:t xml:space="preserve">, subject to current capacity and admissions, preserves a continuation for known obligations when the declared envelope is feasible. A failed prefix or idle-load check requires an explicit infeasibility record or admission control; clipping work capacity to zero does not repair an infeasible idle import. These are the commitment-time equations. S23 documents that the historical electrical-stress projector reads same-interval realised PV/PUE and therefore requires separate linkage to any replacement robust implementation. No information claim follows merely from retaining the equations or diagram.</w:t>
      </w:r>
    </w:p>
    <w:bookmarkEnd w:id="23"/>
    <w:bookmarkStart w:id="24" w:name="s28.5-original-ablation-interpretation"/>
    <w:p>
      <w:pPr>
        <w:pStyle w:val="Heading2"/>
        <w:keepNext/>
        <w:widowControl/>
        <w:spacing w:after="100"/>
      </w:pPr>
      <w:r>
        <w:rPr>
          <w:color w:val="000000"/>
        </w:rPr>
        <w:t xml:space="preserve">S28.5 Original ablation interpretation</w:t>
      </w:r>
    </w:p>
    <w:p>
      <w:pPr>
        <w:widowControl/>
        <w:spacing w:after="100"/>
      </w:pPr>
      <w:r>
        <w:t xml:space="preserve">The completed ablations sharpen the interpretation of WorldMoE’s advantage. Common-executor replacement establishes a US$19,587 system difference, whereas suppressing the opportunity, task-cost and cross-moment outputs jointly reduces mean saving by US$278. The retained fitted system still saves US$104,993, approximately US$19,309 above the dense comparator. The large advantage therefore survives suppression of these residual outputs at inference. The small joint effect and the US$82 improvement from disabling the final shift show that nominal component count is not a measure of economic contribution. These interventions identify the use of particular outputs after training; the common-executor comparison tests the broader fitted representation pathway. Isolating sparse routing from pretraining, capacity or optimization history requires corresponding matched replacements. APIC’s algebraic price consistency remains established independently, since both shift settings preserve it.</w:t>
      </w:r>
    </w:p>
    <w:p>
      <w:pPr>
        <w:widowControl/>
        <w:spacing w:after="100"/>
      </w:pPr>
      <w:r>
        <w:t xml:space="preserve">The rounded interpretation above and all original values in Tables 9, 10, 28 and 29 are retained. The figures below are the six original main-paper images moved into this supplement without pixel changes. Historical certificate annotations and nearest-cent labels remain visible for source continuity; their captions state the relevant conditional or superseding interpretation. They are not new certificate computations.</w:t>
      </w:r>
    </w:p>
    <w:bookmarkEnd w:id="24"/>
    <w:bookmarkEnd w:id="25"/>
    <w:p>
      <w:r>
        <w:br w:type="page"/>
      </w:r>
    </w:p>
    <w:p>
      <w:pPr>
        <w:pStyle w:val="Heading2"/>
        <w:keepNext/>
      </w:pPr>
      <w:r>
        <w:t>S28.6 Retained figures</w:t>
      </w:r>
    </w:p>
    <w:p>
      <w:pPr>
        <w:keepNext/>
        <w:spacing w:after="140"/>
        <w:jc w:val="center"/>
      </w:pPr>
      <w:r>
        <w:drawing>
          <wp:inline xmlns:a="http://schemas.openxmlformats.org/drawingml/2006/main" xmlns:pic="http://schemas.openxmlformats.org/drawingml/2006/picture">
            <wp:extent cx="6400800" cy="4135831"/>
            <wp:docPr id="7" name="Picture 7"/>
            <wp:cNvGraphicFramePr>
              <a:graphicFrameLocks noChangeAspect="1"/>
            </wp:cNvGraphicFramePr>
            <a:graphic>
              <a:graphicData uri="http://schemas.openxmlformats.org/drawingml/2006/picture">
                <pic:pic>
                  <pic:nvPicPr>
                    <pic:cNvPr id="0" name="supplement_figure_7.png"/>
                    <pic:cNvPicPr/>
                  </pic:nvPicPr>
                  <pic:blipFill>
                    <a:blip r:embed="rId20"/>
                    <a:stretch>
                      <a:fillRect/>
                    </a:stretch>
                  </pic:blipFill>
                  <pic:spPr>
                    <a:xfrm>
                      <a:off x="0" y="0"/>
                      <a:ext cx="6400800" cy="4135831"/>
                    </a:xfrm>
                    <a:prstGeom prst="rect"/>
                  </pic:spPr>
                </pic:pic>
              </a:graphicData>
            </a:graphic>
          </wp:inline>
        </w:drawing>
      </w:r>
    </w:p>
    <w:p>
      <w:pPr>
        <w:pStyle w:val="Caption"/>
        <w:keepLines/>
        <w:spacing w:after="100"/>
      </w:pPr>
      <w:r>
        <w:t>Supplementary Fig. 7 (original main Fig. 1). WorldMoE dispatch and independent rights certification. W0/W1 are successive market-pretraining stages; the probabilistic R2 module begins from the common R2 initialization. APIC price coupling, physical valuation, capacity reservation and the deadline executor produce operating requests and commitments. The certifier supplies a separate opportunity bound. Router probabilities are schematic. The image is retained unchanged; S23 distinguishes the declared information boundary from the inspected historical stress projector.</w:t>
      </w:r>
    </w:p>
    <w:p>
      <w:r>
        <w:br w:type="page"/>
      </w:r>
    </w:p>
    <w:p>
      <w:pPr>
        <w:keepNext/>
        <w:spacing w:after="140"/>
        <w:jc w:val="center"/>
      </w:pPr>
      <w:r>
        <w:drawing>
          <wp:inline xmlns:a="http://schemas.openxmlformats.org/drawingml/2006/main" xmlns:pic="http://schemas.openxmlformats.org/drawingml/2006/picture">
            <wp:extent cx="5688874" cy="6537960"/>
            <wp:docPr id="8" name="Picture 8"/>
            <wp:cNvGraphicFramePr>
              <a:graphicFrameLocks noChangeAspect="1"/>
            </wp:cNvGraphicFramePr>
            <a:graphic>
              <a:graphicData uri="http://schemas.openxmlformats.org/drawingml/2006/picture">
                <pic:pic>
                  <pic:nvPicPr>
                    <pic:cNvPr id="0" name="supplement_figure_8.png"/>
                    <pic:cNvPicPr/>
                  </pic:nvPicPr>
                  <pic:blipFill>
                    <a:blip r:embed="rId21"/>
                    <a:stretch>
                      <a:fillRect/>
                    </a:stretch>
                  </pic:blipFill>
                  <pic:spPr>
                    <a:xfrm>
                      <a:off x="0" y="0"/>
                      <a:ext cx="5688874" cy="6537960"/>
                    </a:xfrm>
                    <a:prstGeom prst="rect"/>
                  </pic:spPr>
                </pic:pic>
              </a:graphicData>
            </a:graphic>
          </wp:inline>
        </w:drawing>
      </w:r>
    </w:p>
    <w:p>
      <w:pPr>
        <w:pStyle w:val="Caption"/>
        <w:keepLines/>
        <w:spacing w:after="100"/>
      </w:pPr>
      <w:r>
        <w:t>Supplementary Fig. 8 (original main Fig. 2). Completed comparisons and original WorldMoE ablations under nominal 24 h rights. (a) Common-executor replacements, with three-refinement means and ranges. (b) Full-minus-ablated paired changes; the final-shift intervention uses one refinement. Joint suppression of the opportunity, task-cost and cross-moment outputs retains APIC. (c) All 26 native variants: 11 matched pairs and four controls. Price heads are trained separately. Panels (a,c) use US$ thousand; panel (b) uses US dollars. All image pixels and the corresponding values in Tables 9, 10, 28 and 29 are unchanged. Dashed certificate annotations retain the historical reported ceiling, whose original verification status is described in S20–S24; S27 gives the new independently constructed conservative certificates.</w:t>
      </w:r>
    </w:p>
    <w:p>
      <w:r>
        <w:br w:type="page"/>
      </w:r>
    </w:p>
    <w:p>
      <w:pPr>
        <w:keepNext/>
        <w:spacing w:after="140"/>
        <w:jc w:val="center"/>
      </w:pPr>
      <w:r>
        <w:drawing>
          <wp:inline xmlns:a="http://schemas.openxmlformats.org/drawingml/2006/main" xmlns:pic="http://schemas.openxmlformats.org/drawingml/2006/picture">
            <wp:extent cx="6400800" cy="4572273"/>
            <wp:docPr id="9" name="Picture 9"/>
            <wp:cNvGraphicFramePr>
              <a:graphicFrameLocks noChangeAspect="1"/>
            </wp:cNvGraphicFramePr>
            <a:graphic>
              <a:graphicData uri="http://schemas.openxmlformats.org/drawingml/2006/picture">
                <pic:pic>
                  <pic:nvPicPr>
                    <pic:cNvPr id="0" name="supplement_figure_9.png"/>
                    <pic:cNvPicPr/>
                  </pic:nvPicPr>
                  <pic:blipFill>
                    <a:blip r:embed="rId22"/>
                    <a:stretch>
                      <a:fillRect/>
                    </a:stretch>
                  </pic:blipFill>
                  <pic:spPr>
                    <a:xfrm>
                      <a:off x="0" y="0"/>
                      <a:ext cx="6400800" cy="4572273"/>
                    </a:xfrm>
                    <a:prstGeom prst="rect"/>
                  </pic:spPr>
                </pic:pic>
              </a:graphicData>
            </a:graphic>
          </wp:inline>
        </w:drawing>
      </w:r>
    </w:p>
    <w:p>
      <w:pPr>
        <w:pStyle w:val="Caption"/>
        <w:keepLines/>
        <w:spacing w:after="100"/>
      </w:pPr>
      <w:r>
        <w:t>Supplementary Fig. 9 (original main Fig. 3). Historical opportunity and service-window comparisons. Operating savings, the reported hindsight candidate and historical ceilings are displayed with deadline outcomes for FIFO and EDF. The mixed service case assigns 25%, 50% and 25% to 4, 12 and 24 h rights. This image retains its original nearest-cent annotations and nominal hindsight endpoint. Exact feasibility and the full monetary correction govern its use as a lower endpoint (S20), while the original bound records and newly constructed S27 certificates are separate objects. The image does not turn historical opportunity into prospective expected value.</w:t>
      </w:r>
    </w:p>
    <w:p>
      <w:r>
        <w:br w:type="page"/>
      </w:r>
    </w:p>
    <w:p>
      <w:pPr>
        <w:keepNext/>
        <w:spacing w:after="140"/>
        <w:jc w:val="center"/>
      </w:pPr>
      <w:r>
        <w:drawing>
          <wp:inline xmlns:a="http://schemas.openxmlformats.org/drawingml/2006/main" xmlns:pic="http://schemas.openxmlformats.org/drawingml/2006/picture">
            <wp:extent cx="6400800" cy="3703865"/>
            <wp:docPr id="10" name="Picture 10"/>
            <wp:cNvGraphicFramePr>
              <a:graphicFrameLocks noChangeAspect="1"/>
            </wp:cNvGraphicFramePr>
            <a:graphic>
              <a:graphicData uri="http://schemas.openxmlformats.org/drawingml/2006/picture">
                <pic:pic>
                  <pic:nvPicPr>
                    <pic:cNvPr id="0" name="supplement_figure_10.png"/>
                    <pic:cNvPicPr/>
                  </pic:nvPicPr>
                  <pic:blipFill>
                    <a:blip r:embed="rId23"/>
                    <a:stretch>
                      <a:fillRect/>
                    </a:stretch>
                  </pic:blipFill>
                  <pic:spPr>
                    <a:xfrm>
                      <a:off x="0" y="0"/>
                      <a:ext cx="6400800" cy="3703865"/>
                    </a:xfrm>
                    <a:prstGeom prst="rect"/>
                  </pic:spPr>
                </pic:pic>
              </a:graphicData>
            </a:graphic>
          </wp:inline>
        </w:drawing>
      </w:r>
    </w:p>
    <w:p>
      <w:pPr>
        <w:pStyle w:val="Caption"/>
        <w:keepLines/>
        <w:spacing w:after="100"/>
      </w:pPr>
      <w:r>
        <w:t>Supplementary Fig. 10 (original main Fig. 4). Fixed-weight ISO-NE transfer compared with DA and lagged-RT controls under matched facilities, workloads and settlement. The retained image documents the historical operating comparison; it is not an estimate of a future-calendar distribution or a tenant-compensation schedule.</w:t>
      </w:r>
    </w:p>
    <w:p>
      <w:r>
        <w:br w:type="page"/>
      </w:r>
    </w:p>
    <w:p>
      <w:pPr>
        <w:keepNext/>
        <w:spacing w:after="140"/>
        <w:jc w:val="center"/>
      </w:pPr>
      <w:r>
        <w:drawing>
          <wp:inline xmlns:a="http://schemas.openxmlformats.org/drawingml/2006/main" xmlns:pic="http://schemas.openxmlformats.org/drawingml/2006/picture">
            <wp:extent cx="6400800" cy="3017929"/>
            <wp:docPr id="11" name="Picture 11"/>
            <wp:cNvGraphicFramePr>
              <a:graphicFrameLocks noChangeAspect="1"/>
            </wp:cNvGraphicFramePr>
            <a:graphic>
              <a:graphicData uri="http://schemas.openxmlformats.org/drawingml/2006/picture">
                <pic:pic>
                  <pic:nvPicPr>
                    <pic:cNvPr id="0" name="supplement_figure_11.png"/>
                    <pic:cNvPicPr/>
                  </pic:nvPicPr>
                  <pic:blipFill>
                    <a:blip r:embed="rId24"/>
                    <a:stretch>
                      <a:fillRect/>
                    </a:stretch>
                  </pic:blipFill>
                  <pic:spPr>
                    <a:xfrm>
                      <a:off x="0" y="0"/>
                      <a:ext cx="6400800" cy="3017929"/>
                    </a:xfrm>
                    <a:prstGeom prst="rect"/>
                  </pic:spPr>
                </pic:pic>
              </a:graphicData>
            </a:graphic>
          </wp:inline>
        </w:drawing>
      </w:r>
    </w:p>
    <w:p>
      <w:pPr>
        <w:pStyle w:val="Caption"/>
        <w:keepLines/>
        <w:spacing w:after="100"/>
      </w:pPr>
      <w:r>
        <w:t>Supplementary Fig. 11 (original main Fig. 5). NYC SC9 monthly account sensitivity. Bars show demand-charge changes; lines show total saving under the rolling 30-minute demand calculation. Negative bars denote additional charges. The original illustrative tariff account and all figure values are preserved; the net contractual-value accounting in S25–S26 separately deducts additional compensation and implementation costs.</w:t>
      </w:r>
    </w:p>
    <w:p>
      <w:r>
        <w:br w:type="page"/>
      </w:r>
    </w:p>
    <w:p>
      <w:pPr>
        <w:keepNext/>
        <w:spacing w:after="140"/>
        <w:jc w:val="center"/>
      </w:pPr>
      <w:r>
        <w:drawing>
          <wp:inline xmlns:a="http://schemas.openxmlformats.org/drawingml/2006/main" xmlns:pic="http://schemas.openxmlformats.org/drawingml/2006/picture">
            <wp:extent cx="6400800" cy="2666363"/>
            <wp:docPr id="12" name="Picture 12"/>
            <wp:cNvGraphicFramePr>
              <a:graphicFrameLocks noChangeAspect="1"/>
            </wp:cNvGraphicFramePr>
            <a:graphic>
              <a:graphicData uri="http://schemas.openxmlformats.org/drawingml/2006/picture">
                <pic:pic>
                  <pic:nvPicPr>
                    <pic:cNvPr id="0" name="supplement_figure_12.png"/>
                    <pic:cNvPicPr/>
                  </pic:nvPicPr>
                  <pic:blipFill>
                    <a:blip r:embed="rId25"/>
                    <a:stretch>
                      <a:fillRect/>
                    </a:stretch>
                  </pic:blipFill>
                  <pic:spPr>
                    <a:xfrm>
                      <a:off x="0" y="0"/>
                      <a:ext cx="6400800" cy="2666363"/>
                    </a:xfrm>
                    <a:prstGeom prst="rect"/>
                  </pic:spPr>
                </pic:pic>
              </a:graphicData>
            </a:graphic>
          </wp:inline>
        </w:drawing>
      </w:r>
    </w:p>
    <w:p>
      <w:pPr>
        <w:pStyle w:val="Caption"/>
        <w:keepLines/>
        <w:spacing w:after="100"/>
      </w:pPr>
      <w:r>
        <w:t>Supplementary Fig. 12 (original main Fig. 6). Annual operating savings and paired physical-valuation gains. Open markers denote refinements and filled markers their means. The dashed historical 12 h levels are US$97,802.42 for the original Lagrangian summary and US$97,796.42 for the original cumulative summary. Those nearest-cent labels are preserved as a historical snapshot; they are not the new S27 bounds. Displayed 95% intervals use the original paired seven-day bootstrap and remain conditional on the observed calendar. They do not supply confidence intervals for future-year contract upgrades or change the retained ablation values.</w:t>
      </w:r>
    </w:p>
    <w:bookmarkStart w:id="23" w:name="Xb581b2e64c25bda421680135e37050af98a006f"/>
    <w:p>
      <w:pPr>
        <w:pStyle w:val="Heading1"/>
        <w:pageBreakBefore/>
      </w:pPr>
      <w:r>
        <w:t xml:space="preserve">S29 Uniform feasible execution and the recovered annual witness</w:t>
      </w:r>
    </w:p>
    <w:bookmarkStart w:id="20" w:name="s29.1-scope-and-statement"/>
    <w:p>
      <w:pPr>
        <w:pStyle w:val="Heading2"/>
      </w:pPr>
      <w:r>
        <w:t xml:space="preserve">S29.1 Scope and statement</w:t>
      </w:r>
    </w:p>
    <w:p>
      <w:pPr>
        <w:pStyle w:val="FirstParagraph"/>
      </w:pPr>
      <w:r>
        <w:t xml:space="preserve">The result concerns the nominal divisible-work model with homogeneous 24 h rights, four fixed site assignments, zero initial queues, a unit service limit in each quarter-hour, the recorded static import limits, and the fixed realised price, PV and PUE path. The deadline of an arrival in slot</w:t>
      </w:r>
      <w:r>
        <w:t xml:space="preserve"> </w:t>
      </w:r>
      <m:oMath>
        <m:r>
          <m:t>r</m:t>
        </m:r>
      </m:oMath>
      <w:r>
        <w:t xml:space="preserve"> </w:t>
      </w:r>
      <w:r>
        <w:t xml:space="preserve">excludes slot</w:t>
      </w:r>
      <w:r>
        <w:t xml:space="preserve"> </w:t>
      </w:r>
      <m:oMath>
        <m:r>
          <m:t>r</m:t>
        </m:r>
        <m:r>
          <m:rPr>
            <m:sty m:val="p"/>
          </m:rPr>
          <m:t>+</m:t>
        </m:r>
        <m:r>
          <m:t>96</m:t>
        </m:r>
      </m:oMath>
      <w:r>
        <w:t xml:space="preserve">. No ramp or nonpreemptive placement restriction is added to this nominal account. The original reference and import-deviation anchor are retained.</w:t>
      </w:r>
    </w:p>
    <w:p>
      <w:pPr>
        <w:pStyle w:val="BodyText"/>
      </w:pPr>
      <w:r>
        <w:t xml:space="preserve">For one site, let</w:t>
      </w:r>
      <w:r>
        <w:t xml:space="preserve"> </w:t>
      </w:r>
      <m:oMath>
        <m:r>
          <m:t>b</m:t>
        </m:r>
        <m:r>
          <m:rPr>
            <m:sty m:val="p"/>
          </m:rPr>
          <m:t>=</m:t>
        </m:r>
        <m:r>
          <m:rPr>
            <m:sty m:val="p"/>
          </m:rPr>
          <m:t>(</m:t>
        </m:r>
        <m:sSub>
          <m:e>
            <m:r>
              <m:t>b</m:t>
            </m:r>
          </m:e>
          <m:sub>
            <m:r>
              <m:t>1</m:t>
            </m:r>
          </m:sub>
        </m:sSub>
        <m:r>
          <m:rPr>
            <m:sty m:val="p"/>
          </m:rPr>
          <m:t>,</m:t>
        </m:r>
        <m:r>
          <m:rPr>
            <m:sty m:val="p"/>
          </m:rPr>
          <m:t>…</m:t>
        </m:r>
        <m:r>
          <m:rPr>
            <m:sty m:val="p"/>
          </m:rPr>
          <m:t>,</m:t>
        </m:r>
        <m:sSub>
          <m:e>
            <m:r>
              <m:t>b</m:t>
            </m:r>
          </m:e>
          <m:sub>
            <m:r>
              <m:t>N</m:t>
            </m:r>
          </m:sub>
        </m:sSub>
        <m:r>
          <m:rPr>
            <m:sty m:val="p"/>
          </m:rPr>
          <m:t>)</m:t>
        </m:r>
      </m:oMath>
      <w:r>
        <w:t xml:space="preserve"> </w:t>
      </w:r>
      <w:r>
        <w:t xml:space="preserve">be the stored immediate-service reference,</w:t>
      </w:r>
      <w:r>
        <w:t xml:space="preserve"> </w:t>
      </w:r>
      <m:oMath>
        <m:sSub>
          <m:e>
            <m:r>
              <m:t>R</m:t>
            </m:r>
          </m:e>
          <m:sub>
            <m:r>
              <m:t>t</m:t>
            </m:r>
          </m:sub>
        </m:sSub>
      </m:oMath>
      <w:r>
        <w:t xml:space="preserve"> </w:t>
      </w:r>
      <w:r>
        <w:t xml:space="preserve">its exact cumulative sum, and</w:t>
      </w:r>
      <w:r>
        <w:t xml:space="preserve"> </w:t>
      </w:r>
      <m:oMath>
        <m:r>
          <m:t>e</m:t>
        </m:r>
        <m:r>
          <m:rPr>
            <m:sty m:val="p"/>
          </m:rPr>
          <m:t>(</m:t>
        </m:r>
        <m:r>
          <m:t>t</m:t>
        </m:r>
        <m:r>
          <m:rPr>
            <m:sty m:val="p"/>
          </m:rPr>
          <m:t>)</m:t>
        </m:r>
      </m:oMath>
      <w:r>
        <w:t xml:space="preserve"> </w:t>
      </w:r>
      <w:r>
        <w:t xml:space="preserve">the first unsaturated slot at or after</w:t>
      </w:r>
      <w:r>
        <w:t xml:space="preserve"> </w:t>
      </w:r>
      <m:oMath>
        <m:r>
          <m:t>t</m:t>
        </m:r>
      </m:oMath>
      <w:r>
        <w:t xml:space="preserve">. Let</w:t>
      </w:r>
      <w:r>
        <w:t xml:space="preserve"> </w:t>
      </w:r>
      <m:oMath>
        <m:r>
          <m:rPr>
            <m:sty m:val="p"/>
            <m:scr m:val="script"/>
          </m:rPr>
          <m:t>A</m:t>
        </m:r>
        <m:r>
          <m:rPr>
            <m:sty m:val="p"/>
          </m:rPr>
          <m:t>(</m:t>
        </m:r>
        <m:r>
          <m:t>b</m:t>
        </m:r>
        <m:r>
          <m:rPr>
            <m:sty m:val="p"/>
          </m:rPr>
          <m:t>)</m:t>
        </m:r>
      </m:oMath>
      <w:r>
        <w:t xml:space="preserve"> </w:t>
      </w:r>
      <w:r>
        <w:t xml:space="preserve">be the nonnegative finite binary64 admission arrays which generate</w:t>
      </w:r>
      <w:r>
        <w:t xml:space="preserve"> </w:t>
      </w:r>
      <m:oMath>
        <m:r>
          <m:t>b</m:t>
        </m:r>
      </m:oMath>
      <w:r>
        <w:t xml:space="preserve"> </w:t>
      </w:r>
      <w:r>
        <w:t xml:space="preserve">under the documented round-to-nearest reference recurrence with zero initial queue. The four-site set is the product of these site sets. S27 establishes, uniformly over this set,</w:t>
      </w:r>
    </w:p>
    <w:p>
      <w:pPr>
        <w:pStyle w:val="BodyText"/>
        <w:keepLines/>
      </w:pPr>
      <m:oMathPara>
        <m:oMathParaPr>
          <m:jc m:val="center"/>
        </m:oMathParaPr>
        <m:oMath>
          <m:r>
            <m:rPr>
              <m:nor/>
              <m:sty m:val="p"/>
            </m:rPr>
            <m:t>max</m:t>
          </m:r>
          <m:r>
            <m:rPr>
              <m:sty m:val="p"/>
            </m:rPr>
            <m:t>(</m:t>
          </m:r>
          <m:r>
            <m:t>0</m:t>
          </m:r>
          <m:r>
            <m:rPr>
              <m:sty m:val="p"/>
            </m:rPr>
            <m:t>,</m:t>
          </m:r>
          <m:sSub>
            <m:e>
              <m:r>
                <m:t>R</m:t>
              </m:r>
            </m:e>
            <m:sub>
              <m:r>
                <m:t>t</m:t>
              </m:r>
            </m:sub>
          </m:sSub>
          <m:r>
            <m:rPr>
              <m:sty m:val="p"/>
            </m:rPr>
            <m:t>−</m:t>
          </m:r>
          <m:r>
            <m:t>E</m:t>
          </m:r>
          <m:r>
            <m:rPr>
              <m:sty m:val="p"/>
            </m:rPr>
            <m:t>)</m:t>
          </m:r>
          <m:r>
            <m:rPr>
              <m:sty m:val="p"/>
            </m:rPr>
            <m:t>≤</m:t>
          </m:r>
          <m:sSub>
            <m:e>
              <m:r>
                <m:t>A</m:t>
              </m:r>
            </m:e>
            <m:sub>
              <m:r>
                <m:t>t</m:t>
              </m:r>
            </m:sub>
          </m:sSub>
          <m:r>
            <m:rPr>
              <m:sty m:val="p"/>
            </m:rPr>
            <m:t>≤</m:t>
          </m:r>
          <m:sSub>
            <m:e>
              <m:r>
                <m:t>R</m:t>
              </m:r>
            </m:e>
            <m:sub>
              <m:r>
                <m:t>e</m:t>
              </m:r>
              <m:r>
                <m:rPr>
                  <m:sty m:val="p"/>
                </m:rPr>
                <m:t>(</m:t>
              </m:r>
              <m:r>
                <m:t>t</m:t>
              </m:r>
              <m:r>
                <m:rPr>
                  <m:sty m:val="p"/>
                </m:rPr>
                <m:t>)</m:t>
              </m:r>
            </m:sub>
          </m:sSub>
          <m:r>
            <m:rPr>
              <m:sty m:val="p"/>
            </m:rPr>
            <m:t>+</m:t>
          </m:r>
          <m:r>
            <m:t>E</m:t>
          </m:r>
          <m:r>
            <m:rPr>
              <m:sty m:val="p"/>
            </m:rPr>
            <m:t>,</m:t>
          </m:r>
          <m:r>
            <m:t>  </m:t>
          </m:r>
          <m:r>
            <m:t>E</m:t>
          </m:r>
          <m:r>
            <m:rPr>
              <m:sty m:val="p"/>
            </m:rPr>
            <m:t>=</m:t>
          </m:r>
          <m:r>
            <m:t>2.412</m:t>
          </m:r>
          <m:r>
            <m:rPr>
              <m:sty m:val="p"/>
            </m:rPr>
            <m:t>×</m:t>
          </m:r>
          <m:sSup>
            <m:e>
              <m:r>
                <m:t>10</m:t>
              </m:r>
            </m:e>
            <m:sup>
              <m:r>
                <m:rPr>
                  <m:sty m:val="p"/>
                </m:rPr>
                <m:t>−</m:t>
              </m:r>
              <m:r>
                <m:t>12</m:t>
              </m:r>
            </m:sup>
          </m:sSup>
          <m:r>
            <m:rPr>
              <m:sty m:val="p"/>
            </m:rPr>
            <m:t>,</m:t>
          </m:r>
          <m:r>
            <m:t> </m:t>
          </m:r>
          <m:sSub>
            <m:e>
              <m:r>
                <m:t>A</m:t>
              </m:r>
            </m:e>
            <m:sub>
              <m:r>
                <m:t>0</m:t>
              </m:r>
            </m:sub>
          </m:sSub>
          <m:r>
            <m:rPr>
              <m:sty m:val="p"/>
            </m:rPr>
            <m:t>=</m:t>
          </m:r>
          <m:r>
            <m:t>0</m:t>
          </m:r>
          <m:r>
            <m:rPr>
              <m:sty m:val="p"/>
            </m:rPr>
            <m:t>.</m:t>
          </m:r>
          <m:r>
            <m:t>  </m:t>
          </m:r>
          <m:r>
            <m:rPr>
              <m:nor/>
              <m:sty m:val="p"/>
            </m:rPr>
            <m:t>(S29.1)</m:t>
          </m:r>
        </m:oMath>
      </m:oMathPara>
    </w:p>
    <w:p>
      <w:pPr>
        <w:pStyle w:val="FirstParagraph"/>
      </w:pPr>
      <w:r>
        <w:t xml:space="preserve">Every stored busy block contains at most 35 saturated slots followed by an unsaturated clearing slot. Its smallest clearing-capacity slack is 0.04137009475380182…, larger than</w:t>
      </w:r>
      <w:r>
        <w:t xml:space="preserve"> </w:t>
      </w:r>
      <m:oMath>
        <m:r>
          <m:t>E</m:t>
        </m:r>
      </m:oMath>
      <w:r>
        <w:t xml:space="preserve">. The final reference queue clears inside the observed year. The exact original-cost calculation establishes a unit feasible capacity in every slot.</w:t>
      </w:r>
    </w:p>
    <w:p>
      <w:pPr>
        <w:pStyle w:val="BodyText"/>
      </w:pPr>
      <w:r>
        <w:rPr>
          <w:bCs/>
          <w:b/>
        </w:rPr>
        <w:t xml:space="preserve">Proposition S29.1 (uniform constructive feasibility and value).</w:t>
      </w:r>
      <w:r>
        <w:t xml:space="preserve"> </w:t>
      </w:r>
      <w:r>
        <w:t xml:space="preserve">Suppose the preceding conditions hold. Let the stored exact surrogate cumulative schedule satisfy</w:t>
      </w:r>
    </w:p>
    <w:p>
      <w:pPr>
        <w:pStyle w:val="BodyText"/>
        <w:keepLines/>
      </w:pPr>
      <m:oMathPara>
        <m:oMathParaPr>
          <m:jc m:val="center"/>
        </m:oMathParaPr>
        <m:oMath>
          <m:sSub>
            <m:e>
              <m:r>
                <m:t>R</m:t>
              </m:r>
            </m:e>
            <m:sub>
              <m:r>
                <m:t>e</m:t>
              </m:r>
              <m:r>
                <m:rPr>
                  <m:sty m:val="p"/>
                </m:rPr>
                <m:t>(</m:t>
              </m:r>
              <m:r>
                <m:rPr>
                  <m:nor/>
                  <m:sty m:val="p"/>
                </m:rPr>
                <m:t>max</m:t>
              </m:r>
              <m:r>
                <m:rPr>
                  <m:sty m:val="p"/>
                </m:rPr>
                <m:t>(</m:t>
              </m:r>
              <m:r>
                <m:t>0</m:t>
              </m:r>
              <m:r>
                <m:rPr>
                  <m:sty m:val="p"/>
                </m:rPr>
                <m:t>,</m:t>
              </m:r>
              <m:r>
                <m:t>t</m:t>
              </m:r>
              <m:r>
                <m:rPr>
                  <m:sty m:val="p"/>
                </m:rPr>
                <m:t>−</m:t>
              </m:r>
              <m:r>
                <m:t>95</m:t>
              </m:r>
              <m:r>
                <m:rPr>
                  <m:sty m:val="p"/>
                </m:rPr>
                <m:t>)</m:t>
              </m:r>
              <m:r>
                <m:rPr>
                  <m:sty m:val="p"/>
                </m:rPr>
                <m:t>)</m:t>
              </m:r>
            </m:sub>
          </m:sSub>
          <m:r>
            <m:rPr>
              <m:sty m:val="p"/>
            </m:rPr>
            <m:t>≤</m:t>
          </m:r>
          <m:sSub>
            <m:e>
              <m:acc>
                <m:accPr>
                  <m:chr m:val="‾"/>
                </m:accPr>
                <m:e>
                  <m:r>
                    <m:t>X</m:t>
                  </m:r>
                </m:e>
              </m:acc>
            </m:e>
            <m:sub>
              <m:r>
                <m:t>t</m:t>
              </m:r>
            </m:sub>
          </m:sSub>
          <m:r>
            <m:rPr>
              <m:sty m:val="p"/>
            </m:rPr>
            <m:t>≤</m:t>
          </m:r>
          <m:sSub>
            <m:e>
              <m:r>
                <m:t>R</m:t>
              </m:r>
            </m:e>
            <m:sub>
              <m:r>
                <m:t>t</m:t>
              </m:r>
            </m:sub>
          </m:sSub>
          <m:r>
            <m:rPr>
              <m:sty m:val="p"/>
            </m:rPr>
            <m:t>,</m:t>
          </m:r>
          <m:r>
            <m:t> </m:t>
          </m:r>
          <m:r>
            <m:t>0</m:t>
          </m:r>
          <m:r>
            <m:rPr>
              <m:sty m:val="p"/>
            </m:rPr>
            <m:t>≤</m:t>
          </m:r>
          <m:sSub>
            <m:e>
              <m:acc>
                <m:accPr>
                  <m:chr m:val="‾"/>
                </m:accPr>
                <m:e>
                  <m:r>
                    <m:t>X</m:t>
                  </m:r>
                </m:e>
              </m:acc>
            </m:e>
            <m:sub>
              <m:r>
                <m:t>t</m:t>
              </m:r>
            </m:sub>
          </m:sSub>
          <m:r>
            <m:rPr>
              <m:sty m:val="p"/>
            </m:rPr>
            <m:t>−</m:t>
          </m:r>
          <m:sSub>
            <m:e>
              <m:acc>
                <m:accPr>
                  <m:chr m:val="‾"/>
                </m:accPr>
                <m:e>
                  <m:r>
                    <m:t>X</m:t>
                  </m:r>
                </m:e>
              </m:acc>
            </m:e>
            <m:sub>
              <m:r>
                <m:t>t</m:t>
              </m:r>
              <m:r>
                <m:rPr>
                  <m:sty m:val="p"/>
                </m:rPr>
                <m:t>−</m:t>
              </m:r>
              <m:r>
                <m:t>1</m:t>
              </m:r>
            </m:sub>
          </m:sSub>
          <m:r>
            <m:rPr>
              <m:sty m:val="p"/>
            </m:rPr>
            <m:t>≤</m:t>
          </m:r>
          <m:r>
            <m:t>1</m:t>
          </m:r>
          <m:r>
            <m:rPr>
              <m:sty m:val="p"/>
            </m:rPr>
            <m:t>,</m:t>
          </m:r>
          <m:r>
            <m:t> </m:t>
          </m:r>
          <m:sSub>
            <m:e>
              <m:acc>
                <m:accPr>
                  <m:chr m:val="‾"/>
                </m:accPr>
                <m:e>
                  <m:r>
                    <m:t>X</m:t>
                  </m:r>
                </m:e>
              </m:acc>
            </m:e>
            <m:sub>
              <m:r>
                <m:t>0</m:t>
              </m:r>
            </m:sub>
          </m:sSub>
          <m:r>
            <m:rPr>
              <m:sty m:val="p"/>
            </m:rPr>
            <m:t>=</m:t>
          </m:r>
          <m:r>
            <m:t>0</m:t>
          </m:r>
          <m:r>
            <m:rPr>
              <m:sty m:val="p"/>
            </m:rPr>
            <m:t>,</m:t>
          </m:r>
          <m:r>
            <m:t> </m:t>
          </m:r>
          <m:sSub>
            <m:e>
              <m:acc>
                <m:accPr>
                  <m:chr m:val="‾"/>
                </m:accPr>
                <m:e>
                  <m:r>
                    <m:t>X</m:t>
                  </m:r>
                </m:e>
              </m:acc>
            </m:e>
            <m:sub>
              <m:r>
                <m:t>N</m:t>
              </m:r>
            </m:sub>
          </m:sSub>
          <m:r>
            <m:rPr>
              <m:sty m:val="p"/>
            </m:rPr>
            <m:t>=</m:t>
          </m:r>
          <m:sSub>
            <m:e>
              <m:r>
                <m:t>R</m:t>
              </m:r>
            </m:e>
            <m:sub>
              <m:r>
                <m:t>N</m:t>
              </m:r>
            </m:sub>
          </m:sSub>
          <m:r>
            <m:rPr>
              <m:sty m:val="p"/>
            </m:rPr>
            <m:t>.</m:t>
          </m:r>
          <m:r>
            <m:t>  </m:t>
          </m:r>
          <m:r>
            <m:rPr>
              <m:nor/>
              <m:sty m:val="p"/>
            </m:rPr>
            <m:t>(S29.2)</m:t>
          </m:r>
        </m:oMath>
      </m:oMathPara>
    </w:p>
    <w:p>
      <w:pPr>
        <w:pStyle w:val="FirstParagraph"/>
      </w:pPr>
      <w:r>
        <w:t xml:space="preserve">Then, for every</w:t>
      </w:r>
      <w:r>
        <w:t xml:space="preserve"> </w:t>
      </w:r>
      <m:oMath>
        <m:r>
          <m:t>a</m:t>
        </m:r>
        <m:r>
          <m:rPr>
            <m:sty m:val="p"/>
          </m:rPr>
          <m:t>∈</m:t>
        </m:r>
        <m:r>
          <m:rPr>
            <m:sty m:val="p"/>
            <m:scr m:val="script"/>
          </m:rPr>
          <m:t>A</m:t>
        </m:r>
        <m:r>
          <m:rPr>
            <m:sty m:val="p"/>
          </m:rPr>
          <m:t>(</m:t>
        </m:r>
        <m:r>
          <m:t>b</m:t>
        </m:r>
        <m:r>
          <m:rPr>
            <m:sty m:val="p"/>
          </m:rPr>
          <m:t>)</m:t>
        </m:r>
      </m:oMath>
      <w:r>
        <w:t xml:space="preserve">, the explicit construction below gives an execution</w:t>
      </w:r>
      <w:r>
        <w:t xml:space="preserve"> </w:t>
      </w:r>
      <m:oMath>
        <m:r>
          <m:t>x</m:t>
        </m:r>
        <m:r>
          <m:rPr>
            <m:sty m:val="p"/>
          </m:rPr>
          <m:t>(</m:t>
        </m:r>
        <m:r>
          <m:t>a</m:t>
        </m:r>
        <m:r>
          <m:rPr>
            <m:sty m:val="p"/>
          </m:rPr>
          <m:t>)</m:t>
        </m:r>
        <m:r>
          <m:rPr>
            <m:sty m:val="p"/>
          </m:rPr>
          <m:t>∈</m:t>
        </m:r>
        <m:sSub>
          <m:e>
            <m:r>
              <m:rPr>
                <m:sty m:val="p"/>
                <m:scr m:val="script"/>
              </m:rPr>
              <m:t>X</m:t>
            </m:r>
          </m:e>
          <m:sub>
            <m:r>
              <m:t>24</m:t>
            </m:r>
          </m:sub>
        </m:sSub>
        <m:r>
          <m:rPr>
            <m:sty m:val="p"/>
          </m:rPr>
          <m:t>(</m:t>
        </m:r>
        <m:r>
          <m:t>a</m:t>
        </m:r>
        <m:r>
          <m:rPr>
            <m:sty m:val="p"/>
          </m:rPr>
          <m:t>)</m:t>
        </m:r>
      </m:oMath>
      <w:r>
        <w:t xml:space="preserve"> </w:t>
      </w:r>
      <w:r>
        <w:t xml:space="preserve">which completes all admitted work by</w:t>
      </w:r>
      <w:r>
        <w:t xml:space="preserve"> </w:t>
      </w:r>
      <m:oMath>
        <m:r>
          <m:t>N</m:t>
        </m:r>
      </m:oMath>
      <w:r>
        <w:t xml:space="preserve"> </w:t>
      </w:r>
      <w:r>
        <w:t xml:space="preserve">and satisfies</w:t>
      </w:r>
    </w:p>
    <w:p>
      <w:pPr>
        <w:pStyle w:val="BodyText"/>
        <w:keepLines/>
      </w:pPr>
      <m:oMathPara>
        <m:oMathParaPr>
          <m:jc m:val="center"/>
        </m:oMathParaPr>
        <m:oMath>
          <m:nary>
            <m:naryPr>
              <m:chr m:val="∑"/>
              <m:limLoc m:val="undOvr"/>
              <m:subHide m:val="0"/>
              <m:supHide m:val="0"/>
            </m:naryPr>
            <m:sub>
              <m:r>
                <m:t>t</m:t>
              </m:r>
              <m:r>
                <m:rPr>
                  <m:sty m:val="p"/>
                </m:rPr>
                <m:t>=</m:t>
              </m:r>
              <m:r>
                <m:t>1</m:t>
              </m:r>
            </m:sub>
            <m:sup>
              <m:r>
                <m:t>N</m:t>
              </m:r>
            </m:sup>
            <m:e>
              <m:r>
                <m:rPr>
                  <m:sty m:val="p"/>
                </m:rPr>
                <m:t>|</m:t>
              </m:r>
            </m:e>
          </m:nary>
          <m:sSub>
            <m:e>
              <m:r>
                <m:t>x</m:t>
              </m:r>
            </m:e>
            <m:sub>
              <m:r>
                <m:t>t</m:t>
              </m:r>
            </m:sub>
          </m:sSub>
          <m:r>
            <m:rPr>
              <m:sty m:val="p"/>
            </m:rPr>
            <m:t>(</m:t>
          </m:r>
          <m:r>
            <m:t>a</m:t>
          </m:r>
          <m:r>
            <m:rPr>
              <m:sty m:val="p"/>
            </m:rPr>
            <m:t>)</m:t>
          </m:r>
          <m:r>
            <m:rPr>
              <m:sty m:val="p"/>
            </m:rPr>
            <m:t>−</m:t>
          </m:r>
          <m:sSub>
            <m:e>
              <m:acc>
                <m:accPr>
                  <m:chr m:val="‾"/>
                </m:accPr>
                <m:e>
                  <m:r>
                    <m:t>x</m:t>
                  </m:r>
                </m:e>
              </m:acc>
            </m:e>
            <m:sub>
              <m:r>
                <m:t>t</m:t>
              </m:r>
            </m:sub>
          </m:sSub>
          <m:r>
            <m:rPr>
              <m:sty m:val="p"/>
            </m:rPr>
            <m:t>|</m:t>
          </m:r>
          <m:r>
            <m:rPr>
              <m:sty m:val="p"/>
            </m:rPr>
            <m:t>≤</m:t>
          </m:r>
          <m:r>
            <m:t>2</m:t>
          </m:r>
          <m:r>
            <m:t>N</m:t>
          </m:r>
          <m:r>
            <m:t>E</m:t>
          </m:r>
          <m:r>
            <m:rPr>
              <m:sty m:val="p"/>
            </m:rPr>
            <m:t>.</m:t>
          </m:r>
          <m:r>
            <m:t>  </m:t>
          </m:r>
          <m:r>
            <m:rPr>
              <m:nor/>
              <m:sty m:val="p"/>
            </m:rPr>
            <m:t>(S29.3)</m:t>
          </m:r>
        </m:oMath>
      </m:oMathPara>
    </w:p>
    <w:p>
      <w:pPr>
        <w:pStyle w:val="FirstParagraph"/>
      </w:pPr>
      <w:r>
        <w:t xml:space="preserve">Across the four sites, original-cost settlement and the signed terminal-anchor allowance imply</w:t>
      </w:r>
    </w:p>
    <w:p>
      <w:pPr>
        <w:pStyle w:val="BodyText"/>
        <w:keepLines/>
      </w:pPr>
      <m:oMathPara>
        <m:oMathParaPr>
          <m:jc m:val="center"/>
        </m:oMathParaPr>
        <m:oMath>
          <m:r>
            <m:rPr>
              <m:sty m:val="p"/>
            </m:rPr>
            <m:t>∀</m:t>
          </m:r>
          <m:r>
            <m:t>a</m:t>
          </m:r>
          <m:r>
            <m:rPr>
              <m:sty m:val="p"/>
            </m:rPr>
            <m:t>∈</m:t>
          </m:r>
          <m:r>
            <m:rPr>
              <m:sty m:val="p"/>
              <m:scr m:val="script"/>
            </m:rPr>
            <m:t>A</m:t>
          </m:r>
          <m:r>
            <m:rPr>
              <m:sty m:val="p"/>
            </m:rPr>
            <m:t>(</m:t>
          </m:r>
          <m:r>
            <m:t>b</m:t>
          </m:r>
          <m:r>
            <m:rPr>
              <m:sty m:val="p"/>
            </m:rPr>
            <m:t>)</m:t>
          </m:r>
          <m:r>
            <m:rPr>
              <m:sty m:val="p"/>
            </m:rPr>
            <m:t>,</m:t>
          </m:r>
          <m:r>
            <m:t> </m:t>
          </m:r>
          <m:r>
            <m:rPr>
              <m:sty m:val="p"/>
            </m:rPr>
            <m:t>∃</m:t>
          </m:r>
          <m:r>
            <m:t>x</m:t>
          </m:r>
          <m:r>
            <m:rPr>
              <m:sty m:val="p"/>
            </m:rPr>
            <m:t>(</m:t>
          </m:r>
          <m:r>
            <m:t>a</m:t>
          </m:r>
          <m:r>
            <m:rPr>
              <m:sty m:val="p"/>
            </m:rPr>
            <m:t>)</m:t>
          </m:r>
          <m:r>
            <m:rPr>
              <m:sty m:val="p"/>
            </m:rPr>
            <m:t>∈</m:t>
          </m:r>
          <m:sSub>
            <m:e>
              <m:r>
                <m:rPr>
                  <m:sty m:val="p"/>
                  <m:scr m:val="script"/>
                </m:rPr>
                <m:t>X</m:t>
              </m:r>
            </m:e>
            <m:sub>
              <m:r>
                <m:t>24</m:t>
              </m:r>
            </m:sub>
          </m:sSub>
          <m:r>
            <m:rPr>
              <m:sty m:val="p"/>
            </m:rPr>
            <m:t>(</m:t>
          </m:r>
          <m:r>
            <m:t>a</m:t>
          </m:r>
          <m:r>
            <m:rPr>
              <m:sty m:val="p"/>
            </m:rPr>
            <m:t>)</m:t>
          </m:r>
          <m:r>
            <m:rPr>
              <m:sty m:val="p"/>
            </m:rPr>
            <m:t>:</m:t>
          </m:r>
          <m:sSub>
            <m:e>
              <m:r>
                <m:t>C</m:t>
              </m:r>
            </m:e>
            <m:sub>
              <m:r>
                <m:t>0</m:t>
              </m:r>
            </m:sub>
          </m:sSub>
          <m:r>
            <m:rPr>
              <m:sty m:val="p"/>
            </m:rPr>
            <m:t>−</m:t>
          </m:r>
          <m:r>
            <m:t>C</m:t>
          </m:r>
          <m:r>
            <m:rPr>
              <m:sty m:val="p"/>
            </m:rPr>
            <m:t>(</m:t>
          </m:r>
          <m:r>
            <m:t>x</m:t>
          </m:r>
          <m:r>
            <m:rPr>
              <m:sty m:val="p"/>
            </m:rPr>
            <m:t>(</m:t>
          </m:r>
          <m:r>
            <m:t>a</m:t>
          </m:r>
          <m:r>
            <m:rPr>
              <m:sty m:val="p"/>
            </m:rPr>
            <m:t>)</m:t>
          </m:r>
          <m:r>
            <m:rPr>
              <m:sty m:val="p"/>
            </m:rPr>
            <m:t>)</m:t>
          </m:r>
          <m:r>
            <m:rPr>
              <m:sty m:val="p"/>
            </m:rPr>
            <m:t>≥</m:t>
          </m:r>
          <m:sSubSup>
            <m:e>
              <m:r>
                <m:t>H</m:t>
              </m:r>
            </m:e>
            <m:sub>
              <m:r>
                <m:t>24</m:t>
              </m:r>
            </m:sub>
            <m:sup>
              <m:r>
                <m:rPr>
                  <m:sty m:val="p"/>
                </m:rPr>
                <m:t>u</m:t>
              </m:r>
              <m:r>
                <m:rPr>
                  <m:sty m:val="p"/>
                </m:rPr>
                <m:t>n</m:t>
              </m:r>
              <m:r>
                <m:rPr>
                  <m:sty m:val="p"/>
                </m:rPr>
                <m:t>i</m:t>
              </m:r>
              <m:r>
                <m:rPr>
                  <m:sty m:val="p"/>
                </m:rPr>
                <m:t>f</m:t>
              </m:r>
            </m:sup>
          </m:sSubSup>
          <m:r>
            <m:rPr>
              <m:sty m:val="p"/>
            </m:rPr>
            <m:t>≥</m:t>
          </m:r>
          <m:r>
            <m:t>130931.31</m:t>
          </m:r>
          <m:r>
            <m:t> </m:t>
          </m:r>
          <m:r>
            <m:rPr>
              <m:sty m:val="p"/>
            </m:rPr>
            <m:t>U</m:t>
          </m:r>
          <m:r>
            <m:rPr>
              <m:sty m:val="p"/>
            </m:rPr>
            <m:t>S</m:t>
          </m:r>
          <m:r>
            <m:rPr>
              <m:sty m:val="p"/>
            </m:rPr>
            <m:t>$</m:t>
          </m:r>
          <m:r>
            <m:rPr>
              <m:sty m:val="p"/>
            </m:rPr>
            <m:t>.</m:t>
          </m:r>
          <m:r>
            <m:t>  </m:t>
          </m:r>
          <m:r>
            <m:rPr>
              <m:nor/>
              <m:sty m:val="p"/>
            </m:rPr>
            <m:t>(S29.4)</m:t>
          </m:r>
        </m:oMath>
      </m:oMathPara>
    </w:p>
    <w:p>
      <w:pPr>
        <w:pStyle w:val="FirstParagraph"/>
      </w:pPr>
      <w:r>
        <w:t xml:space="preserve">The claim is an established existence and value theorem. Its quantifier order allows the exact execution to depend on the admitted stream. It does not exchange these quantifiers or assert that the value guarantee is achieved by a policy adapted to a decision-time filtration.</w:t>
      </w:r>
    </w:p>
    <w:bookmarkEnd w:id="20"/>
    <w:bookmarkStart w:id="21" w:name="s29.2-constructive-proof"/>
    <w:p>
      <w:pPr>
        <w:pStyle w:val="Heading2"/>
      </w:pPr>
      <w:r>
        <w:t xml:space="preserve">S29.2 Constructive proof</w:t>
      </w:r>
    </w:p>
    <w:p>
      <w:pPr>
        <w:pStyle w:val="FirstParagraph"/>
      </w:pPr>
      <w:r>
        <w:t xml:space="preserve">First establish nonemptiness of the exact corridor for each</w:t>
      </w:r>
      <w:r>
        <w:t xml:space="preserve"> </w:t>
      </w:r>
      <m:oMath>
        <m:r>
          <m:t>a</m:t>
        </m:r>
      </m:oMath>
      <w:r>
        <w:t xml:space="preserve">. Define the exact earliest-service queue</w:t>
      </w:r>
      <w:r>
        <w:t xml:space="preserve"> </w:t>
      </w:r>
      <m:oMath>
        <m:sSub>
          <m:e>
            <m:r>
              <m:t>Q</m:t>
            </m:r>
          </m:e>
          <m:sub>
            <m:r>
              <m:t>t</m:t>
            </m:r>
          </m:sub>
        </m:sSub>
        <m:r>
          <m:rPr>
            <m:sty m:val="p"/>
          </m:rPr>
          <m:t>=</m:t>
        </m:r>
        <m:r>
          <m:rPr>
            <m:nor/>
            <m:sty m:val="p"/>
          </m:rPr>
          <m:t>max</m:t>
        </m:r>
        <m:r>
          <m:rPr>
            <m:sty m:val="p"/>
          </m:rPr>
          <m:t>(</m:t>
        </m:r>
        <m:sSub>
          <m:e>
            <m:r>
              <m:t>Q</m:t>
            </m:r>
          </m:e>
          <m:sub>
            <m:r>
              <m:t>t</m:t>
            </m:r>
            <m:r>
              <m:rPr>
                <m:sty m:val="p"/>
              </m:rPr>
              <m:t>−</m:t>
            </m:r>
            <m:r>
              <m:t>1</m:t>
            </m:r>
          </m:sub>
        </m:sSub>
        <m:r>
          <m:rPr>
            <m:sty m:val="p"/>
          </m:rPr>
          <m:t>+</m:t>
        </m:r>
        <m:sSub>
          <m:e>
            <m:r>
              <m:t>a</m:t>
            </m:r>
          </m:e>
          <m:sub>
            <m:r>
              <m:t>t</m:t>
            </m:r>
          </m:sub>
        </m:sSub>
        <m:r>
          <m:rPr>
            <m:sty m:val="p"/>
          </m:rPr>
          <m:t>−</m:t>
        </m:r>
        <m:r>
          <m:t>1</m:t>
        </m:r>
        <m:r>
          <m:rPr>
            <m:sty m:val="p"/>
          </m:rPr>
          <m:t>,</m:t>
        </m:r>
        <m:r>
          <m:t>0</m:t>
        </m:r>
        <m:r>
          <m:rPr>
            <m:sty m:val="p"/>
          </m:rPr>
          <m:t>)</m:t>
        </m:r>
      </m:oMath>
      <w:r>
        <w:t xml:space="preserve">. This update is 1-Lipschitz in its queue argument. Comparing it with the documented floating recurrence and accumulating the outward error bound of S27 gives</w:t>
      </w:r>
      <w:r>
        <w:t xml:space="preserve"> </w:t>
      </w:r>
      <m:oMath>
        <m:r>
          <m:rPr>
            <m:sty m:val="p"/>
          </m:rPr>
          <m:t>|</m:t>
        </m:r>
        <m:sSub>
          <m:e>
            <m:r>
              <m:t>Q</m:t>
            </m:r>
          </m:e>
          <m:sub>
            <m:r>
              <m:t>t</m:t>
            </m:r>
          </m:sub>
        </m:sSub>
        <m:r>
          <m:rPr>
            <m:sty m:val="p"/>
          </m:rPr>
          <m:t>−</m:t>
        </m:r>
        <m:sSub>
          <m:e>
            <m:r>
              <m:t>q</m:t>
            </m:r>
          </m:e>
          <m:sub>
            <m:r>
              <m:t>t</m:t>
            </m:r>
          </m:sub>
        </m:sSub>
        <m:r>
          <m:rPr>
            <m:sty m:val="p"/>
          </m:rPr>
          <m:t>|</m:t>
        </m:r>
        <m:r>
          <m:rPr>
            <m:sty m:val="p"/>
          </m:rPr>
          <m:t>≤</m:t>
        </m:r>
        <m:r>
          <m:t>E</m:t>
        </m:r>
      </m:oMath>
      <w:r>
        <w:t xml:space="preserve">. At each stored clearing slot</w:t>
      </w:r>
      <w:r>
        <w:t xml:space="preserve"> </w:t>
      </w:r>
      <m:oMath>
        <m:r>
          <m:t>c</m:t>
        </m:r>
      </m:oMath>
      <w:r>
        <w:t xml:space="preserve">, its exact pre-service queue is at most</w:t>
      </w:r>
      <w:r>
        <w:t xml:space="preserve"> </w:t>
      </w:r>
      <m:oMath>
        <m:sSub>
          <m:e>
            <m:r>
              <m:t>b</m:t>
            </m:r>
          </m:e>
          <m:sub>
            <m:r>
              <m:t>c</m:t>
            </m:r>
          </m:sub>
        </m:sSub>
        <m:r>
          <m:rPr>
            <m:sty m:val="p"/>
          </m:rPr>
          <m:t>+</m:t>
        </m:r>
        <m:r>
          <m:t>E</m:t>
        </m:r>
        <m:r>
          <m:rPr>
            <m:sty m:val="p"/>
          </m:rPr>
          <m:t>&lt;</m:t>
        </m:r>
        <m:r>
          <m:t>1</m:t>
        </m:r>
      </m:oMath>
      <w:r>
        <w:t xml:space="preserve">. Thus the exact queue also clears at</w:t>
      </w:r>
      <w:r>
        <w:t xml:space="preserve"> </w:t>
      </w:r>
      <m:oMath>
        <m:r>
          <m:t>c</m:t>
        </m:r>
      </m:oMath>
      <w:r>
        <w:t xml:space="preserve">. Any work admitted in a source busy block is completed no later than its clearing slot, within at most 36 slots; work between busy blocks completes immediately. This is feasible for 96-slot rights, and the final clearing slot proves exact completion by</w:t>
      </w:r>
      <w:r>
        <w:t xml:space="preserve"> </w:t>
      </w:r>
      <m:oMath>
        <m:r>
          <m:t>N</m:t>
        </m:r>
      </m:oMath>
      <w:r>
        <w:t xml:space="preserve">. This step proves feasibility for each compatible admission array without reconstructing that array from</w:t>
      </w:r>
      <w:r>
        <w:t xml:space="preserve"> </w:t>
      </w:r>
      <m:oMath>
        <m:r>
          <m:t>b</m:t>
        </m:r>
      </m:oMath>
      <w:r>
        <w:t xml:space="preserve">.</w:t>
      </w:r>
    </w:p>
    <w:p>
      <w:pPr>
        <w:pStyle w:val="BodyText"/>
      </w:pPr>
      <w:r>
        <w:t xml:space="preserve">For the selected</w:t>
      </w:r>
      <w:r>
        <w:t xml:space="preserve"> </w:t>
      </w:r>
      <m:oMath>
        <m:r>
          <m:t>a</m:t>
        </m:r>
      </m:oMath>
      <w:r>
        <w:t xml:space="preserve">, form exact bounds</w:t>
      </w:r>
    </w:p>
    <w:p>
      <w:pPr>
        <w:pStyle w:val="BodyText"/>
        <w:keepLines/>
      </w:pPr>
      <m:oMathPara>
        <m:oMathParaPr>
          <m:jc m:val="center"/>
        </m:oMathParaPr>
        <m:oMath>
          <m:sSub>
            <m:e>
              <m:r>
                <m:t>L</m:t>
              </m:r>
            </m:e>
            <m:sub>
              <m:r>
                <m:t>t</m:t>
              </m:r>
            </m:sub>
          </m:sSub>
          <m:r>
            <m:rPr>
              <m:sty m:val="p"/>
            </m:rPr>
            <m:t>=</m:t>
          </m:r>
          <m:sSub>
            <m:e>
              <m:r>
                <m:t>A</m:t>
              </m:r>
            </m:e>
            <m:sub>
              <m:r>
                <m:rPr>
                  <m:nor/>
                  <m:sty m:val="p"/>
                </m:rPr>
                <m:t>max</m:t>
              </m:r>
              <m:r>
                <m:rPr>
                  <m:sty m:val="p"/>
                </m:rPr>
                <m:t>(</m:t>
              </m:r>
              <m:r>
                <m:t>0</m:t>
              </m:r>
              <m:r>
                <m:rPr>
                  <m:sty m:val="p"/>
                </m:rPr>
                <m:t>,</m:t>
              </m:r>
              <m:r>
                <m:t>t</m:t>
              </m:r>
              <m:r>
                <m:rPr>
                  <m:sty m:val="p"/>
                </m:rPr>
                <m:t>−</m:t>
              </m:r>
              <m:r>
                <m:t>95</m:t>
              </m:r>
              <m:r>
                <m:rPr>
                  <m:sty m:val="p"/>
                </m:rPr>
                <m:t>)</m:t>
              </m:r>
            </m:sub>
          </m:sSub>
          <m:r>
            <m:rPr>
              <m:sty m:val="p"/>
            </m:rPr>
            <m:t>,</m:t>
          </m:r>
          <m:r>
            <m:t> </m:t>
          </m:r>
          <m:sSub>
            <m:e>
              <m:r>
                <m:t>U</m:t>
              </m:r>
            </m:e>
            <m:sub>
              <m:r>
                <m:t>t</m:t>
              </m:r>
            </m:sub>
          </m:sSub>
          <m:r>
            <m:rPr>
              <m:sty m:val="p"/>
            </m:rPr>
            <m:t>=</m:t>
          </m:r>
          <m:sSub>
            <m:e>
              <m:r>
                <m:t>A</m:t>
              </m:r>
            </m:e>
            <m:sub>
              <m:r>
                <m:t>t</m:t>
              </m:r>
            </m:sub>
          </m:sSub>
          <m:r>
            <m:rPr>
              <m:sty m:val="p"/>
            </m:rPr>
            <m:t>,</m:t>
          </m:r>
          <m:r>
            <m:t> </m:t>
          </m:r>
          <m:sSub>
            <m:e>
              <m:r>
                <m:t>L</m:t>
              </m:r>
            </m:e>
            <m:sub>
              <m:r>
                <m:t>0</m:t>
              </m:r>
            </m:sub>
          </m:sSub>
          <m:r>
            <m:rPr>
              <m:sty m:val="p"/>
            </m:rPr>
            <m:t>=</m:t>
          </m:r>
          <m:sSub>
            <m:e>
              <m:r>
                <m:t>U</m:t>
              </m:r>
            </m:e>
            <m:sub>
              <m:r>
                <m:t>0</m:t>
              </m:r>
            </m:sub>
          </m:sSub>
          <m:r>
            <m:rPr>
              <m:sty m:val="p"/>
            </m:rPr>
            <m:t>=</m:t>
          </m:r>
          <m:r>
            <m:t>0</m:t>
          </m:r>
          <m:r>
            <m:rPr>
              <m:sty m:val="p"/>
            </m:rPr>
            <m:t>,</m:t>
          </m:r>
          <m:r>
            <m:t> </m:t>
          </m:r>
          <m:sSub>
            <m:e>
              <m:r>
                <m:t>L</m:t>
              </m:r>
            </m:e>
            <m:sub>
              <m:r>
                <m:t>N</m:t>
              </m:r>
            </m:sub>
          </m:sSub>
          <m:r>
            <m:rPr>
              <m:sty m:val="p"/>
            </m:rPr>
            <m:t>=</m:t>
          </m:r>
          <m:sSub>
            <m:e>
              <m:r>
                <m:t>U</m:t>
              </m:r>
            </m:e>
            <m:sub>
              <m:r>
                <m:t>N</m:t>
              </m:r>
            </m:sub>
          </m:sSub>
          <m:r>
            <m:rPr>
              <m:sty m:val="p"/>
            </m:rPr>
            <m:t>=</m:t>
          </m:r>
          <m:sSub>
            <m:e>
              <m:r>
                <m:t>A</m:t>
              </m:r>
            </m:e>
            <m:sub>
              <m:r>
                <m:t>N</m:t>
              </m:r>
            </m:sub>
          </m:sSub>
          <m:r>
            <m:rPr>
              <m:sty m:val="p"/>
            </m:rPr>
            <m:t>.</m:t>
          </m:r>
          <m:r>
            <m:t>  </m:t>
          </m:r>
          <m:r>
            <m:rPr>
              <m:nor/>
              <m:sty m:val="p"/>
            </m:rPr>
            <m:t>(S29.5)</m:t>
          </m:r>
        </m:oMath>
      </m:oMathPara>
    </w:p>
    <w:p>
      <w:pPr>
        <w:pStyle w:val="FirstParagraph"/>
      </w:pPr>
      <w:r>
        <w:t xml:space="preserve">Setting</w:t>
      </w:r>
      <w:r>
        <w:t xml:space="preserve"> </w:t>
      </w:r>
      <m:oMath>
        <m:sSub>
          <m:e>
            <m:r>
              <m:t>L</m:t>
            </m:r>
          </m:e>
          <m:sub>
            <m:r>
              <m:t>N</m:t>
            </m:r>
          </m:sub>
        </m:sSub>
        <m:r>
          <m:rPr>
            <m:sty m:val="p"/>
          </m:rPr>
          <m:t>=</m:t>
        </m:r>
        <m:sSub>
          <m:e>
            <m:r>
              <m:t>A</m:t>
            </m:r>
          </m:e>
          <m:sub>
            <m:r>
              <m:t>N</m:t>
            </m:r>
          </m:sub>
        </m:sSub>
      </m:oMath>
      <w:r>
        <w:t xml:space="preserve"> </w:t>
      </w:r>
      <w:r>
        <w:t xml:space="preserve">selects a schedule which completes early; it does not redefine the original contract. Propagate the lower bound backwards and the upper bound forwards:</w:t>
      </w:r>
    </w:p>
    <w:p>
      <w:pPr>
        <w:pStyle w:val="BodyText"/>
        <w:keepLines/>
      </w:pPr>
      <m:oMathPara>
        <m:oMathParaPr>
          <m:jc m:val="center"/>
        </m:oMathParaPr>
        <m:oMath>
          <m:sSub>
            <m:e>
              <m:r>
                <m:rPr>
                  <m:sty m:val="p"/>
                </m:rPr>
                <m:t>ℓ</m:t>
              </m:r>
            </m:e>
            <m:sub>
              <m:r>
                <m:t>N</m:t>
              </m:r>
            </m:sub>
          </m:sSub>
          <m:r>
            <m:rPr>
              <m:sty m:val="p"/>
            </m:rPr>
            <m:t>=</m:t>
          </m:r>
          <m:sSub>
            <m:e>
              <m:r>
                <m:t>L</m:t>
              </m:r>
            </m:e>
            <m:sub>
              <m:r>
                <m:t>N</m:t>
              </m:r>
            </m:sub>
          </m:sSub>
          <m:r>
            <m:rPr>
              <m:sty m:val="p"/>
            </m:rPr>
            <m:t>,</m:t>
          </m:r>
          <m:r>
            <m:t> </m:t>
          </m:r>
          <m:sSub>
            <m:e>
              <m:r>
                <m:rPr>
                  <m:sty m:val="p"/>
                </m:rPr>
                <m:t>ℓ</m:t>
              </m:r>
            </m:e>
            <m:sub>
              <m:r>
                <m:t>t</m:t>
              </m:r>
            </m:sub>
          </m:sSub>
          <m:r>
            <m:rPr>
              <m:sty m:val="p"/>
            </m:rPr>
            <m:t>=</m:t>
          </m:r>
          <m:r>
            <m:rPr>
              <m:nor/>
              <m:sty m:val="p"/>
            </m:rPr>
            <m:t>max</m:t>
          </m:r>
          <m:r>
            <m:rPr>
              <m:sty m:val="p"/>
            </m:rPr>
            <m:t>(</m:t>
          </m:r>
          <m:sSub>
            <m:e>
              <m:r>
                <m:t>L</m:t>
              </m:r>
            </m:e>
            <m:sub>
              <m:r>
                <m:t>t</m:t>
              </m:r>
            </m:sub>
          </m:sSub>
          <m:r>
            <m:rPr>
              <m:sty m:val="p"/>
            </m:rPr>
            <m:t>,</m:t>
          </m:r>
          <m:sSub>
            <m:e>
              <m:r>
                <m:rPr>
                  <m:sty m:val="p"/>
                </m:rPr>
                <m:t>ℓ</m:t>
              </m:r>
            </m:e>
            <m:sub>
              <m:r>
                <m:t>t</m:t>
              </m:r>
              <m:r>
                <m:rPr>
                  <m:sty m:val="p"/>
                </m:rPr>
                <m:t>+</m:t>
              </m:r>
              <m:r>
                <m:t>1</m:t>
              </m:r>
            </m:sub>
          </m:sSub>
          <m:r>
            <m:rPr>
              <m:sty m:val="p"/>
            </m:rPr>
            <m:t>−</m:t>
          </m:r>
          <m:r>
            <m:t>1</m:t>
          </m:r>
          <m:r>
            <m:rPr>
              <m:sty m:val="p"/>
            </m:rPr>
            <m:t>)</m:t>
          </m:r>
          <m:r>
            <m:rPr>
              <m:sty m:val="p"/>
            </m:rPr>
            <m:t>,</m:t>
          </m:r>
          <m:r>
            <m:t>  </m:t>
          </m:r>
          <m:sSub>
            <m:e>
              <m:r>
                <m:t>u</m:t>
              </m:r>
            </m:e>
            <m:sub>
              <m:r>
                <m:t>0</m:t>
              </m:r>
            </m:sub>
          </m:sSub>
          <m:r>
            <m:rPr>
              <m:sty m:val="p"/>
            </m:rPr>
            <m:t>=</m:t>
          </m:r>
          <m:sSub>
            <m:e>
              <m:r>
                <m:t>U</m:t>
              </m:r>
            </m:e>
            <m:sub>
              <m:r>
                <m:t>0</m:t>
              </m:r>
            </m:sub>
          </m:sSub>
          <m:r>
            <m:rPr>
              <m:sty m:val="p"/>
            </m:rPr>
            <m:t>,</m:t>
          </m:r>
          <m:r>
            <m:t> </m:t>
          </m:r>
          <m:sSub>
            <m:e>
              <m:r>
                <m:t>u</m:t>
              </m:r>
            </m:e>
            <m:sub>
              <m:r>
                <m:t>t</m:t>
              </m:r>
            </m:sub>
          </m:sSub>
          <m:r>
            <m:rPr>
              <m:sty m:val="p"/>
            </m:rPr>
            <m:t>=</m:t>
          </m:r>
          <m:r>
            <m:rPr>
              <m:nor/>
              <m:sty m:val="p"/>
            </m:rPr>
            <m:t>min</m:t>
          </m:r>
          <m:r>
            <m:rPr>
              <m:sty m:val="p"/>
            </m:rPr>
            <m:t>(</m:t>
          </m:r>
          <m:sSub>
            <m:e>
              <m:r>
                <m:t>U</m:t>
              </m:r>
            </m:e>
            <m:sub>
              <m:r>
                <m:t>t</m:t>
              </m:r>
            </m:sub>
          </m:sSub>
          <m:r>
            <m:rPr>
              <m:sty m:val="p"/>
            </m:rPr>
            <m:t>,</m:t>
          </m:r>
          <m:sSub>
            <m:e>
              <m:r>
                <m:t>u</m:t>
              </m:r>
            </m:e>
            <m:sub>
              <m:r>
                <m:t>t</m:t>
              </m:r>
              <m:r>
                <m:rPr>
                  <m:sty m:val="p"/>
                </m:rPr>
                <m:t>−</m:t>
              </m:r>
              <m:r>
                <m:t>1</m:t>
              </m:r>
            </m:sub>
          </m:sSub>
          <m:r>
            <m:rPr>
              <m:sty m:val="p"/>
            </m:rPr>
            <m:t>+</m:t>
          </m:r>
          <m:r>
            <m:t>1</m:t>
          </m:r>
          <m:r>
            <m:rPr>
              <m:sty m:val="p"/>
            </m:rPr>
            <m:t>)</m:t>
          </m:r>
          <m:r>
            <m:rPr>
              <m:sty m:val="p"/>
            </m:rPr>
            <m:t>.</m:t>
          </m:r>
          <m:r>
            <m:t>  </m:t>
          </m:r>
          <m:r>
            <m:rPr>
              <m:nor/>
              <m:sty m:val="p"/>
            </m:rPr>
            <m:t>(S29.6)</m:t>
          </m:r>
        </m:oMath>
      </m:oMathPara>
    </w:p>
    <w:p>
      <w:pPr>
        <w:pStyle w:val="FirstParagraph"/>
      </w:pPr>
      <w:r>
        <w:t xml:space="preserve">Exact earliest service proves that the propagated interval is nonempty: every feasible cumulative path lies between</w:t>
      </w:r>
      <w:r>
        <w:t xml:space="preserve"> </w:t>
      </w:r>
      <m:oMath>
        <m:sSub>
          <m:e>
            <m:r>
              <m:rPr>
                <m:sty m:val="p"/>
              </m:rPr>
              <m:t>ℓ</m:t>
            </m:r>
          </m:e>
          <m:sub>
            <m:r>
              <m:t>t</m:t>
            </m:r>
          </m:sub>
        </m:sSub>
      </m:oMath>
      <w:r>
        <w:t xml:space="preserve"> </w:t>
      </w:r>
      <w:r>
        <w:t xml:space="preserve">and</w:t>
      </w:r>
      <w:r>
        <w:t xml:space="preserve"> </w:t>
      </w:r>
      <m:oMath>
        <m:sSub>
          <m:e>
            <m:r>
              <m:t>u</m:t>
            </m:r>
          </m:e>
          <m:sub>
            <m:r>
              <m:t>t</m:t>
            </m:r>
          </m:sub>
        </m:sSub>
      </m:oMath>
      <w:r>
        <w:t xml:space="preserve">. The propagated bounds are nondecreasing and their increments are at most one. Define</w:t>
      </w:r>
    </w:p>
    <w:p>
      <w:pPr>
        <w:pStyle w:val="BodyText"/>
        <w:keepLines/>
      </w:pPr>
      <m:oMathPara>
        <m:oMathParaPr>
          <m:jc m:val="center"/>
        </m:oMathParaPr>
        <m:oMath>
          <m:sSub>
            <m:e>
              <m:r>
                <m:t>X</m:t>
              </m:r>
            </m:e>
            <m:sub>
              <m:r>
                <m:t>t</m:t>
              </m:r>
            </m:sub>
          </m:sSub>
          <m:r>
            <m:rPr>
              <m:sty m:val="p"/>
            </m:rPr>
            <m:t>(</m:t>
          </m:r>
          <m:r>
            <m:t>a</m:t>
          </m:r>
          <m:r>
            <m:rPr>
              <m:sty m:val="p"/>
            </m:rPr>
            <m:t>)</m:t>
          </m:r>
          <m:r>
            <m:rPr>
              <m:sty m:val="p"/>
            </m:rPr>
            <m:t>=</m:t>
          </m:r>
          <m:r>
            <m:rPr>
              <m:nor/>
              <m:sty m:val="p"/>
            </m:rPr>
            <m:t>min</m:t>
          </m:r>
          <m:r>
            <m:rPr>
              <m:sty m:val="p"/>
            </m:rPr>
            <m:t>{</m:t>
          </m:r>
          <m:sSub>
            <m:e>
              <m:r>
                <m:t>u</m:t>
              </m:r>
            </m:e>
            <m:sub>
              <m:r>
                <m:t>t</m:t>
              </m:r>
            </m:sub>
          </m:sSub>
          <m:r>
            <m:rPr>
              <m:sty m:val="p"/>
            </m:rPr>
            <m:t>,</m:t>
          </m:r>
          <m:r>
            <m:rPr>
              <m:nor/>
              <m:sty m:val="p"/>
            </m:rPr>
            <m:t>max</m:t>
          </m:r>
          <m:r>
            <m:rPr>
              <m:sty m:val="p"/>
            </m:rPr>
            <m:t>{</m:t>
          </m:r>
          <m:sSub>
            <m:e>
              <m:r>
                <m:rPr>
                  <m:sty m:val="p"/>
                </m:rPr>
                <m:t>ℓ</m:t>
              </m:r>
            </m:e>
            <m:sub>
              <m:r>
                <m:t>t</m:t>
              </m:r>
            </m:sub>
          </m:sSub>
          <m:r>
            <m:rPr>
              <m:sty m:val="p"/>
            </m:rPr>
            <m:t>,</m:t>
          </m:r>
          <m:sSub>
            <m:e>
              <m:acc>
                <m:accPr>
                  <m:chr m:val="‾"/>
                </m:accPr>
                <m:e>
                  <m:r>
                    <m:t>X</m:t>
                  </m:r>
                </m:e>
              </m:acc>
            </m:e>
            <m:sub>
              <m:r>
                <m:t>t</m:t>
              </m:r>
            </m:sub>
          </m:sSub>
          <m:r>
            <m:rPr>
              <m:sty m:val="p"/>
            </m:rPr>
            <m:t>}</m:t>
          </m:r>
          <m:r>
            <m:rPr>
              <m:sty m:val="p"/>
            </m:rPr>
            <m:t>}</m:t>
          </m:r>
          <m:r>
            <m:rPr>
              <m:sty m:val="p"/>
            </m:rPr>
            <m:t>,</m:t>
          </m:r>
          <m:r>
            <m:t>  </m:t>
          </m:r>
          <m:sSub>
            <m:e>
              <m:r>
                <m:t>x</m:t>
              </m:r>
            </m:e>
            <m:sub>
              <m:r>
                <m:t>t</m:t>
              </m:r>
            </m:sub>
          </m:sSub>
          <m:r>
            <m:rPr>
              <m:sty m:val="p"/>
            </m:rPr>
            <m:t>(</m:t>
          </m:r>
          <m:r>
            <m:t>a</m:t>
          </m:r>
          <m:r>
            <m:rPr>
              <m:sty m:val="p"/>
            </m:rPr>
            <m:t>)</m:t>
          </m:r>
          <m:r>
            <m:rPr>
              <m:sty m:val="p"/>
            </m:rPr>
            <m:t>=</m:t>
          </m:r>
          <m:sSub>
            <m:e>
              <m:r>
                <m:t>X</m:t>
              </m:r>
            </m:e>
            <m:sub>
              <m:r>
                <m:t>t</m:t>
              </m:r>
            </m:sub>
          </m:sSub>
          <m:r>
            <m:rPr>
              <m:sty m:val="p"/>
            </m:rPr>
            <m:t>(</m:t>
          </m:r>
          <m:r>
            <m:t>a</m:t>
          </m:r>
          <m:r>
            <m:rPr>
              <m:sty m:val="p"/>
            </m:rPr>
            <m:t>)</m:t>
          </m:r>
          <m:r>
            <m:rPr>
              <m:sty m:val="p"/>
            </m:rPr>
            <m:t>−</m:t>
          </m:r>
          <m:sSub>
            <m:e>
              <m:r>
                <m:t>X</m:t>
              </m:r>
            </m:e>
            <m:sub>
              <m:r>
                <m:t>t</m:t>
              </m:r>
              <m:r>
                <m:rPr>
                  <m:sty m:val="p"/>
                </m:rPr>
                <m:t>−</m:t>
              </m:r>
              <m:r>
                <m:t>1</m:t>
              </m:r>
            </m:sub>
          </m:sSub>
          <m:r>
            <m:rPr>
              <m:sty m:val="p"/>
            </m:rPr>
            <m:t>(</m:t>
          </m:r>
          <m:r>
            <m:t>a</m:t>
          </m:r>
          <m:r>
            <m:rPr>
              <m:sty m:val="p"/>
            </m:rPr>
            <m:t>)</m:t>
          </m:r>
          <m:r>
            <m:rPr>
              <m:sty m:val="p"/>
            </m:rPr>
            <m:t>.</m:t>
          </m:r>
          <m:r>
            <m:t>  </m:t>
          </m:r>
          <m:r>
            <m:rPr>
              <m:nor/>
              <m:sty m:val="p"/>
            </m:rPr>
            <m:t>(S29.7)</m:t>
          </m:r>
        </m:oMath>
      </m:oMathPara>
    </w:p>
    <w:p>
      <w:pPr>
        <w:pStyle w:val="FirstParagraph"/>
      </w:pPr>
      <w:r>
        <w:t xml:space="preserve">The minimum and maximum of nondecreasing sequences whose increments lie in</w:t>
      </w:r>
      <w:r>
        <w:t xml:space="preserve"> </w:t>
      </w:r>
      <m:oMath>
        <m:r>
          <m:rPr>
            <m:sty m:val="p"/>
          </m:rPr>
          <m:t>[</m:t>
        </m:r>
        <m:r>
          <m:t>0</m:t>
        </m:r>
        <m:r>
          <m:rPr>
            <m:sty m:val="p"/>
          </m:rPr>
          <m:t>,</m:t>
        </m:r>
        <m:r>
          <m:t>1</m:t>
        </m:r>
        <m:r>
          <m:rPr>
            <m:sty m:val="p"/>
          </m:rPr>
          <m:t>]</m:t>
        </m:r>
      </m:oMath>
      <w:r>
        <w:t xml:space="preserve"> </w:t>
      </w:r>
      <w:r>
        <w:t xml:space="preserve">retain those properties. Hence</w:t>
      </w:r>
      <w:r>
        <w:t xml:space="preserve"> </w:t>
      </w:r>
      <m:oMath>
        <m:r>
          <m:t>0</m:t>
        </m:r>
        <m:r>
          <m:rPr>
            <m:sty m:val="p"/>
          </m:rPr>
          <m:t>≤</m:t>
        </m:r>
        <m:sSub>
          <m:e>
            <m:r>
              <m:t>x</m:t>
            </m:r>
          </m:e>
          <m:sub>
            <m:r>
              <m:t>t</m:t>
            </m:r>
          </m:sub>
        </m:sSub>
        <m:r>
          <m:rPr>
            <m:sty m:val="p"/>
          </m:rPr>
          <m:t>(</m:t>
        </m:r>
        <m:r>
          <m:t>a</m:t>
        </m:r>
        <m:r>
          <m:rPr>
            <m:sty m:val="p"/>
          </m:rPr>
          <m:t>)</m:t>
        </m:r>
        <m:r>
          <m:rPr>
            <m:sty m:val="p"/>
          </m:rPr>
          <m:t>≤</m:t>
        </m:r>
        <m:r>
          <m:t>1</m:t>
        </m:r>
      </m:oMath>
      <w:r>
        <w:t xml:space="preserve">. The clamped path also obeys</w:t>
      </w:r>
      <w:r>
        <w:t xml:space="preserve"> </w:t>
      </w:r>
      <m:oMath>
        <m:sSub>
          <m:e>
            <m:r>
              <m:t>L</m:t>
            </m:r>
          </m:e>
          <m:sub>
            <m:r>
              <m:t>t</m:t>
            </m:r>
          </m:sub>
        </m:sSub>
        <m:r>
          <m:rPr>
            <m:sty m:val="p"/>
          </m:rPr>
          <m:t>≤</m:t>
        </m:r>
        <m:sSub>
          <m:e>
            <m:r>
              <m:t>X</m:t>
            </m:r>
          </m:e>
          <m:sub>
            <m:r>
              <m:t>t</m:t>
            </m:r>
          </m:sub>
        </m:sSub>
        <m:r>
          <m:rPr>
            <m:sty m:val="p"/>
          </m:rPr>
          <m:t>(</m:t>
        </m:r>
        <m:r>
          <m:t>a</m:t>
        </m:r>
        <m:r>
          <m:rPr>
            <m:sty m:val="p"/>
          </m:rPr>
          <m:t>)</m:t>
        </m:r>
        <m:r>
          <m:rPr>
            <m:sty m:val="p"/>
          </m:rPr>
          <m:t>≤</m:t>
        </m:r>
        <m:sSub>
          <m:e>
            <m:r>
              <m:t>U</m:t>
            </m:r>
          </m:e>
          <m:sub>
            <m:r>
              <m:t>t</m:t>
            </m:r>
          </m:sub>
        </m:sSub>
      </m:oMath>
      <w:r>
        <w:t xml:space="preserve"> </w:t>
      </w:r>
      <w:r>
        <w:t xml:space="preserve">and the initial and final equalities. For homogeneous deadlines, the release and due prefixes are equivalent to feasible earliest-deadline cohort allocation: execution cannot precede release, and every prefix of due cohorts has completed by its exclusive deadline. Consequently</w:t>
      </w:r>
      <w:r>
        <w:t xml:space="preserve"> </w:t>
      </w:r>
      <m:oMath>
        <m:r>
          <m:t>x</m:t>
        </m:r>
        <m:r>
          <m:rPr>
            <m:sty m:val="p"/>
          </m:rPr>
          <m:t>(</m:t>
        </m:r>
        <m:r>
          <m:t>a</m:t>
        </m:r>
        <m:r>
          <m:rPr>
            <m:sty m:val="p"/>
          </m:rPr>
          <m:t>)</m:t>
        </m:r>
        <m:r>
          <m:rPr>
            <m:sty m:val="p"/>
          </m:rPr>
          <m:t>∈</m:t>
        </m:r>
        <m:sSub>
          <m:e>
            <m:r>
              <m:rPr>
                <m:sty m:val="p"/>
                <m:scr m:val="script"/>
              </m:rPr>
              <m:t>X</m:t>
            </m:r>
          </m:e>
          <m:sub>
            <m:r>
              <m:t>24</m:t>
            </m:r>
          </m:sub>
        </m:sSub>
        <m:r>
          <m:rPr>
            <m:sty m:val="p"/>
          </m:rPr>
          <m:t>(</m:t>
        </m:r>
        <m:r>
          <m:t>a</m:t>
        </m:r>
        <m:r>
          <m:rPr>
            <m:sty m:val="p"/>
          </m:rPr>
          <m:t>)</m:t>
        </m:r>
      </m:oMath>
      <w:r>
        <w:t xml:space="preserve">, with zero true terminal backlog. The exact import-cap condition already holds for every execution in the unit box.</w:t>
      </w:r>
    </w:p>
    <w:p>
      <w:pPr>
        <w:pStyle w:val="BodyText"/>
      </w:pPr>
      <w:r>
        <w:t xml:space="preserve">To bound the displacement, Eq. (S29.1) and the strict surrogate corridor imply that every unpropagated release/deadline/endpoint violation of</w:t>
      </w:r>
      <w:r>
        <w:t xml:space="preserve"> </w:t>
      </w:r>
      <m:oMath>
        <m:acc>
          <m:accPr>
            <m:chr m:val="‾"/>
          </m:accPr>
          <m:e>
            <m:r>
              <m:t>X</m:t>
            </m:r>
          </m:e>
        </m:acc>
      </m:oMath>
      <w:r>
        <w:t xml:space="preserve"> </w:t>
      </w:r>
      <w:r>
        <w:t xml:space="preserve">is at most</w:t>
      </w:r>
      <w:r>
        <w:t xml:space="preserve"> </w:t>
      </w:r>
      <m:oMath>
        <m:r>
          <m:t>E</m:t>
        </m:r>
      </m:oMath>
      <w:r>
        <w:t xml:space="preserve">. This remains true after capacity propagation. For example,</w:t>
      </w:r>
      <w:r>
        <w:t xml:space="preserve"> </w:t>
      </w:r>
      <m:oMath>
        <m:sSub>
          <m:e>
            <m:r>
              <m:rPr>
                <m:sty m:val="p"/>
              </m:rPr>
              <m:t>ℓ</m:t>
            </m:r>
          </m:e>
          <m:sub>
            <m:r>
              <m:t>t</m:t>
            </m:r>
          </m:sub>
        </m:sSub>
      </m:oMath>
      <w:r>
        <w:t xml:space="preserve"> </w:t>
      </w:r>
      <w:r>
        <w:t xml:space="preserve">is a maximum of future lower bounds minus intervening capacity; since</w:t>
      </w:r>
      <w:r>
        <w:t xml:space="preserve"> </w:t>
      </w:r>
      <m:oMath>
        <m:acc>
          <m:accPr>
            <m:chr m:val="‾"/>
          </m:accPr>
          <m:e>
            <m:r>
              <m:t>X</m:t>
            </m:r>
          </m:e>
        </m:acc>
      </m:oMath>
      <w:r>
        <w:t xml:space="preserve"> </w:t>
      </w:r>
      <w:r>
        <w:t xml:space="preserve">has increments at most one, each term is at most</w:t>
      </w:r>
      <w:r>
        <w:t xml:space="preserve"> </w:t>
      </w:r>
      <m:oMath>
        <m:sSub>
          <m:e>
            <m:acc>
              <m:accPr>
                <m:chr m:val="‾"/>
              </m:accPr>
              <m:e>
                <m:r>
                  <m:t>X</m:t>
                </m:r>
              </m:e>
            </m:acc>
          </m:e>
          <m:sub>
            <m:r>
              <m:t>t</m:t>
            </m:r>
          </m:sub>
        </m:sSub>
        <m:r>
          <m:rPr>
            <m:sty m:val="p"/>
          </m:rPr>
          <m:t>+</m:t>
        </m:r>
        <m:r>
          <m:t>E</m:t>
        </m:r>
      </m:oMath>
      <w:r>
        <w:t xml:space="preserve">. The forward argument gives</w:t>
      </w:r>
      <w:r>
        <w:t xml:space="preserve"> </w:t>
      </w:r>
      <m:oMath>
        <m:sSub>
          <m:e>
            <m:r>
              <m:t>u</m:t>
            </m:r>
          </m:e>
          <m:sub>
            <m:r>
              <m:t>t</m:t>
            </m:r>
          </m:sub>
        </m:sSub>
        <m:r>
          <m:rPr>
            <m:sty m:val="p"/>
          </m:rPr>
          <m:t>≥</m:t>
        </m:r>
        <m:sSub>
          <m:e>
            <m:acc>
              <m:accPr>
                <m:chr m:val="‾"/>
              </m:accPr>
              <m:e>
                <m:r>
                  <m:t>X</m:t>
                </m:r>
              </m:e>
            </m:acc>
          </m:e>
          <m:sub>
            <m:r>
              <m:t>t</m:t>
            </m:r>
          </m:sub>
        </m:sSub>
        <m:r>
          <m:rPr>
            <m:sty m:val="p"/>
          </m:rPr>
          <m:t>−</m:t>
        </m:r>
        <m:r>
          <m:t>E</m:t>
        </m:r>
      </m:oMath>
      <w:r>
        <w:t xml:space="preserve">. Thus</w:t>
      </w:r>
      <w:r>
        <w:t xml:space="preserve"> </w:t>
      </w:r>
      <m:oMath>
        <m:r>
          <m:rPr>
            <m:sty m:val="p"/>
          </m:rPr>
          <m:t>|</m:t>
        </m:r>
        <m:sSub>
          <m:e>
            <m:r>
              <m:t>X</m:t>
            </m:r>
          </m:e>
          <m:sub>
            <m:r>
              <m:t>t</m:t>
            </m:r>
          </m:sub>
        </m:sSub>
        <m:r>
          <m:rPr>
            <m:sty m:val="p"/>
          </m:rPr>
          <m:t>(</m:t>
        </m:r>
        <m:r>
          <m:t>a</m:t>
        </m:r>
        <m:r>
          <m:rPr>
            <m:sty m:val="p"/>
          </m:rPr>
          <m:t>)</m:t>
        </m:r>
        <m:r>
          <m:rPr>
            <m:sty m:val="p"/>
          </m:rPr>
          <m:t>−</m:t>
        </m:r>
        <m:sSub>
          <m:e>
            <m:acc>
              <m:accPr>
                <m:chr m:val="‾"/>
              </m:accPr>
              <m:e>
                <m:r>
                  <m:t>X</m:t>
                </m:r>
              </m:e>
            </m:acc>
          </m:e>
          <m:sub>
            <m:r>
              <m:t>t</m:t>
            </m:r>
          </m:sub>
        </m:sSub>
        <m:r>
          <m:rPr>
            <m:sty m:val="p"/>
          </m:rPr>
          <m:t>|</m:t>
        </m:r>
        <m:r>
          <m:rPr>
            <m:sty m:val="p"/>
          </m:rPr>
          <m:t>≤</m:t>
        </m:r>
        <m:r>
          <m:t>E</m:t>
        </m:r>
      </m:oMath>
      <w:r>
        <w:t xml:space="preserve"> </w:t>
      </w:r>
      <w:r>
        <w:t xml:space="preserve">for every prefix. Taking successive differences gives</w:t>
      </w:r>
    </w:p>
    <w:p>
      <w:pPr>
        <w:pStyle w:val="BodyText"/>
        <w:keepLines/>
      </w:pPr>
      <m:oMathPara>
        <m:oMathParaPr>
          <m:jc m:val="center"/>
        </m:oMathParaPr>
        <m:oMath>
          <m:nary>
            <m:naryPr>
              <m:chr m:val="∑"/>
              <m:limLoc m:val="undOvr"/>
              <m:subHide m:val="0"/>
              <m:supHide m:val="1"/>
            </m:naryPr>
            <m:sub>
              <m:r>
                <m:t>t</m:t>
              </m:r>
            </m:sub>
            <m:sup>
              <m:r>
                <m:t>​</m:t>
              </m:r>
            </m:sup>
            <m:e>
              <m:r>
                <m:rPr>
                  <m:sty m:val="p"/>
                </m:rPr>
                <m:t>|</m:t>
              </m:r>
            </m:e>
          </m:nary>
          <m:sSub>
            <m:e>
              <m:r>
                <m:t>x</m:t>
              </m:r>
            </m:e>
            <m:sub>
              <m:r>
                <m:t>t</m:t>
              </m:r>
            </m:sub>
          </m:sSub>
          <m:r>
            <m:rPr>
              <m:sty m:val="p"/>
            </m:rPr>
            <m:t>(</m:t>
          </m:r>
          <m:r>
            <m:t>a</m:t>
          </m:r>
          <m:r>
            <m:rPr>
              <m:sty m:val="p"/>
            </m:rPr>
            <m:t>)</m:t>
          </m:r>
          <m:r>
            <m:rPr>
              <m:sty m:val="p"/>
            </m:rPr>
            <m:t>−</m:t>
          </m:r>
          <m:sSub>
            <m:e>
              <m:acc>
                <m:accPr>
                  <m:chr m:val="‾"/>
                </m:accPr>
                <m:e>
                  <m:r>
                    <m:t>x</m:t>
                  </m:r>
                </m:e>
              </m:acc>
            </m:e>
            <m:sub>
              <m:r>
                <m:t>t</m:t>
              </m:r>
            </m:sub>
          </m:sSub>
          <m:r>
            <m:rPr>
              <m:sty m:val="p"/>
            </m:rPr>
            <m:t>|</m:t>
          </m:r>
          <m:r>
            <m:rPr>
              <m:sty m:val="p"/>
            </m:rPr>
            <m:t>≤</m:t>
          </m:r>
          <m:nary>
            <m:naryPr>
              <m:chr m:val="∑"/>
              <m:limLoc m:val="undOvr"/>
              <m:subHide m:val="0"/>
              <m:supHide m:val="1"/>
            </m:naryPr>
            <m:sub>
              <m:r>
                <m:t>t</m:t>
              </m:r>
            </m:sub>
            <m:sup>
              <m:r>
                <m:t>​</m:t>
              </m:r>
            </m:sup>
            <m:e>
              <m:r>
                <m:rPr>
                  <m:sty m:val="p"/>
                </m:rPr>
                <m:t>(</m:t>
              </m:r>
            </m:e>
          </m:nary>
          <m:r>
            <m:rPr>
              <m:sty m:val="p"/>
            </m:rPr>
            <m:t>|</m:t>
          </m:r>
          <m:sSub>
            <m:e>
              <m:r>
                <m:t>X</m:t>
              </m:r>
            </m:e>
            <m:sub>
              <m:r>
                <m:t>t</m:t>
              </m:r>
            </m:sub>
          </m:sSub>
          <m:r>
            <m:rPr>
              <m:sty m:val="p"/>
            </m:rPr>
            <m:t>(</m:t>
          </m:r>
          <m:r>
            <m:t>a</m:t>
          </m:r>
          <m:r>
            <m:rPr>
              <m:sty m:val="p"/>
            </m:rPr>
            <m:t>)</m:t>
          </m:r>
          <m:r>
            <m:rPr>
              <m:sty m:val="p"/>
            </m:rPr>
            <m:t>−</m:t>
          </m:r>
          <m:sSub>
            <m:e>
              <m:acc>
                <m:accPr>
                  <m:chr m:val="‾"/>
                </m:accPr>
                <m:e>
                  <m:r>
                    <m:t>X</m:t>
                  </m:r>
                </m:e>
              </m:acc>
            </m:e>
            <m:sub>
              <m:r>
                <m:t>t</m:t>
              </m:r>
            </m:sub>
          </m:sSub>
          <m:r>
            <m:rPr>
              <m:sty m:val="p"/>
            </m:rPr>
            <m:t>|</m:t>
          </m:r>
          <m:r>
            <m:rPr>
              <m:sty m:val="p"/>
            </m:rPr>
            <m:t>+</m:t>
          </m:r>
          <m:r>
            <m:rPr>
              <m:sty m:val="p"/>
            </m:rPr>
            <m:t>|</m:t>
          </m:r>
          <m:sSub>
            <m:e>
              <m:r>
                <m:t>X</m:t>
              </m:r>
            </m:e>
            <m:sub>
              <m:r>
                <m:t>t</m:t>
              </m:r>
              <m:r>
                <m:rPr>
                  <m:sty m:val="p"/>
                </m:rPr>
                <m:t>−</m:t>
              </m:r>
              <m:r>
                <m:t>1</m:t>
              </m:r>
            </m:sub>
          </m:sSub>
          <m:r>
            <m:rPr>
              <m:sty m:val="p"/>
            </m:rPr>
            <m:t>(</m:t>
          </m:r>
          <m:r>
            <m:t>a</m:t>
          </m:r>
          <m:r>
            <m:rPr>
              <m:sty m:val="p"/>
            </m:rPr>
            <m:t>)</m:t>
          </m:r>
          <m:r>
            <m:rPr>
              <m:sty m:val="p"/>
            </m:rPr>
            <m:t>−</m:t>
          </m:r>
          <m:sSub>
            <m:e>
              <m:acc>
                <m:accPr>
                  <m:chr m:val="‾"/>
                </m:accPr>
                <m:e>
                  <m:r>
                    <m:t>X</m:t>
                  </m:r>
                </m:e>
              </m:acc>
            </m:e>
            <m:sub>
              <m:r>
                <m:t>t</m:t>
              </m:r>
              <m:r>
                <m:rPr>
                  <m:sty m:val="p"/>
                </m:rPr>
                <m:t>−</m:t>
              </m:r>
              <m:r>
                <m:t>1</m:t>
              </m:r>
            </m:sub>
          </m:sSub>
          <m:r>
            <m:rPr>
              <m:sty m:val="p"/>
            </m:rPr>
            <m:t>|</m:t>
          </m:r>
          <m:r>
            <m:rPr>
              <m:sty m:val="p"/>
            </m:rPr>
            <m:t>)</m:t>
          </m:r>
          <m:r>
            <m:rPr>
              <m:sty m:val="p"/>
            </m:rPr>
            <m:t>≤</m:t>
          </m:r>
          <m:r>
            <m:t>2</m:t>
          </m:r>
          <m:r>
            <m:t>N</m:t>
          </m:r>
          <m:r>
            <m:t>E</m:t>
          </m:r>
          <m:r>
            <m:rPr>
              <m:sty m:val="p"/>
            </m:rPr>
            <m:t>.</m:t>
          </m:r>
          <m:r>
            <m:t>  </m:t>
          </m:r>
          <m:r>
            <m:rPr>
              <m:nor/>
              <m:sty m:val="p"/>
            </m:rPr>
            <m:t>(S29.8)</m:t>
          </m:r>
        </m:oMath>
      </m:oMathPara>
    </w:p>
    <w:p>
      <w:pPr>
        <w:pStyle w:val="FirstParagraph"/>
      </w:pPr>
      <w:r>
        <w:t xml:space="preserve">Finally, the original import, curtailment and import-deviation slot cost is</w:t>
      </w:r>
      <w:r>
        <w:t xml:space="preserve"> </w:t>
      </w:r>
      <m:oMath>
        <m:sSub>
          <m:e>
            <m:r>
              <m:t>M</m:t>
            </m:r>
          </m:e>
          <m:sub>
            <m:r>
              <m:t>z</m:t>
            </m:r>
          </m:sub>
        </m:sSub>
      </m:oMath>
      <w:r>
        <w:t xml:space="preserve">-Lipschitz in work, with</w:t>
      </w:r>
      <w:r>
        <w:t xml:space="preserve"> </w:t>
      </w:r>
      <m:oMath>
        <m:sSub>
          <m:e>
            <m:r>
              <m:t>M</m:t>
            </m:r>
          </m:e>
          <m:sub>
            <m:r>
              <m:t>z</m:t>
            </m:r>
          </m:sub>
        </m:sSub>
        <m:r>
          <m:rPr>
            <m:sty m:val="p"/>
          </m:rPr>
          <m:t>=</m:t>
        </m:r>
        <m:sSub>
          <m:e>
            <m:r>
              <m:rPr>
                <m:nor/>
                <m:sty m:val="p"/>
              </m:rPr>
              <m:t>max</m:t>
            </m:r>
          </m:e>
          <m:sub>
            <m:r>
              <m:t>t</m:t>
            </m:r>
          </m:sub>
        </m:sSub>
        <m:r>
          <m:rPr>
            <m:sty m:val="p"/>
          </m:rPr>
          <m:t>[</m:t>
        </m:r>
        <m:r>
          <m:t>0.25</m:t>
        </m:r>
        <m:sSub>
          <m:e>
            <m:r>
              <m:t>k</m:t>
            </m:r>
          </m:e>
          <m:sub>
            <m:r>
              <m:t>z</m:t>
            </m:r>
          </m:sub>
        </m:sSub>
        <m:sSub>
          <m:e>
            <m:r>
              <m:rPr>
                <m:sty m:val="p"/>
              </m:rPr>
              <m:t>P</m:t>
            </m:r>
            <m:r>
              <m:rPr>
                <m:sty m:val="p"/>
              </m:rPr>
              <m:t>U</m:t>
            </m:r>
            <m:r>
              <m:rPr>
                <m:sty m:val="p"/>
              </m:rPr>
              <m:t>E</m:t>
            </m:r>
          </m:e>
          <m:sub>
            <m:r>
              <m:t>z</m:t>
            </m:r>
            <m:r>
              <m:t>t</m:t>
            </m:r>
          </m:sub>
        </m:sSub>
        <m:r>
          <m:rPr>
            <m:sty m:val="p"/>
          </m:rPr>
          <m:t>(</m:t>
        </m:r>
        <m:r>
          <m:rPr>
            <m:sty m:val="p"/>
          </m:rPr>
          <m:t>|</m:t>
        </m:r>
        <m:sSub>
          <m:e>
            <m:r>
              <m:t>p</m:t>
            </m:r>
          </m:e>
          <m:sub>
            <m:r>
              <m:t>z</m:t>
            </m:r>
            <m:r>
              <m:t>t</m:t>
            </m:r>
          </m:sub>
        </m:sSub>
        <m:r>
          <m:rPr>
            <m:sty m:val="p"/>
          </m:rPr>
          <m:t>|</m:t>
        </m:r>
        <m:r>
          <m:rPr>
            <m:sty m:val="p"/>
          </m:rPr>
          <m:t>+</m:t>
        </m:r>
        <m:r>
          <m:t>2</m:t>
        </m:r>
        <m:r>
          <m:rPr>
            <m:sty m:val="p"/>
          </m:rPr>
          <m:t>)</m:t>
        </m:r>
        <m:r>
          <m:rPr>
            <m:sty m:val="p"/>
          </m:rPr>
          <m:t>]</m:t>
        </m:r>
      </m:oMath>
      <w:r>
        <w:t xml:space="preserve">. The source signed terminal-anchor offset is</w:t>
      </w:r>
      <w:r>
        <w:t xml:space="preserve"> </w:t>
      </w:r>
      <m:oMath>
        <m:sSub>
          <m:e>
            <m:r>
              <m:t>τ</m:t>
            </m:r>
          </m:e>
          <m:sub>
            <m:r>
              <m:t>z</m:t>
            </m:r>
          </m:sub>
        </m:sSub>
        <m:r>
          <m:rPr>
            <m:sty m:val="p"/>
          </m:rPr>
          <m:t>(</m:t>
        </m:r>
        <m:sSub>
          <m:e>
            <m:r>
              <m:t>R</m:t>
            </m:r>
          </m:e>
          <m:sub>
            <m:r>
              <m:t>N</m:t>
            </m:r>
          </m:sub>
        </m:sSub>
        <m:r>
          <m:rPr>
            <m:sty m:val="p"/>
          </m:rPr>
          <m:t>−</m:t>
        </m:r>
        <m:sSub>
          <m:e>
            <m:r>
              <m:t>A</m:t>
            </m:r>
          </m:e>
          <m:sub>
            <m:r>
              <m:t>N</m:t>
            </m:r>
          </m:sub>
        </m:sSub>
        <m:r>
          <m:rPr>
            <m:sty m:val="p"/>
          </m:rPr>
          <m:t>)</m:t>
        </m:r>
      </m:oMath>
      <w:r>
        <w:t xml:space="preserve">, bounded in absolute value by</w:t>
      </w:r>
      <w:r>
        <w:t xml:space="preserve"> </w:t>
      </w:r>
      <m:oMath>
        <m:r>
          <m:t>21</m:t>
        </m:r>
        <m:sSub>
          <m:e>
            <m:r>
              <m:t>E</m:t>
            </m:r>
          </m:e>
          <m:sub>
            <m:r>
              <m:t>z</m:t>
            </m:r>
          </m:sub>
        </m:sSub>
      </m:oMath>
      <w:r>
        <w:t xml:space="preserve">. Therefore</w:t>
      </w:r>
    </w:p>
    <w:p>
      <w:pPr>
        <w:pStyle w:val="BodyText"/>
        <w:keepLines/>
      </w:pPr>
      <m:oMathPara>
        <m:oMathParaPr>
          <m:jc m:val="center"/>
        </m:oMathParaPr>
        <m:oMath>
          <m:r>
            <m:t>C</m:t>
          </m:r>
          <m:r>
            <m:rPr>
              <m:sty m:val="p"/>
            </m:rPr>
            <m:t>(</m:t>
          </m:r>
          <m:r>
            <m:t>x</m:t>
          </m:r>
          <m:r>
            <m:rPr>
              <m:sty m:val="p"/>
            </m:rPr>
            <m:t>(</m:t>
          </m:r>
          <m:r>
            <m:t>a</m:t>
          </m:r>
          <m:r>
            <m:rPr>
              <m:sty m:val="p"/>
            </m:rPr>
            <m:t>)</m:t>
          </m:r>
          <m:r>
            <m:rPr>
              <m:sty m:val="p"/>
            </m:rPr>
            <m:t>)</m:t>
          </m:r>
          <m:r>
            <m:rPr>
              <m:sty m:val="p"/>
            </m:rPr>
            <m:t>≤</m:t>
          </m:r>
          <m:r>
            <m:t>C</m:t>
          </m:r>
          <m:r>
            <m:rPr>
              <m:sty m:val="p"/>
            </m:rPr>
            <m:t>(</m:t>
          </m:r>
          <m:acc>
            <m:accPr>
              <m:chr m:val="‾"/>
            </m:accPr>
            <m:e>
              <m:r>
                <m:t>x</m:t>
              </m:r>
            </m:e>
          </m:acc>
          <m:r>
            <m:rPr>
              <m:sty m:val="p"/>
            </m:rPr>
            <m:t>)</m:t>
          </m:r>
          <m:r>
            <m:rPr>
              <m:sty m:val="p"/>
            </m:rPr>
            <m:t>+</m:t>
          </m:r>
          <m:nary>
            <m:naryPr>
              <m:chr m:val="∑"/>
              <m:limLoc m:val="undOvr"/>
              <m:subHide m:val="0"/>
              <m:supHide m:val="1"/>
            </m:naryPr>
            <m:sub>
              <m:r>
                <m:t>z</m:t>
              </m:r>
            </m:sub>
            <m:sup>
              <m:r>
                <m:t>​</m:t>
              </m:r>
            </m:sup>
            <m:e>
              <m:r>
                <m:t>2</m:t>
              </m:r>
            </m:e>
          </m:nary>
          <m:r>
            <m:t>N</m:t>
          </m:r>
          <m:sSub>
            <m:e>
              <m:r>
                <m:t>M</m:t>
              </m:r>
            </m:e>
            <m:sub>
              <m:r>
                <m:t>z</m:t>
              </m:r>
            </m:sub>
          </m:sSub>
          <m:sSub>
            <m:e>
              <m:r>
                <m:t>E</m:t>
              </m:r>
            </m:e>
            <m:sub>
              <m:r>
                <m:t>z</m:t>
              </m:r>
            </m:sub>
          </m:sSub>
          <m:r>
            <m:rPr>
              <m:sty m:val="p"/>
            </m:rPr>
            <m:t>+</m:t>
          </m:r>
          <m:r>
            <m:t>21</m:t>
          </m:r>
          <m:nary>
            <m:naryPr>
              <m:chr m:val="∑"/>
              <m:limLoc m:val="undOvr"/>
              <m:subHide m:val="0"/>
              <m:supHide m:val="1"/>
            </m:naryPr>
            <m:sub>
              <m:r>
                <m:t>z</m:t>
              </m:r>
            </m:sub>
            <m:sup>
              <m:r>
                <m:t>​</m:t>
              </m:r>
            </m:sup>
            <m:e>
              <m:sSub>
                <m:e>
                  <m:r>
                    <m:t>E</m:t>
                  </m:r>
                </m:e>
                <m:sub>
                  <m:r>
                    <m:t>z</m:t>
                  </m:r>
                </m:sub>
              </m:sSub>
            </m:e>
          </m:nary>
          <m:r>
            <m:rPr>
              <m:sty m:val="p"/>
            </m:rPr>
            <m:t>.</m:t>
          </m:r>
          <m:r>
            <m:t>  </m:t>
          </m:r>
          <m:r>
            <m:rPr>
              <m:nor/>
              <m:sty m:val="p"/>
            </m:rPr>
            <m:t>(S29.9)</m:t>
          </m:r>
        </m:oMath>
      </m:oMathPara>
    </w:p>
    <w:p>
      <w:pPr>
        <w:pStyle w:val="FirstParagraph"/>
      </w:pPr>
      <w:r>
        <w:t xml:space="preserve">The arrival-repair contribution is below US$0.000836657841429, and the signed terminal allowance is US$0.000000000202608. The exact downward reference enclosure and upward candidate-cost enclosure in S27 prove Eq. (S29.4). This completes the constructive proof.</w:t>
      </w:r>
    </w:p>
    <w:bookmarkEnd w:id="21"/>
    <w:bookmarkStart w:id="22" w:name="Xac86aa3017ab498134d95016e1e48ab0c28b8d7"/>
    <w:p>
      <w:pPr>
        <w:pStyle w:val="Heading2"/>
      </w:pPr>
      <w:r>
        <w:t xml:space="preserve">S29.3 Materialisation using recovered source admissions</w:t>
      </w:r>
    </w:p>
    <w:p>
      <w:pPr>
        <w:pStyle w:val="FirstParagraph"/>
      </w:pPr>
      <w:r>
        <w:t xml:space="preserve">The revised evidence package now includes the original local</w:t>
      </w:r>
      <w:r>
        <w:t xml:space="preserve"> </w:t>
      </w:r>
      <w:r>
        <w:rPr>
          <w:rStyle w:val="VerbatimChar"/>
        </w:rPr>
        <w:t xml:space="preserve">external_validation/data/forcing_2025.npz</w:t>
      </w:r>
      <w:r>
        <w:t xml:space="preserve">, whose SHA-256 is</w:t>
      </w:r>
      <w:r>
        <w:t xml:space="preserve"> </w:t>
      </w:r>
      <w:r>
        <w:rPr>
          <w:rStyle w:val="VerbatimChar"/>
        </w:rPr>
        <w:t xml:space="preserve">c600c9e01e8236bd2e1cb4e2dc08591e3ee264d05f1c26b4c785ec355c3147c8</w:t>
      </w:r>
      <w:r>
        <w:t xml:space="preserve">. Its</w:t>
      </w:r>
      <w:r>
        <w:t xml:space="preserve"> </w:t>
      </w:r>
      <w:r>
        <w:rPr>
          <w:rStyle w:val="VerbatimChar"/>
        </w:rPr>
        <w:t xml:space="preserve">eagle_arrivals</w:t>
      </w:r>
      <w:r>
        <w:t xml:space="preserve"> </w:t>
      </w:r>
      <w:r>
        <w:t xml:space="preserve">field is the admitted stream loaded by the archived</w:t>
      </w:r>
      <w:r>
        <w:t xml:space="preserve"> </w:t>
      </w:r>
      <w:r>
        <w:rPr>
          <w:rStyle w:val="VerbatimChar"/>
        </w:rPr>
        <w:t xml:space="preserve">context.configure</w:t>
      </w:r>
      <w:r>
        <w:t xml:space="preserve"> </w:t>
      </w:r>
      <w:r>
        <w:t xml:space="preserve">function. Applying the unmodified reference recurrence reproduces every published</w:t>
      </w:r>
      <w:r>
        <w:t xml:space="preserve"> </w:t>
      </w:r>
      <w:r>
        <w:rPr>
          <w:rStyle w:val="VerbatimChar"/>
        </w:rPr>
        <w:t xml:space="preserve">reference_compute</w:t>
      </w:r>
      <w:r>
        <w:t xml:space="preserve"> </w:t>
      </w:r>
      <w:r>
        <w:t xml:space="preserve">entry bit for bit and ends with a zero queue. Its RT prices, PV, PUE, work-power coefficients and idle loads are also bitwise identical to the released annual arrays, SHA-256</w:t>
      </w:r>
      <w:r>
        <w:t xml:space="preserve"> </w:t>
      </w:r>
      <w:r>
        <w:rPr>
          <w:rStyle w:val="VerbatimChar"/>
        </w:rPr>
        <w:t xml:space="preserve">5be123c40f01b111cf6503b07882e703a4c2cc29a03dde3cfb7aa4321ce2cf72</w:t>
      </w:r>
      <w:r>
        <w:t xml:space="preserve">. This establishes a matched source ledger, rather than inferring arrivals by inversion of reference service.</w:t>
      </w:r>
    </w:p>
    <w:p>
      <w:pPr>
        <w:pStyle w:val="BodyText"/>
      </w:pPr>
      <w:r>
        <w:rPr>
          <w:rStyle w:val="VerbatimChar"/>
        </w:rPr>
        <w:t xml:space="preserve">materialize_actual_witness.py</w:t>
      </w:r>
      <w:r>
        <w:t xml:space="preserve"> </w:t>
      </w:r>
      <w:r>
        <w:t xml:space="preserve">reads every stored binary64 input as an exact rational, applies Eq. (S29.7), saves the full exact execution and cumulative ledger, and checks every release, exclusive deadline, service-capacity and static-import constraint. The supplied four records each cover all 35,040 slots. For these recovered admissions, the stored surrogate already satisfies every exact constraint: all four repair</w:t>
      </w:r>
      <w:r>
        <w:t xml:space="preserve"> </w:t>
      </w:r>
      <m:oMath>
        <m:sSup>
          <m:e>
            <m:r>
              <m:t>L</m:t>
            </m:r>
          </m:e>
          <m:sup>
            <m:r>
              <m:t>1</m:t>
            </m:r>
          </m:sup>
        </m:sSup>
      </m:oMath>
      <w:r>
        <w:t xml:space="preserve"> </w:t>
      </w:r>
      <w:r>
        <w:t xml:space="preserve">norms are exactly zero. Admitted and reference totals coincide exactly, and each witness has zero true backlog and zero signed terminal-anchor offset. The smallest exact import slack is greater than 0.106672550152318 MW.</w:t>
      </w:r>
    </w:p>
    <w:p>
      <w:pPr>
        <w:pStyle w:val="BodyText"/>
      </w:pPr>
      <w:r>
        <w:t xml:space="preserve">Exact original-account re-settlement gives the materialised annual saving enclosure</w:t>
      </w:r>
    </w:p>
    <w:p>
      <w:pPr>
        <w:pStyle w:val="BodyText"/>
        <w:keepLines/>
      </w:pPr>
      <m:oMathPara>
        <m:oMathParaPr>
          <m:jc m:val="center"/>
        </m:oMathParaPr>
        <m:oMath>
          <m:r>
            <m:t>130931.31968120</m:t>
          </m:r>
          <m:r>
            <m:rPr>
              <m:sty m:val="p"/>
            </m:rPr>
            <m:t>≤</m:t>
          </m:r>
          <m:sSub>
            <m:e>
              <m:r>
                <m:t>C</m:t>
              </m:r>
            </m:e>
            <m:sub>
              <m:r>
                <m:t>0</m:t>
              </m:r>
            </m:sub>
          </m:sSub>
          <m:r>
            <m:rPr>
              <m:sty m:val="p"/>
            </m:rPr>
            <m:t>−</m:t>
          </m:r>
          <m:r>
            <m:t>C</m:t>
          </m:r>
          <m:r>
            <m:rPr>
              <m:sty m:val="p"/>
            </m:rPr>
            <m:t>(</m:t>
          </m:r>
          <m:r>
            <m:t>x</m:t>
          </m:r>
          <m:r>
            <m:rPr>
              <m:sty m:val="p"/>
            </m:rPr>
            <m:t>(</m:t>
          </m:r>
          <m:sSup>
            <m:e>
              <m:r>
                <m:t>a</m:t>
              </m:r>
            </m:e>
            <m:sup>
              <m:r>
                <m:rPr>
                  <m:sty m:val="p"/>
                </m:rPr>
                <m:t>s</m:t>
              </m:r>
              <m:r>
                <m:rPr>
                  <m:sty m:val="p"/>
                </m:rPr>
                <m:t>r</m:t>
              </m:r>
              <m:r>
                <m:rPr>
                  <m:sty m:val="p"/>
                </m:rPr>
                <m:t>c</m:t>
              </m:r>
            </m:sup>
          </m:sSup>
          <m:r>
            <m:rPr>
              <m:sty m:val="p"/>
            </m:rPr>
            <m:t>)</m:t>
          </m:r>
          <m:r>
            <m:rPr>
              <m:sty m:val="p"/>
            </m:rPr>
            <m:t>)</m:t>
          </m:r>
          <m:r>
            <m:rPr>
              <m:sty m:val="p"/>
            </m:rPr>
            <m:t>≤</m:t>
          </m:r>
          <m:r>
            <m:t>130931.31968149</m:t>
          </m:r>
          <m:r>
            <m:t> </m:t>
          </m:r>
          <m:r>
            <m:rPr>
              <m:sty m:val="p"/>
            </m:rPr>
            <m:t>U</m:t>
          </m:r>
          <m:r>
            <m:rPr>
              <m:sty m:val="p"/>
            </m:rPr>
            <m:t>S</m:t>
          </m:r>
          <m:r>
            <m:rPr>
              <m:sty m:val="p"/>
            </m:rPr>
            <m:t>$</m:t>
          </m:r>
          <m:r>
            <m:rPr>
              <m:sty m:val="p"/>
            </m:rPr>
            <m:t>.</m:t>
          </m:r>
          <m:r>
            <m:t>  </m:t>
          </m:r>
          <m:r>
            <m:rPr>
              <m:nor/>
              <m:sty m:val="p"/>
            </m:rPr>
            <m:t>(S29.10)</m:t>
          </m:r>
        </m:oMath>
      </m:oMathPara>
    </w:p>
    <w:p>
      <w:pPr>
        <w:pStyle w:val="FirstParagraph"/>
      </w:pPr>
      <w:r>
        <w:t xml:space="preserve">Both enclosing endpoints use complete-term directed monetary rounding. The main text retains the more general uniform floor US$130,931.31, so all reported rights-premium floors remain conservative. The earlier statement that the actual-admission execution could not be materialised is superseded by these supplied records. This recovery does not turn the hindsight construction into an information-adapted operating policy.</w:t>
      </w:r>
    </w:p>
    <w:p>
      <w:pPr>
        <w:pStyle w:val="BodyText"/>
      </w:pPr>
      <w:r>
        <w:t xml:space="preserve">The evidence consists of</w:t>
      </w:r>
      <w:r>
        <w:t xml:space="preserve"> </w:t>
      </w:r>
      <w:r>
        <w:rPr>
          <w:rStyle w:val="VerbatimChar"/>
        </w:rPr>
        <w:t xml:space="preserve">actual_witness_results.json</w:t>
      </w:r>
      <w:r>
        <w:t xml:space="preserve"> </w:t>
      </w:r>
      <w:r>
        <w:t xml:space="preserve">and four</w:t>
      </w:r>
      <w:r>
        <w:t xml:space="preserve"> </w:t>
      </w:r>
      <w:r>
        <w:rPr>
          <w:rStyle w:val="VerbatimChar"/>
        </w:rPr>
        <w:t xml:space="preserve">actual_admission_witness_zone*.json.gz</w:t>
      </w:r>
      <w:r>
        <w:t xml:space="preserve"> </w:t>
      </w:r>
      <w:r>
        <w:t xml:space="preserve">files. Each compressed file contains exact arrivals, execution, cumulative arrivals and cumulative execution as rational strings, together with its surrogate provenance and repair amount. The verifier invokes no optimisation solver; the recorded hashes bind the recovered inputs and resulting full paths.</w:t>
      </w:r>
    </w:p>
    <w:bookmarkEnd w:id="22"/>
    <w:bookmarkEnd w:id="23"/>
    <w:bookmarkStart w:id="29" w:name="X55c9ea94883f7f8b7df4e5bd6702e90896722d7"/>
    <w:p>
      <w:pPr>
        <w:pStyle w:val="Heading1"/>
        <w:pageBreakBefore/>
      </w:pPr>
      <w:r>
        <w:t xml:space="preserve">S30 Recovered historical trajectories and exact numerical service witnesses</w:t>
      </w:r>
    </w:p>
    <w:bookmarkStart w:id="24" w:name="s30.1-provenance-and-relation-to-table-2"/>
    <w:p>
      <w:pPr>
        <w:pStyle w:val="Heading2"/>
      </w:pPr>
      <w:r>
        <w:t xml:space="preserve">S30.1 Provenance and relation to Table 2</w:t>
      </w:r>
    </w:p>
    <w:p>
      <w:pPr>
        <w:pStyle w:val="FirstParagraph"/>
      </w:pPr>
      <w:r>
        <w:t xml:space="preserve">We recovered the original nine annual WorldMoE service books from the local September 2026 archive: the 12 h, 16 h and 24 h runs for seeds 20260920, 20260921 and 20260922. The selected checkpoint epochs are 6, 2 and 0, respectively. For each seed, the checkpoint SHA256 is identical across all three service windows. The original summary files, in-year execution arrays, complete books and daily monetary records are included without modification. These files were absent from the earlier public evidence snapshot; their absence was a packaging gap, not evidence that the historical experiments had not retained trajectories.</w:t>
      </w:r>
    </w:p>
    <w:p>
      <w:pPr>
        <w:pStyle w:val="BodyText"/>
      </w:pPr>
      <w:r>
        <w:t xml:space="preserve">The original</w:t>
      </w:r>
      <w:r>
        <w:t xml:space="preserve"> </w:t>
      </w:r>
      <w:r>
        <w:rPr>
          <w:rStyle w:val="VerbatimChar"/>
        </w:rPr>
        <w:t xml:space="preserve">forcing_2025.npz</w:t>
      </w:r>
      <w:r>
        <w:t xml:space="preserve"> </w:t>
      </w:r>
      <w:r>
        <w:t xml:space="preserve">supplies 35,040 quarter-hour admission vectors for four sites. Its</w:t>
      </w:r>
      <w:r>
        <w:t xml:space="preserve"> </w:t>
      </w:r>
      <w:r>
        <w:rPr>
          <w:rStyle w:val="VerbatimChar"/>
        </w:rPr>
        <w:t xml:space="preserve">eagle_arrivals</w:t>
      </w:r>
      <w:r>
        <w:t xml:space="preserve"> </w:t>
      </w:r>
      <w:r>
        <w:t xml:space="preserve">field is explicitly read by the archived evaluation source. The original earliest-service recurrence applied to these arrivals reproduces the published reference-compute array bit for bit. The observed price, PV, PUE, idle-power and work-power arrays also match the published account bit for bit. A source manifest records file hashes and original relative paths. This recovery permits the service and settlement checks below without reconstructing admissions from a non-identifying reference schedule.</w:t>
      </w:r>
    </w:p>
    <w:p>
      <w:pPr>
        <w:pStyle w:val="BodyText"/>
      </w:pPr>
      <w:r>
        <w:t>Table 2 reports Historical paired policy results with recovered trajectory verification. The values describe frozen historical policy outcomes on one observed calendar. They are neither independent calendar replications nor estimates of a perfect-information contract optimum.</w:t>
      </w:r>
    </w:p>
    <w:bookmarkEnd w:id="24"/>
    <w:bookmarkStart w:id="25" w:name="X5ba1855bb3a4e8500addb571aeecbd0d40fb814"/>
    <w:p>
      <w:pPr>
        <w:pStyle w:val="Heading2"/>
      </w:pPr>
      <w:r>
        <w:t xml:space="preserve">S30.2 Independent service and settlement audit</w:t>
      </w:r>
    </w:p>
    <w:p>
      <w:pPr>
        <w:pStyle w:val="FirstParagraph"/>
      </w:pPr>
      <w:r>
        <w:t xml:space="preserve">For each site, use zero-based slots</w:t>
      </w:r>
      <w:r>
        <w:t xml:space="preserve"> </w:t>
      </w:r>
      <m:oMath>
        <m:r>
          <m:t>t</m:t>
        </m:r>
        <m:r>
          <m:rPr>
            <m:sty m:val="p"/>
          </m:rPr>
          <m:t>=</m:t>
        </m:r>
        <m:r>
          <m:t>0</m:t>
        </m:r>
        <m:r>
          <m:rPr>
            <m:sty m:val="p"/>
          </m:rPr>
          <m:t>,</m:t>
        </m:r>
        <m:r>
          <m:rPr>
            <m:sty m:val="p"/>
          </m:rPr>
          <m:t>…</m:t>
        </m:r>
        <m:r>
          <m:rPr>
            <m:sty m:val="p"/>
          </m:rPr>
          <m:t>,</m:t>
        </m:r>
        <m:r>
          <m:t>N</m:t>
        </m:r>
        <m:r>
          <m:rPr>
            <m:sty m:val="p"/>
          </m:rPr>
          <m:t>−</m:t>
        </m:r>
        <m:r>
          <m:t>1</m:t>
        </m:r>
      </m:oMath>
      <w:r>
        <w:t xml:space="preserve"> </w:t>
      </w:r>
      <w:r>
        <w:t xml:space="preserve">and prefix boundaries</w:t>
      </w:r>
      <w:r>
        <w:t xml:space="preserve"> </w:t>
      </w:r>
      <m:oMath>
        <m:r>
          <m:t>k</m:t>
        </m:r>
        <m:r>
          <m:rPr>
            <m:sty m:val="p"/>
          </m:rPr>
          <m:t>=</m:t>
        </m:r>
        <m:r>
          <m:t>0</m:t>
        </m:r>
        <m:r>
          <m:rPr>
            <m:sty m:val="p"/>
          </m:rPr>
          <m:t>,</m:t>
        </m:r>
        <m:r>
          <m:rPr>
            <m:sty m:val="p"/>
          </m:rPr>
          <m:t>…</m:t>
        </m:r>
        <m:r>
          <m:rPr>
            <m:sty m:val="p"/>
          </m:rPr>
          <m:t>,</m:t>
        </m:r>
        <m:r>
          <m:t>N</m:t>
        </m:r>
      </m:oMath>
      <w:r>
        <w:t xml:space="preserve">. Let</w:t>
      </w:r>
      <w:r>
        <w:t xml:space="preserve"> </w:t>
      </w:r>
      <m:oMath>
        <m:sSub>
          <m:e>
            <m:r>
              <m:t>a</m:t>
            </m:r>
          </m:e>
          <m:sub>
            <m:r>
              <m:t>t</m:t>
            </m:r>
          </m:sub>
        </m:sSub>
      </m:oMath>
      <w:r>
        <w:t xml:space="preserve"> </w:t>
      </w:r>
      <w:r>
        <w:t xml:space="preserve">be the recovered admissions and</w:t>
      </w:r>
      <w:r>
        <w:t xml:space="preserve"> </w:t>
      </w:r>
      <m:oMath>
        <m:sSub>
          <m:e>
            <m:r>
              <m:t>x</m:t>
            </m:r>
          </m:e>
          <m:sub>
            <m:r>
              <m:t>t</m:t>
            </m:r>
          </m:sub>
        </m:sSub>
      </m:oMath>
      <w:r>
        <w:t xml:space="preserve"> </w:t>
      </w:r>
      <w:r>
        <w:t xml:space="preserve">the saved service during slot</w:t>
      </w:r>
      <w:r>
        <w:t xml:space="preserve"> </w:t>
      </w:r>
      <m:oMath>
        <m:r>
          <m:t>t</m:t>
        </m:r>
      </m:oMath>
      <w:r>
        <w:t xml:space="preserve">, and define</w:t>
      </w:r>
    </w:p>
    <w:p>
      <w:pPr>
        <w:pStyle w:val="BodyText"/>
        <w:keepLines/>
      </w:pPr>
      <m:oMathPara>
        <m:oMathParaPr>
          <m:jc m:val="center"/>
        </m:oMathParaPr>
        <m:oMath>
          <m:sSub>
            <m:e>
              <m:r>
                <m:t>A</m:t>
              </m:r>
            </m:e>
            <m:sub>
              <m:r>
                <m:t>k</m:t>
              </m:r>
            </m:sub>
          </m:sSub>
          <m:r>
            <m:rPr>
              <m:sty m:val="p"/>
            </m:rPr>
            <m:t>=</m:t>
          </m:r>
          <m:nary>
            <m:naryPr>
              <m:chr m:val="∑"/>
              <m:limLoc m:val="undOvr"/>
              <m:subHide m:val="0"/>
              <m:supHide m:val="0"/>
            </m:naryPr>
            <m:sub>
              <m:r>
                <m:t>s</m:t>
              </m:r>
              <m:r>
                <m:rPr>
                  <m:sty m:val="p"/>
                </m:rPr>
                <m:t>=</m:t>
              </m:r>
              <m:r>
                <m:t>0</m:t>
              </m:r>
            </m:sub>
            <m:sup>
              <m:r>
                <m:t>k</m:t>
              </m:r>
              <m:r>
                <m:rPr>
                  <m:sty m:val="p"/>
                </m:rPr>
                <m:t>−</m:t>
              </m:r>
              <m:r>
                <m:t>1</m:t>
              </m:r>
            </m:sup>
            <m:e>
              <m:sSub>
                <m:e>
                  <m:r>
                    <m:t>a</m:t>
                  </m:r>
                </m:e>
                <m:sub>
                  <m:r>
                    <m:t>s</m:t>
                  </m:r>
                </m:sub>
              </m:sSub>
            </m:e>
          </m:nary>
          <m:r>
            <m:rPr>
              <m:sty m:val="p"/>
            </m:rPr>
            <m:t>,</m:t>
          </m:r>
          <m:r>
            <m:t>  </m:t>
          </m:r>
          <m:sSub>
            <m:e>
              <m:r>
                <m:t>X</m:t>
              </m:r>
            </m:e>
            <m:sub>
              <m:r>
                <m:t>k</m:t>
              </m:r>
            </m:sub>
          </m:sSub>
          <m:r>
            <m:rPr>
              <m:sty m:val="p"/>
            </m:rPr>
            <m:t>=</m:t>
          </m:r>
          <m:nary>
            <m:naryPr>
              <m:chr m:val="∑"/>
              <m:limLoc m:val="undOvr"/>
              <m:subHide m:val="0"/>
              <m:supHide m:val="0"/>
            </m:naryPr>
            <m:sub>
              <m:r>
                <m:t>s</m:t>
              </m:r>
              <m:r>
                <m:rPr>
                  <m:sty m:val="p"/>
                </m:rPr>
                <m:t>=</m:t>
              </m:r>
              <m:r>
                <m:t>0</m:t>
              </m:r>
            </m:sub>
            <m:sup>
              <m:r>
                <m:t>k</m:t>
              </m:r>
              <m:r>
                <m:rPr>
                  <m:sty m:val="p"/>
                </m:rPr>
                <m:t>−</m:t>
              </m:r>
              <m:r>
                <m:t>1</m:t>
              </m:r>
            </m:sup>
            <m:e>
              <m:sSub>
                <m:e>
                  <m:r>
                    <m:t>x</m:t>
                  </m:r>
                </m:e>
                <m:sub>
                  <m:r>
                    <m:t>s</m:t>
                  </m:r>
                </m:sub>
              </m:sSub>
            </m:e>
          </m:nary>
          <m:r>
            <m:rPr>
              <m:sty m:val="p"/>
            </m:rPr>
            <m:t>,</m:t>
          </m:r>
          <m:r>
            <m:t>  </m:t>
          </m:r>
          <m:sSub>
            <m:e>
              <m:r>
                <m:t>A</m:t>
              </m:r>
            </m:e>
            <m:sub>
              <m:r>
                <m:t>0</m:t>
              </m:r>
            </m:sub>
          </m:sSub>
          <m:r>
            <m:rPr>
              <m:sty m:val="p"/>
            </m:rPr>
            <m:t>=</m:t>
          </m:r>
          <m:sSub>
            <m:e>
              <m:r>
                <m:t>X</m:t>
              </m:r>
            </m:e>
            <m:sub>
              <m:r>
                <m:t>0</m:t>
              </m:r>
            </m:sub>
          </m:sSub>
          <m:r>
            <m:rPr>
              <m:sty m:val="p"/>
            </m:rPr>
            <m:t>=</m:t>
          </m:r>
          <m:r>
            <m:t>0</m:t>
          </m:r>
          <m:r>
            <m:rPr>
              <m:sty m:val="p"/>
            </m:rPr>
            <m:t>,</m:t>
          </m:r>
          <m:r>
            <m:t>  </m:t>
          </m:r>
          <m:sSub>
            <m:e>
              <m:r>
                <m:t>x</m:t>
              </m:r>
            </m:e>
            <m:sub>
              <m:r>
                <m:t>t</m:t>
              </m:r>
            </m:sub>
          </m:sSub>
          <m:r>
            <m:rPr>
              <m:sty m:val="p"/>
            </m:rPr>
            <m:t>=</m:t>
          </m:r>
          <m:sSub>
            <m:e>
              <m:r>
                <m:t>X</m:t>
              </m:r>
            </m:e>
            <m:sub>
              <m:r>
                <m:t>t</m:t>
              </m:r>
              <m:r>
                <m:rPr>
                  <m:sty m:val="p"/>
                </m:rPr>
                <m:t>+</m:t>
              </m:r>
              <m:r>
                <m:t>1</m:t>
              </m:r>
            </m:sub>
          </m:sSub>
          <m:r>
            <m:rPr>
              <m:sty m:val="p"/>
            </m:rPr>
            <m:t>−</m:t>
          </m:r>
          <m:sSub>
            <m:e>
              <m:r>
                <m:t>X</m:t>
              </m:r>
            </m:e>
            <m:sub>
              <m:r>
                <m:t>t</m:t>
              </m:r>
            </m:sub>
          </m:sSub>
          <m:r>
            <m:rPr>
              <m:sty m:val="p"/>
            </m:rPr>
            <m:t>.</m:t>
          </m:r>
        </m:oMath>
      </m:oMathPara>
    </w:p>
    <w:p>
      <w:pPr>
        <w:pStyle w:val="FirstParagraph"/>
      </w:pPr>
      <w:r>
        <w:t xml:space="preserve">A cohort released in slot</w:t>
      </w:r>
      <w:r>
        <w:t xml:space="preserve"> </w:t>
      </w:r>
      <m:oMath>
        <m:r>
          <m:t>t</m:t>
        </m:r>
      </m:oMath>
      <w:r>
        <w:t xml:space="preserve"> </w:t>
      </w:r>
      <w:r>
        <w:t xml:space="preserve">with</w:t>
      </w:r>
      <w:r>
        <w:t xml:space="preserve"> </w:t>
      </w:r>
      <m:oMath>
        <m:r>
          <m:t>D</m:t>
        </m:r>
      </m:oMath>
      <w:r>
        <w:t xml:space="preserve"> </w:t>
      </w:r>
      <w:r>
        <w:t xml:space="preserve">quarter-hour slots of service rights must finish by the end of slot</w:t>
      </w:r>
      <w:r>
        <w:t xml:space="preserve"> </w:t>
      </w:r>
      <m:oMath>
        <m:r>
          <m:t>t</m:t>
        </m:r>
        <m:r>
          <m:rPr>
            <m:sty m:val="p"/>
          </m:rPr>
          <m:t>+</m:t>
        </m:r>
        <m:r>
          <m:t>D</m:t>
        </m:r>
        <m:r>
          <m:rPr>
            <m:sty m:val="p"/>
          </m:rPr>
          <m:t>−</m:t>
        </m:r>
        <m:r>
          <m:t>1</m:t>
        </m:r>
      </m:oMath>
      <w:r>
        <w:t xml:space="preserve">, namely boundary</w:t>
      </w:r>
      <w:r>
        <w:t xml:space="preserve"> </w:t>
      </w:r>
      <m:oMath>
        <m:r>
          <m:t>t</m:t>
        </m:r>
        <m:r>
          <m:rPr>
            <m:sty m:val="p"/>
          </m:rPr>
          <m:t>+</m:t>
        </m:r>
        <m:r>
          <m:t>D</m:t>
        </m:r>
      </m:oMath>
      <w:r>
        <w:t xml:space="preserve">. The zero-tail witnesses finish every cohort within the observed year, including cohorts whose contractual deadlines extend beyond it. Their complete conditions are</w:t>
      </w:r>
    </w:p>
    <w:p>
      <w:pPr>
        <w:pStyle w:val="BodyText"/>
        <w:keepLines/>
      </w:pPr>
      <m:oMathPara>
        <m:oMathParaPr>
          <m:jc m:val="center"/>
        </m:oMathParaPr>
        <m:oMath>
          <m:r>
            <m:t>0</m:t>
          </m:r>
          <m:r>
            <m:rPr>
              <m:sty m:val="p"/>
            </m:rPr>
            <m:t>≤</m:t>
          </m:r>
          <m:sSub>
            <m:e>
              <m:r>
                <m:t>x</m:t>
              </m:r>
            </m:e>
            <m:sub>
              <m:r>
                <m:t>t</m:t>
              </m:r>
            </m:sub>
          </m:sSub>
          <m:r>
            <m:rPr>
              <m:sty m:val="p"/>
            </m:rPr>
            <m:t>≤</m:t>
          </m:r>
          <m:r>
            <m:t>1</m:t>
          </m:r>
          <m:r>
            <m:t> </m:t>
          </m:r>
          <m:r>
            <m:rPr>
              <m:sty m:val="p"/>
            </m:rPr>
            <m:t>(</m:t>
          </m:r>
          <m:r>
            <m:t>0</m:t>
          </m:r>
          <m:r>
            <m:rPr>
              <m:sty m:val="p"/>
            </m:rPr>
            <m:t>≤</m:t>
          </m:r>
          <m:r>
            <m:t>t</m:t>
          </m:r>
          <m:r>
            <m:rPr>
              <m:sty m:val="p"/>
            </m:rPr>
            <m:t>&lt;</m:t>
          </m:r>
          <m:r>
            <m:t>N</m:t>
          </m:r>
          <m:r>
            <m:rPr>
              <m:sty m:val="p"/>
            </m:rPr>
            <m:t>)</m:t>
          </m:r>
          <m:r>
            <m:rPr>
              <m:sty m:val="p"/>
            </m:rPr>
            <m:t>,</m:t>
          </m:r>
          <m:r>
            <m:t>  </m:t>
          </m:r>
          <m:sSub>
            <m:e>
              <m:r>
                <m:t>X</m:t>
              </m:r>
            </m:e>
            <m:sub>
              <m:r>
                <m:t>k</m:t>
              </m:r>
            </m:sub>
          </m:sSub>
          <m:r>
            <m:rPr>
              <m:sty m:val="p"/>
            </m:rPr>
            <m:t>≤</m:t>
          </m:r>
          <m:sSub>
            <m:e>
              <m:r>
                <m:t>A</m:t>
              </m:r>
            </m:e>
            <m:sub>
              <m:r>
                <m:t>k</m:t>
              </m:r>
            </m:sub>
          </m:sSub>
          <m:r>
            <m:t> </m:t>
          </m:r>
          <m:r>
            <m:rPr>
              <m:sty m:val="p"/>
            </m:rPr>
            <m:t>(</m:t>
          </m:r>
          <m:r>
            <m:t>0</m:t>
          </m:r>
          <m:r>
            <m:rPr>
              <m:sty m:val="p"/>
            </m:rPr>
            <m:t>≤</m:t>
          </m:r>
          <m:r>
            <m:t>k</m:t>
          </m:r>
          <m:r>
            <m:rPr>
              <m:sty m:val="p"/>
            </m:rPr>
            <m:t>≤</m:t>
          </m:r>
          <m:r>
            <m:t>N</m:t>
          </m:r>
          <m:r>
            <m:rPr>
              <m:sty m:val="p"/>
            </m:rPr>
            <m:t>)</m:t>
          </m:r>
          <m:r>
            <m:rPr>
              <m:sty m:val="p"/>
            </m:rPr>
            <m:t>,</m:t>
          </m:r>
          <m:r>
            <m:t>  </m:t>
          </m:r>
          <m:sSub>
            <m:e>
              <m:r>
                <m:t>X</m:t>
              </m:r>
            </m:e>
            <m:sub>
              <m:r>
                <m:rPr>
                  <m:nor/>
                  <m:sty m:val="p"/>
                </m:rPr>
                <m:t>min</m:t>
              </m:r>
              <m:r>
                <m:rPr>
                  <m:sty m:val="p"/>
                </m:rPr>
                <m:t>(</m:t>
              </m:r>
              <m:r>
                <m:t>N</m:t>
              </m:r>
              <m:r>
                <m:rPr>
                  <m:sty m:val="p"/>
                </m:rPr>
                <m:t>,</m:t>
              </m:r>
              <m:r>
                <m:t>t</m:t>
              </m:r>
              <m:r>
                <m:rPr>
                  <m:sty m:val="p"/>
                </m:rPr>
                <m:t>+</m:t>
              </m:r>
              <m:r>
                <m:t>D</m:t>
              </m:r>
              <m:r>
                <m:rPr>
                  <m:sty m:val="p"/>
                </m:rPr>
                <m:t>)</m:t>
              </m:r>
            </m:sub>
          </m:sSub>
          <m:r>
            <m:rPr>
              <m:sty m:val="p"/>
            </m:rPr>
            <m:t>≥</m:t>
          </m:r>
          <m:sSub>
            <m:e>
              <m:r>
                <m:t>A</m:t>
              </m:r>
            </m:e>
            <m:sub>
              <m:r>
                <m:t>t</m:t>
              </m:r>
              <m:r>
                <m:rPr>
                  <m:sty m:val="p"/>
                </m:rPr>
                <m:t>+</m:t>
              </m:r>
              <m:r>
                <m:t>1</m:t>
              </m:r>
            </m:sub>
          </m:sSub>
          <m:r>
            <m:t> </m:t>
          </m:r>
          <m:r>
            <m:rPr>
              <m:sty m:val="p"/>
            </m:rPr>
            <m:t>(</m:t>
          </m:r>
          <m:r>
            <m:t>0</m:t>
          </m:r>
          <m:r>
            <m:rPr>
              <m:sty m:val="p"/>
            </m:rPr>
            <m:t>≤</m:t>
          </m:r>
          <m:r>
            <m:t>t</m:t>
          </m:r>
          <m:r>
            <m:rPr>
              <m:sty m:val="p"/>
            </m:rPr>
            <m:t>&lt;</m:t>
          </m:r>
          <m:r>
            <m:t>N</m:t>
          </m:r>
          <m:r>
            <m:rPr>
              <m:sty m:val="p"/>
            </m:rPr>
            <m:t>)</m:t>
          </m:r>
          <m:r>
            <m:rPr>
              <m:sty m:val="p"/>
            </m:rPr>
            <m:t>,</m:t>
          </m:r>
          <m:r>
            <m:t>  </m:t>
          </m:r>
          <m:sSub>
            <m:e>
              <m:r>
                <m:t>X</m:t>
              </m:r>
            </m:e>
            <m:sub>
              <m:r>
                <m:t>N</m:t>
              </m:r>
            </m:sub>
          </m:sSub>
          <m:r>
            <m:rPr>
              <m:sty m:val="p"/>
            </m:rPr>
            <m:t>=</m:t>
          </m:r>
          <m:sSub>
            <m:e>
              <m:r>
                <m:t>A</m:t>
              </m:r>
            </m:e>
            <m:sub>
              <m:r>
                <m:t>N</m:t>
              </m:r>
            </m:sub>
          </m:sSub>
          <m:r>
            <m:rPr>
              <m:sty m:val="p"/>
            </m:rPr>
            <m:t>.</m:t>
          </m:r>
        </m:oMath>
      </m:oMathPara>
    </w:p>
    <w:p>
      <w:pPr>
        <w:pStyle w:val="FirstParagraph"/>
      </w:pPr>
      <w:r>
        <w:t xml:space="preserve">The raw historical audit retains the 8,192 stored tail intervals in every complete book. All nine policy tails and all reference tails contain exactly zero service. The corresponding terminal cost differences are therefore zero. Reconstructed grid imports satisfy the original static import caps, and the source electricity account is independently evaluated from prices and physical arrays. The raw savings reproduce US$72,220.96961418838, US$86,038.55437473873 and US$105,271.06184163212 for the respective three-seed means. Same-seed 12-to-24 h contrasts average US$33,050.092227443754.</w:t>
      </w:r>
    </w:p>
    <w:p>
      <w:pPr>
        <w:pStyle w:val="BodyText"/>
      </w:pPr>
      <w:r>
        <w:t xml:space="preserve">The raw schedules have nonzero floating-point residuals at approximately</w:t>
      </w:r>
      <w:r>
        <w:t xml:space="preserve"> </w:t>
      </w:r>
      <m:oMath>
        <m:sSup>
          <m:e>
            <m:r>
              <m:t>10</m:t>
            </m:r>
          </m:e>
          <m:sup>
            <m:r>
              <m:rPr>
                <m:sty m:val="p"/>
              </m:rPr>
              <m:t>−</m:t>
            </m:r>
            <m:r>
              <m:t>11</m:t>
            </m:r>
          </m:sup>
        </m:sSup>
      </m:oMath>
      <w:r>
        <w:t xml:space="preserve"> </w:t>
      </w:r>
      <w:r>
        <w:t xml:space="preserve">work units or below under ordinary cumulative summation. We also accumulate each stored binary64 number as an exact dyadic rational and report its exact release, deadline and mass residuals. A tolerance pass is not relabelled as exact feasibility. The following separate repair provides exact feasible witnesses while preserving the historical files.</w:t>
      </w:r>
    </w:p>
    <w:bookmarkEnd w:id="25"/>
    <w:bookmarkStart w:id="26" w:name="s30.3-exact-corridor-repair"/>
    <w:p>
      <w:pPr>
        <w:pStyle w:val="Heading2"/>
      </w:pPr>
      <w:r>
        <w:t xml:space="preserve">S30.3 Exact corridor repair</w:t>
      </w:r>
    </w:p>
    <w:p>
      <w:pPr>
        <w:pStyle w:val="FirstParagraph"/>
      </w:pPr>
      <w:r>
        <w:t xml:space="preserve">For the recovered admission path, define the corridor at prefix boundary</w:t>
      </w:r>
      <w:r>
        <w:t xml:space="preserve"> </w:t>
      </w:r>
      <m:oMath>
        <m:r>
          <m:t>k</m:t>
        </m:r>
      </m:oMath>
      <w:r>
        <w:t xml:space="preserve"> </w:t>
      </w:r>
      <w:r>
        <w:t xml:space="preserve">by</w:t>
      </w:r>
    </w:p>
    <w:p>
      <w:pPr>
        <w:pStyle w:val="BodyText"/>
        <w:keepLines/>
      </w:pPr>
      <m:oMathPara>
        <m:oMathParaPr>
          <m:jc m:val="center"/>
        </m:oMathParaPr>
        <m:oMath>
          <m:sSub>
            <m:e>
              <m:r>
                <m:t>L</m:t>
              </m:r>
            </m:e>
            <m:sub>
              <m:r>
                <m:t>0</m:t>
              </m:r>
            </m:sub>
          </m:sSub>
          <m:r>
            <m:rPr>
              <m:sty m:val="p"/>
            </m:rPr>
            <m:t>=</m:t>
          </m:r>
          <m:r>
            <m:t>0</m:t>
          </m:r>
          <m:r>
            <m:rPr>
              <m:sty m:val="p"/>
            </m:rPr>
            <m:t>,</m:t>
          </m:r>
          <m:r>
            <m:t>  </m:t>
          </m:r>
          <m:sSub>
            <m:e>
              <m:r>
                <m:t>L</m:t>
              </m:r>
            </m:e>
            <m:sub>
              <m:r>
                <m:t>k</m:t>
              </m:r>
            </m:sub>
          </m:sSub>
          <m:r>
            <m:rPr>
              <m:sty m:val="p"/>
            </m:rPr>
            <m:t>=</m:t>
          </m:r>
          <m:sSub>
            <m:e>
              <m:r>
                <m:t>A</m:t>
              </m:r>
            </m:e>
            <m:sub>
              <m:r>
                <m:rPr>
                  <m:nor/>
                  <m:sty m:val="p"/>
                </m:rPr>
                <m:t>max</m:t>
              </m:r>
              <m:r>
                <m:rPr>
                  <m:sty m:val="p"/>
                </m:rPr>
                <m:t>(</m:t>
              </m:r>
              <m:r>
                <m:t>0</m:t>
              </m:r>
              <m:r>
                <m:rPr>
                  <m:sty m:val="p"/>
                </m:rPr>
                <m:t>,</m:t>
              </m:r>
              <m:r>
                <m:t>k</m:t>
              </m:r>
              <m:r>
                <m:rPr>
                  <m:sty m:val="p"/>
                </m:rPr>
                <m:t>−</m:t>
              </m:r>
              <m:r>
                <m:t>D</m:t>
              </m:r>
              <m:r>
                <m:rPr>
                  <m:sty m:val="p"/>
                </m:rPr>
                <m:t>+</m:t>
              </m:r>
              <m:r>
                <m:t>1</m:t>
              </m:r>
              <m:r>
                <m:rPr>
                  <m:sty m:val="p"/>
                </m:rPr>
                <m:t>)</m:t>
              </m:r>
            </m:sub>
          </m:sSub>
          <m:r>
            <m:t> </m:t>
          </m:r>
          <m:r>
            <m:rPr>
              <m:sty m:val="p"/>
            </m:rPr>
            <m:t>(</m:t>
          </m:r>
          <m:r>
            <m:t>1</m:t>
          </m:r>
          <m:r>
            <m:rPr>
              <m:sty m:val="p"/>
            </m:rPr>
            <m:t>≤</m:t>
          </m:r>
          <m:r>
            <m:t>k</m:t>
          </m:r>
          <m:r>
            <m:rPr>
              <m:sty m:val="p"/>
            </m:rPr>
            <m:t>&lt;</m:t>
          </m:r>
          <m:r>
            <m:t>N</m:t>
          </m:r>
          <m:r>
            <m:rPr>
              <m:sty m:val="p"/>
            </m:rPr>
            <m:t>)</m:t>
          </m:r>
          <m:r>
            <m:rPr>
              <m:sty m:val="p"/>
            </m:rPr>
            <m:t>,</m:t>
          </m:r>
          <m:r>
            <m:t>  </m:t>
          </m:r>
          <m:sSub>
            <m:e>
              <m:r>
                <m:t>L</m:t>
              </m:r>
            </m:e>
            <m:sub>
              <m:r>
                <m:t>N</m:t>
              </m:r>
            </m:sub>
          </m:sSub>
          <m:r>
            <m:rPr>
              <m:sty m:val="p"/>
            </m:rPr>
            <m:t>=</m:t>
          </m:r>
          <m:sSub>
            <m:e>
              <m:r>
                <m:t>A</m:t>
              </m:r>
            </m:e>
            <m:sub>
              <m:r>
                <m:t>N</m:t>
              </m:r>
            </m:sub>
          </m:sSub>
          <m:r>
            <m:rPr>
              <m:sty m:val="p"/>
            </m:rPr>
            <m:t>,</m:t>
          </m:r>
          <m:r>
            <m:t>  </m:t>
          </m:r>
          <m:sSub>
            <m:e>
              <m:r>
                <m:t>U</m:t>
              </m:r>
            </m:e>
            <m:sub>
              <m:r>
                <m:t>k</m:t>
              </m:r>
            </m:sub>
          </m:sSub>
          <m:r>
            <m:rPr>
              <m:sty m:val="p"/>
            </m:rPr>
            <m:t>=</m:t>
          </m:r>
          <m:sSub>
            <m:e>
              <m:r>
                <m:t>A</m:t>
              </m:r>
            </m:e>
            <m:sub>
              <m:r>
                <m:t>k</m:t>
              </m:r>
            </m:sub>
          </m:sSub>
          <m:r>
            <m:t> </m:t>
          </m:r>
          <m:r>
            <m:rPr>
              <m:sty m:val="p"/>
            </m:rPr>
            <m:t>(</m:t>
          </m:r>
          <m:r>
            <m:t>0</m:t>
          </m:r>
          <m:r>
            <m:rPr>
              <m:sty m:val="p"/>
            </m:rPr>
            <m:t>≤</m:t>
          </m:r>
          <m:r>
            <m:t>k</m:t>
          </m:r>
          <m:r>
            <m:rPr>
              <m:sty m:val="p"/>
            </m:rPr>
            <m:t>≤</m:t>
          </m:r>
          <m:r>
            <m:t>N</m:t>
          </m:r>
          <m:r>
            <m:rPr>
              <m:sty m:val="p"/>
            </m:rPr>
            <m:t>)</m:t>
          </m:r>
          <m:r>
            <m:rPr>
              <m:sty m:val="p"/>
            </m:rPr>
            <m:t>.</m:t>
          </m:r>
        </m:oMath>
      </m:oMathPara>
    </w:p>
    <w:p>
      <w:pPr>
        <w:pStyle w:val="FirstParagraph"/>
      </w:pPr>
      <w:r>
        <w:t xml:space="preserve">The index</w:t>
      </w:r>
      <w:r>
        <w:t xml:space="preserve"> </w:t>
      </w:r>
      <m:oMath>
        <m:r>
          <m:t>k</m:t>
        </m:r>
        <m:r>
          <m:rPr>
            <m:sty m:val="p"/>
          </m:rPr>
          <m:t>−</m:t>
        </m:r>
        <m:r>
          <m:t>D</m:t>
        </m:r>
        <m:r>
          <m:rPr>
            <m:sty m:val="p"/>
          </m:rPr>
          <m:t>+</m:t>
        </m:r>
        <m:r>
          <m:t>1</m:t>
        </m:r>
      </m:oMath>
      <w:r>
        <w:t xml:space="preserve"> </w:t>
      </w:r>
      <w:r>
        <w:t xml:space="preserve">is required by the slot convention: at boundary</w:t>
      </w:r>
      <w:r>
        <w:t xml:space="preserve"> </w:t>
      </w:r>
      <m:oMath>
        <m:r>
          <m:t>k</m:t>
        </m:r>
      </m:oMath>
      <w:r>
        <w:t xml:space="preserve">, all cohorts with release slots</w:t>
      </w:r>
      <w:r>
        <w:t xml:space="preserve"> </w:t>
      </w:r>
      <m:oMath>
        <m:r>
          <m:t>t</m:t>
        </m:r>
        <m:r>
          <m:rPr>
            <m:sty m:val="p"/>
          </m:rPr>
          <m:t>≤</m:t>
        </m:r>
        <m:r>
          <m:t>k</m:t>
        </m:r>
        <m:r>
          <m:rPr>
            <m:sty m:val="p"/>
          </m:rPr>
          <m:t>−</m:t>
        </m:r>
        <m:r>
          <m:t>D</m:t>
        </m:r>
      </m:oMath>
      <w:r>
        <w:t xml:space="preserve"> </w:t>
      </w:r>
      <w:r>
        <w:t xml:space="preserve">are due, and their total is</w:t>
      </w:r>
      <w:r>
        <w:t xml:space="preserve"> </w:t>
      </w:r>
      <m:oMath>
        <m:sSub>
          <m:e>
            <m:r>
              <m:t>A</m:t>
            </m:r>
          </m:e>
          <m:sub>
            <m:r>
              <m:t>k</m:t>
            </m:r>
            <m:r>
              <m:rPr>
                <m:sty m:val="p"/>
              </m:rPr>
              <m:t>−</m:t>
            </m:r>
            <m:r>
              <m:t>D</m:t>
            </m:r>
            <m:r>
              <m:rPr>
                <m:sty m:val="p"/>
              </m:rPr>
              <m:t>+</m:t>
            </m:r>
            <m:r>
              <m:t>1</m:t>
            </m:r>
          </m:sub>
        </m:sSub>
      </m:oMath>
      <w:r>
        <w:t xml:space="preserve">. For example, when</w:t>
      </w:r>
      <w:r>
        <w:t xml:space="preserve"> </w:t>
      </w:r>
      <m:oMath>
        <m:r>
          <m:t>D</m:t>
        </m:r>
        <m:r>
          <m:rPr>
            <m:sty m:val="p"/>
          </m:rPr>
          <m:t>=</m:t>
        </m:r>
        <m:r>
          <m:t>1</m:t>
        </m:r>
      </m:oMath>
      <w:r>
        <w:t xml:space="preserve">, the corridor requires</w:t>
      </w:r>
      <w:r>
        <w:t xml:space="preserve"> </w:t>
      </w:r>
      <m:oMath>
        <m:sSub>
          <m:e>
            <m:r>
              <m:t>X</m:t>
            </m:r>
          </m:e>
          <m:sub>
            <m:r>
              <m:t>k</m:t>
            </m:r>
          </m:sub>
        </m:sSub>
        <m:r>
          <m:rPr>
            <m:sty m:val="p"/>
          </m:rPr>
          <m:t>≥</m:t>
        </m:r>
        <m:sSub>
          <m:e>
            <m:r>
              <m:t>A</m:t>
            </m:r>
          </m:e>
          <m:sub>
            <m:r>
              <m:t>k</m:t>
            </m:r>
          </m:sub>
        </m:sSub>
      </m:oMath>
      <w:r>
        <w:t xml:space="preserve">; together with release precedence this gives immediate service. The separate assignment</w:t>
      </w:r>
      <w:r>
        <w:t xml:space="preserve"> </w:t>
      </w:r>
      <m:oMath>
        <m:sSub>
          <m:e>
            <m:r>
              <m:t>L</m:t>
            </m:r>
          </m:e>
          <m:sub>
            <m:r>
              <m:t>N</m:t>
            </m:r>
          </m:sub>
        </m:sSub>
        <m:r>
          <m:rPr>
            <m:sty m:val="p"/>
          </m:rPr>
          <m:t>=</m:t>
        </m:r>
        <m:sSub>
          <m:e>
            <m:r>
              <m:t>A</m:t>
            </m:r>
          </m:e>
          <m:sub>
            <m:r>
              <m:t>N</m:t>
            </m:r>
          </m:sub>
        </m:sSub>
      </m:oMath>
      <w:r>
        <w:t xml:space="preserve"> </w:t>
      </w:r>
      <w:r>
        <w:t xml:space="preserve">imposes the verified zero-tail completion convention.</w:t>
      </w:r>
    </w:p>
    <w:p>
      <w:pPr>
        <w:pStyle w:val="BodyText"/>
      </w:pPr>
      <w:r>
        <w:t xml:space="preserve">First clip each saved slot service to</w:t>
      </w:r>
      <w:r>
        <w:t xml:space="preserve"> </w:t>
      </w:r>
      <m:oMath>
        <m:r>
          <m:rPr>
            <m:sty m:val="p"/>
          </m:rPr>
          <m:t>[</m:t>
        </m:r>
        <m:r>
          <m:t>0</m:t>
        </m:r>
        <m:r>
          <m:rPr>
            <m:sty m:val="p"/>
          </m:rPr>
          <m:t>,</m:t>
        </m:r>
        <m:r>
          <m:t>1</m:t>
        </m:r>
        <m:r>
          <m:rPr>
            <m:sty m:val="p"/>
          </m:rPr>
          <m:t>]</m:t>
        </m:r>
      </m:oMath>
      <w:r>
        <w:t xml:space="preserve">, and let its cumulative boundary path be</w:t>
      </w:r>
      <w:r>
        <w:t xml:space="preserve"> </w:t>
      </w:r>
      <m:oMath>
        <m:sSub>
          <m:e>
            <m:r>
              <m:t>Z</m:t>
            </m:r>
          </m:e>
          <m:sub>
            <m:r>
              <m:t>k</m:t>
            </m:r>
          </m:sub>
        </m:sSub>
      </m:oMath>
      <w:r>
        <w:t xml:space="preserve">. Propagate the corridor backward from</w:t>
      </w:r>
      <w:r>
        <w:t xml:space="preserve"> </w:t>
      </w:r>
      <m:oMath>
        <m:sSub>
          <m:e>
            <m:r>
              <m:rPr>
                <m:sty m:val="p"/>
              </m:rPr>
              <m:t>ℓ</m:t>
            </m:r>
          </m:e>
          <m:sub>
            <m:r>
              <m:t>N</m:t>
            </m:r>
          </m:sub>
        </m:sSub>
        <m:r>
          <m:rPr>
            <m:sty m:val="p"/>
          </m:rPr>
          <m:t>=</m:t>
        </m:r>
        <m:sSub>
          <m:e>
            <m:r>
              <m:t>L</m:t>
            </m:r>
          </m:e>
          <m:sub>
            <m:r>
              <m:t>N</m:t>
            </m:r>
          </m:sub>
        </m:sSub>
      </m:oMath>
      <w:r>
        <w:t xml:space="preserve"> </w:t>
      </w:r>
      <w:r>
        <w:t xml:space="preserve">and forward from</w:t>
      </w:r>
      <w:r>
        <w:t xml:space="preserve"> </w:t>
      </w:r>
      <m:oMath>
        <m:sSub>
          <m:e>
            <m:r>
              <m:t>u</m:t>
            </m:r>
          </m:e>
          <m:sub>
            <m:r>
              <m:t>0</m:t>
            </m:r>
          </m:sub>
        </m:sSub>
        <m:r>
          <m:rPr>
            <m:sty m:val="p"/>
          </m:rPr>
          <m:t>=</m:t>
        </m:r>
        <m:sSub>
          <m:e>
            <m:r>
              <m:t>U</m:t>
            </m:r>
          </m:e>
          <m:sub>
            <m:r>
              <m:t>0</m:t>
            </m:r>
          </m:sub>
        </m:sSub>
      </m:oMath>
      <w:r>
        <w:t xml:space="preserve">:</w:t>
      </w:r>
    </w:p>
    <w:p>
      <w:pPr>
        <w:pStyle w:val="BodyText"/>
        <w:keepLines/>
      </w:pPr>
      <m:oMathPara>
        <m:oMathParaPr>
          <m:jc m:val="center"/>
        </m:oMathParaPr>
        <m:oMath>
          <m:sSub>
            <m:e>
              <m:r>
                <m:rPr>
                  <m:sty m:val="p"/>
                </m:rPr>
                <m:t>ℓ</m:t>
              </m:r>
            </m:e>
            <m:sub>
              <m:r>
                <m:t>k</m:t>
              </m:r>
            </m:sub>
          </m:sSub>
          <m:r>
            <m:rPr>
              <m:sty m:val="p"/>
            </m:rPr>
            <m:t>=</m:t>
          </m:r>
          <m:r>
            <m:rPr>
              <m:nor/>
              <m:sty m:val="p"/>
            </m:rPr>
            <m:t>max</m:t>
          </m:r>
          <m:r>
            <m:rPr>
              <m:sty m:val="p"/>
            </m:rPr>
            <m:t>{</m:t>
          </m:r>
          <m:sSub>
            <m:e>
              <m:r>
                <m:t>L</m:t>
              </m:r>
            </m:e>
            <m:sub>
              <m:r>
                <m:t>k</m:t>
              </m:r>
            </m:sub>
          </m:sSub>
          <m:r>
            <m:rPr>
              <m:sty m:val="p"/>
            </m:rPr>
            <m:t>,</m:t>
          </m:r>
          <m:sSub>
            <m:e>
              <m:r>
                <m:rPr>
                  <m:sty m:val="p"/>
                </m:rPr>
                <m:t>ℓ</m:t>
              </m:r>
            </m:e>
            <m:sub>
              <m:r>
                <m:t>k</m:t>
              </m:r>
              <m:r>
                <m:rPr>
                  <m:sty m:val="p"/>
                </m:rPr>
                <m:t>+</m:t>
              </m:r>
              <m:r>
                <m:t>1</m:t>
              </m:r>
            </m:sub>
          </m:sSub>
          <m:r>
            <m:rPr>
              <m:sty m:val="p"/>
            </m:rPr>
            <m:t>−</m:t>
          </m:r>
          <m:r>
            <m:t>1</m:t>
          </m:r>
          <m:r>
            <m:rPr>
              <m:sty m:val="p"/>
            </m:rPr>
            <m:t>}</m:t>
          </m:r>
          <m:r>
            <m:t> </m:t>
          </m:r>
          <m:r>
            <m:rPr>
              <m:sty m:val="p"/>
            </m:rPr>
            <m:t>(</m:t>
          </m:r>
          <m:r>
            <m:t>k</m:t>
          </m:r>
          <m:r>
            <m:rPr>
              <m:sty m:val="p"/>
            </m:rPr>
            <m:t>=</m:t>
          </m:r>
          <m:r>
            <m:t>N</m:t>
          </m:r>
          <m:r>
            <m:rPr>
              <m:sty m:val="p"/>
            </m:rPr>
            <m:t>−</m:t>
          </m:r>
          <m:r>
            <m:t>1</m:t>
          </m:r>
          <m:r>
            <m:rPr>
              <m:sty m:val="p"/>
            </m:rPr>
            <m:t>,</m:t>
          </m:r>
          <m:r>
            <m:rPr>
              <m:sty m:val="p"/>
            </m:rPr>
            <m:t>…</m:t>
          </m:r>
          <m:r>
            <m:rPr>
              <m:sty m:val="p"/>
            </m:rPr>
            <m:t>,</m:t>
          </m:r>
          <m:r>
            <m:t>0</m:t>
          </m:r>
          <m:r>
            <m:rPr>
              <m:sty m:val="p"/>
            </m:rPr>
            <m:t>)</m:t>
          </m:r>
          <m:r>
            <m:rPr>
              <m:sty m:val="p"/>
            </m:rPr>
            <m:t>,</m:t>
          </m:r>
          <m:r>
            <m:t>  </m:t>
          </m:r>
          <m:sSub>
            <m:e>
              <m:r>
                <m:t>u</m:t>
              </m:r>
            </m:e>
            <m:sub>
              <m:r>
                <m:t>k</m:t>
              </m:r>
            </m:sub>
          </m:sSub>
          <m:r>
            <m:rPr>
              <m:sty m:val="p"/>
            </m:rPr>
            <m:t>=</m:t>
          </m:r>
          <m:r>
            <m:rPr>
              <m:nor/>
              <m:sty m:val="p"/>
            </m:rPr>
            <m:t>min</m:t>
          </m:r>
          <m:r>
            <m:rPr>
              <m:sty m:val="p"/>
            </m:rPr>
            <m:t>{</m:t>
          </m:r>
          <m:sSub>
            <m:e>
              <m:r>
                <m:t>U</m:t>
              </m:r>
            </m:e>
            <m:sub>
              <m:r>
                <m:t>k</m:t>
              </m:r>
            </m:sub>
          </m:sSub>
          <m:r>
            <m:rPr>
              <m:sty m:val="p"/>
            </m:rPr>
            <m:t>,</m:t>
          </m:r>
          <m:sSub>
            <m:e>
              <m:r>
                <m:t>u</m:t>
              </m:r>
            </m:e>
            <m:sub>
              <m:r>
                <m:t>k</m:t>
              </m:r>
              <m:r>
                <m:rPr>
                  <m:sty m:val="p"/>
                </m:rPr>
                <m:t>−</m:t>
              </m:r>
              <m:r>
                <m:t>1</m:t>
              </m:r>
            </m:sub>
          </m:sSub>
          <m:r>
            <m:rPr>
              <m:sty m:val="p"/>
            </m:rPr>
            <m:t>+</m:t>
          </m:r>
          <m:r>
            <m:t>1</m:t>
          </m:r>
          <m:r>
            <m:rPr>
              <m:sty m:val="p"/>
            </m:rPr>
            <m:t>}</m:t>
          </m:r>
          <m:r>
            <m:t> </m:t>
          </m:r>
          <m:r>
            <m:rPr>
              <m:sty m:val="p"/>
            </m:rPr>
            <m:t>(</m:t>
          </m:r>
          <m:r>
            <m:t>k</m:t>
          </m:r>
          <m:r>
            <m:rPr>
              <m:sty m:val="p"/>
            </m:rPr>
            <m:t>=</m:t>
          </m:r>
          <m:r>
            <m:t>1</m:t>
          </m:r>
          <m:r>
            <m:rPr>
              <m:sty m:val="p"/>
            </m:rPr>
            <m:t>,</m:t>
          </m:r>
          <m:r>
            <m:rPr>
              <m:sty m:val="p"/>
            </m:rPr>
            <m:t>…</m:t>
          </m:r>
          <m:r>
            <m:rPr>
              <m:sty m:val="p"/>
            </m:rPr>
            <m:t>,</m:t>
          </m:r>
          <m:r>
            <m:t>N</m:t>
          </m:r>
          <m:r>
            <m:rPr>
              <m:sty m:val="p"/>
            </m:rPr>
            <m:t>)</m:t>
          </m:r>
          <m:r>
            <m:rPr>
              <m:sty m:val="p"/>
            </m:rPr>
            <m:t>.</m:t>
          </m:r>
        </m:oMath>
      </m:oMathPara>
    </w:p>
    <w:p>
      <w:pPr>
        <w:pStyle w:val="FirstParagraph"/>
      </w:pPr>
      <w:r>
        <w:t xml:space="preserve">The finite instance is checked to satisfy</w:t>
      </w:r>
      <w:r>
        <w:t xml:space="preserve"> </w:t>
      </w:r>
      <m:oMath>
        <m:sSub>
          <m:e>
            <m:r>
              <m:rPr>
                <m:sty m:val="p"/>
              </m:rPr>
              <m:t>ℓ</m:t>
            </m:r>
          </m:e>
          <m:sub>
            <m:r>
              <m:t>k</m:t>
            </m:r>
          </m:sub>
        </m:sSub>
        <m:r>
          <m:rPr>
            <m:sty m:val="p"/>
          </m:rPr>
          <m:t>≤</m:t>
        </m:r>
        <m:sSub>
          <m:e>
            <m:r>
              <m:t>u</m:t>
            </m:r>
          </m:e>
          <m:sub>
            <m:r>
              <m:t>k</m:t>
            </m:r>
          </m:sub>
        </m:sSub>
      </m:oMath>
      <w:r>
        <w:t xml:space="preserve"> </w:t>
      </w:r>
      <w:r>
        <w:t xml:space="preserve">at every boundary. Each propagated boundary is nondecreasing with increments at most one. The repaired cumulative path and slot service are</w:t>
      </w:r>
    </w:p>
    <w:p>
      <w:pPr>
        <w:pStyle w:val="BodyText"/>
        <w:keepLines/>
      </w:pPr>
      <m:oMathPara>
        <m:oMathParaPr>
          <m:jc m:val="center"/>
        </m:oMathParaPr>
        <m:oMath>
          <m:sSub>
            <m:e>
              <m:acc>
                <m:accPr>
                  <m:chr m:val="̂"/>
                </m:accPr>
                <m:e>
                  <m:r>
                    <m:t>X</m:t>
                  </m:r>
                </m:e>
              </m:acc>
            </m:e>
            <m:sub>
              <m:r>
                <m:t>k</m:t>
              </m:r>
            </m:sub>
          </m:sSub>
          <m:r>
            <m:rPr>
              <m:sty m:val="p"/>
            </m:rPr>
            <m:t>=</m:t>
          </m:r>
          <m:r>
            <m:rPr>
              <m:nor/>
              <m:sty m:val="p"/>
            </m:rPr>
            <m:t>min</m:t>
          </m:r>
          <m:r>
            <m:rPr>
              <m:sty m:val="p"/>
            </m:rPr>
            <m:t>{</m:t>
          </m:r>
          <m:sSub>
            <m:e>
              <m:r>
                <m:t>u</m:t>
              </m:r>
            </m:e>
            <m:sub>
              <m:r>
                <m:t>k</m:t>
              </m:r>
            </m:sub>
          </m:sSub>
          <m:r>
            <m:rPr>
              <m:sty m:val="p"/>
            </m:rPr>
            <m:t>,</m:t>
          </m:r>
          <m:r>
            <m:rPr>
              <m:nor/>
              <m:sty m:val="p"/>
            </m:rPr>
            <m:t>max</m:t>
          </m:r>
          <m:r>
            <m:rPr>
              <m:sty m:val="p"/>
            </m:rPr>
            <m:t>{</m:t>
          </m:r>
          <m:sSub>
            <m:e>
              <m:r>
                <m:rPr>
                  <m:sty m:val="p"/>
                </m:rPr>
                <m:t>ℓ</m:t>
              </m:r>
            </m:e>
            <m:sub>
              <m:r>
                <m:t>k</m:t>
              </m:r>
            </m:sub>
          </m:sSub>
          <m:r>
            <m:rPr>
              <m:sty m:val="p"/>
            </m:rPr>
            <m:t>,</m:t>
          </m:r>
          <m:sSub>
            <m:e>
              <m:r>
                <m:t>Z</m:t>
              </m:r>
            </m:e>
            <m:sub>
              <m:r>
                <m:t>k</m:t>
              </m:r>
            </m:sub>
          </m:sSub>
          <m:r>
            <m:rPr>
              <m:sty m:val="p"/>
            </m:rPr>
            <m:t>}</m:t>
          </m:r>
          <m:r>
            <m:rPr>
              <m:sty m:val="p"/>
            </m:rPr>
            <m:t>}</m:t>
          </m:r>
          <m:r>
            <m:t> </m:t>
          </m:r>
          <m:r>
            <m:rPr>
              <m:sty m:val="p"/>
            </m:rPr>
            <m:t>(</m:t>
          </m:r>
          <m:r>
            <m:t>0</m:t>
          </m:r>
          <m:r>
            <m:rPr>
              <m:sty m:val="p"/>
            </m:rPr>
            <m:t>≤</m:t>
          </m:r>
          <m:r>
            <m:t>k</m:t>
          </m:r>
          <m:r>
            <m:rPr>
              <m:sty m:val="p"/>
            </m:rPr>
            <m:t>≤</m:t>
          </m:r>
          <m:r>
            <m:t>N</m:t>
          </m:r>
          <m:r>
            <m:rPr>
              <m:sty m:val="p"/>
            </m:rPr>
            <m:t>)</m:t>
          </m:r>
          <m:r>
            <m:rPr>
              <m:sty m:val="p"/>
            </m:rPr>
            <m:t>,</m:t>
          </m:r>
          <m:r>
            <m:t>  </m:t>
          </m:r>
          <m:sSub>
            <m:e>
              <m:acc>
                <m:accPr>
                  <m:chr m:val="̂"/>
                </m:accPr>
                <m:e>
                  <m:r>
                    <m:t>x</m:t>
                  </m:r>
                </m:e>
              </m:acc>
            </m:e>
            <m:sub>
              <m:r>
                <m:t>t</m:t>
              </m:r>
            </m:sub>
          </m:sSub>
          <m:r>
            <m:rPr>
              <m:sty m:val="p"/>
            </m:rPr>
            <m:t>=</m:t>
          </m:r>
          <m:sSub>
            <m:e>
              <m:acc>
                <m:accPr>
                  <m:chr m:val="̂"/>
                </m:accPr>
                <m:e>
                  <m:r>
                    <m:t>X</m:t>
                  </m:r>
                </m:e>
              </m:acc>
            </m:e>
            <m:sub>
              <m:r>
                <m:t>t</m:t>
              </m:r>
              <m:r>
                <m:rPr>
                  <m:sty m:val="p"/>
                </m:rPr>
                <m:t>+</m:t>
              </m:r>
              <m:r>
                <m:t>1</m:t>
              </m:r>
            </m:sub>
          </m:sSub>
          <m:r>
            <m:rPr>
              <m:sty m:val="p"/>
            </m:rPr>
            <m:t>−</m:t>
          </m:r>
          <m:sSub>
            <m:e>
              <m:acc>
                <m:accPr>
                  <m:chr m:val="̂"/>
                </m:accPr>
                <m:e>
                  <m:r>
                    <m:t>X</m:t>
                  </m:r>
                </m:e>
              </m:acc>
            </m:e>
            <m:sub>
              <m:r>
                <m:t>t</m:t>
              </m:r>
            </m:sub>
          </m:sSub>
          <m:r>
            <m:t> </m:t>
          </m:r>
          <m:r>
            <m:rPr>
              <m:sty m:val="p"/>
            </m:rPr>
            <m:t>(</m:t>
          </m:r>
          <m:r>
            <m:t>0</m:t>
          </m:r>
          <m:r>
            <m:rPr>
              <m:sty m:val="p"/>
            </m:rPr>
            <m:t>≤</m:t>
          </m:r>
          <m:r>
            <m:t>t</m:t>
          </m:r>
          <m:r>
            <m:rPr>
              <m:sty m:val="p"/>
            </m:rPr>
            <m:t>&lt;</m:t>
          </m:r>
          <m:r>
            <m:t>N</m:t>
          </m:r>
          <m:r>
            <m:rPr>
              <m:sty m:val="p"/>
            </m:rPr>
            <m:t>)</m:t>
          </m:r>
          <m:r>
            <m:rPr>
              <m:sty m:val="p"/>
            </m:rPr>
            <m:t>.</m:t>
          </m:r>
        </m:oMath>
      </m:oMathPara>
    </w:p>
    <w:p>
      <w:pPr>
        <w:pStyle w:val="FirstParagraph"/>
      </w:pPr>
      <w:r>
        <w:t xml:space="preserve">is therefore nondecreasing with increments in [0,1], lies in the original corridor, and completes all admitted work. Integer arithmetic independently verifies every release, deadline, capacity and terminal condition for all nine exported witnesses. The physical data additionally satisfy the electrical import cap at service equal to one in every observed interval; hence the repaired unit-capacity service satisfies the electrical cap. These are finite-instance certificates for the recovered historical admissions.</w:t>
      </w:r>
    </w:p>
    <w:p>
      <w:pPr>
        <w:pStyle w:val="BodyText"/>
      </w:pPr>
      <w:r>
        <w:t xml:space="preserve">The repaired schedules are numerical witnesses, not substituted historical policy outputs. The unchanged raw books remain the source of Table 2. No inference-time policy action, checkpoint or information pathway was recomputed by this procedure.</w:t>
      </w:r>
    </w:p>
    <w:bookmarkEnd w:id="26"/>
    <w:bookmarkStart w:id="27" w:name="X2131b0160677043a46f9b536b7d0270541354c5"/>
    <w:p>
      <w:pPr>
        <w:pStyle w:val="Heading2"/>
      </w:pPr>
      <w:r>
        <w:t xml:space="preserve">S30.4 Monetary effect and exact account reconciliation</w:t>
      </w:r>
    </w:p>
    <w:p>
      <w:pPr>
        <w:pStyle w:val="FirstParagraph"/>
      </w:pPr>
      <w:r>
        <w:t xml:space="preserve">For the original account with a US$1 per MWh import-deviation charge and a US$1 per MWh curtailment term, a site-wise Lipschitz bound is</w:t>
      </w:r>
    </w:p>
    <w:p>
      <w:pPr>
        <w:pStyle w:val="BodyText"/>
        <w:keepLines/>
      </w:pPr>
      <m:oMathPara>
        <m:oMathParaPr>
          <m:jc m:val="center"/>
        </m:oMathParaPr>
        <m:oMath>
          <m:sSub>
            <m:e>
              <m:r>
                <m:t>M</m:t>
              </m:r>
            </m:e>
            <m:sub>
              <m:r>
                <m:t>z</m:t>
              </m:r>
            </m:sub>
          </m:sSub>
          <m:r>
            <m:rPr>
              <m:sty m:val="p"/>
            </m:rPr>
            <m:t>=</m:t>
          </m:r>
          <m:limLow>
            <m:e>
              <m:r>
                <m:rPr>
                  <m:nor/>
                  <m:sty m:val="p"/>
                </m:rPr>
                <m:t>max</m:t>
              </m:r>
            </m:e>
            <m:lim>
              <m:r>
                <m:t>t</m:t>
              </m:r>
            </m:lim>
          </m:limLow>
          <m:f>
            <m:fPr>
              <m:type m:val="bar"/>
            </m:fPr>
            <m:num>
              <m:r>
                <m:t>1</m:t>
              </m:r>
            </m:num>
            <m:den>
              <m:r>
                <m:t>4</m:t>
              </m:r>
            </m:den>
          </m:f>
          <m:sSub>
            <m:e>
              <m:r>
                <m:t>k</m:t>
              </m:r>
            </m:e>
            <m:sub>
              <m:r>
                <m:t>z</m:t>
              </m:r>
            </m:sub>
          </m:sSub>
          <m:r>
            <m:t> </m:t>
          </m:r>
          <m:sSub>
            <m:e>
              <m:r>
                <m:rPr>
                  <m:sty m:val="p"/>
                </m:rPr>
                <m:t>P</m:t>
              </m:r>
              <m:r>
                <m:rPr>
                  <m:sty m:val="p"/>
                </m:rPr>
                <m:t>U</m:t>
              </m:r>
              <m:r>
                <m:rPr>
                  <m:sty m:val="p"/>
                </m:rPr>
                <m:t>E</m:t>
              </m:r>
            </m:e>
            <m:sub>
              <m:r>
                <m:t>t</m:t>
              </m:r>
              <m:r>
                <m:t>z</m:t>
              </m:r>
            </m:sub>
          </m:sSub>
          <m:d>
            <m:dPr>
              <m:begChr m:val="("/>
              <m:endChr m:val=")"/>
              <m:grow/>
            </m:dPr>
            <m:e>
              <m:r>
                <m:rPr>
                  <m:sty m:val="p"/>
                </m:rPr>
                <m:t>|</m:t>
              </m:r>
              <m:sSubSup>
                <m:e>
                  <m:r>
                    <m:t>p</m:t>
                  </m:r>
                </m:e>
                <m:sub>
                  <m:r>
                    <m:t>t</m:t>
                  </m:r>
                  <m:r>
                    <m:t>z</m:t>
                  </m:r>
                </m:sub>
                <m:sup>
                  <m:r>
                    <m:t>R</m:t>
                  </m:r>
                  <m:r>
                    <m:t>T</m:t>
                  </m:r>
                </m:sup>
              </m:sSubSup>
              <m:r>
                <m:rPr>
                  <m:sty m:val="p"/>
                </m:rPr>
                <m:t>|</m:t>
              </m:r>
              <m:r>
                <m:rPr>
                  <m:sty m:val="p"/>
                </m:rPr>
                <m:t>+</m:t>
              </m:r>
              <m:r>
                <m:t>2</m:t>
              </m:r>
            </m:e>
          </m:d>
          <m:r>
            <m:rPr>
              <m:sty m:val="p"/>
            </m:rPr>
            <m:t>.</m:t>
          </m:r>
        </m:oMath>
      </m:oMathPara>
    </w:p>
    <w:p>
      <w:pPr>
        <w:pStyle w:val="FirstParagraph"/>
      </w:pPr>
      <w:r>
        <w:t xml:space="preserve">Consequently, with</w:t>
      </w:r>
      <w:r>
        <w:t xml:space="preserve"> </w:t>
      </w:r>
      <m:oMath>
        <m:sSub>
          <m:e>
            <m:r>
              <m:t>δ</m:t>
            </m:r>
          </m:e>
          <m:sub>
            <m:r>
              <m:t>z</m:t>
            </m:r>
          </m:sub>
        </m:sSub>
        <m:r>
          <m:rPr>
            <m:sty m:val="p"/>
          </m:rPr>
          <m:t>=</m:t>
        </m:r>
        <m:nary>
          <m:naryPr>
            <m:chr m:val="∑"/>
            <m:limLoc m:val="undOvr"/>
            <m:subHide m:val="0"/>
            <m:supHide m:val="1"/>
          </m:naryPr>
          <m:sub>
            <m:r>
              <m:t>t</m:t>
            </m:r>
          </m:sub>
          <m:sup>
            <m:r>
              <m:t>​</m:t>
            </m:r>
          </m:sup>
          <m:e>
            <m:r>
              <m:rPr>
                <m:sty m:val="p"/>
              </m:rPr>
              <m:t>|</m:t>
            </m:r>
          </m:e>
        </m:nary>
        <m:sSub>
          <m:e>
            <m:acc>
              <m:accPr>
                <m:chr m:val="̂"/>
              </m:accPr>
              <m:e>
                <m:r>
                  <m:t>x</m:t>
                </m:r>
              </m:e>
            </m:acc>
          </m:e>
          <m:sub>
            <m:r>
              <m:t>t</m:t>
            </m:r>
            <m:r>
              <m:t>z</m:t>
            </m:r>
          </m:sub>
        </m:sSub>
        <m:r>
          <m:rPr>
            <m:sty m:val="p"/>
          </m:rPr>
          <m:t>−</m:t>
        </m:r>
        <m:sSub>
          <m:e>
            <m:r>
              <m:t>x</m:t>
            </m:r>
          </m:e>
          <m:sub>
            <m:r>
              <m:t>t</m:t>
            </m:r>
            <m:r>
              <m:t>z</m:t>
            </m:r>
          </m:sub>
        </m:sSub>
        <m:r>
          <m:rPr>
            <m:sty m:val="p"/>
          </m:rPr>
          <m:t>|</m:t>
        </m:r>
      </m:oMath>
      <w:r>
        <w:t xml:space="preserve">,</w:t>
      </w:r>
    </w:p>
    <w:p>
      <w:pPr>
        <w:pStyle w:val="BodyText"/>
        <w:keepLines/>
      </w:pPr>
      <m:oMathPara>
        <m:oMathParaPr>
          <m:jc m:val="center"/>
        </m:oMathParaPr>
        <m:oMath>
          <m:r>
            <m:rPr>
              <m:sty m:val="p"/>
            </m:rPr>
            <m:t>|</m:t>
          </m:r>
          <m:r>
            <m:t>J</m:t>
          </m:r>
          <m:r>
            <m:rPr>
              <m:sty m:val="p"/>
            </m:rPr>
            <m:t>(</m:t>
          </m:r>
          <m:acc>
            <m:accPr>
              <m:chr m:val="̂"/>
            </m:accPr>
            <m:e>
              <m:r>
                <m:t>x</m:t>
              </m:r>
            </m:e>
          </m:acc>
          <m:r>
            <m:rPr>
              <m:sty m:val="p"/>
            </m:rPr>
            <m:t>)</m:t>
          </m:r>
          <m:r>
            <m:rPr>
              <m:sty m:val="p"/>
            </m:rPr>
            <m:t>−</m:t>
          </m:r>
          <m:r>
            <m:t>J</m:t>
          </m:r>
          <m:r>
            <m:rPr>
              <m:sty m:val="p"/>
            </m:rPr>
            <m:t>(</m:t>
          </m:r>
          <m:r>
            <m:t>x</m:t>
          </m:r>
          <m:r>
            <m:rPr>
              <m:sty m:val="p"/>
            </m:rPr>
            <m:t>)</m:t>
          </m:r>
          <m:r>
            <m:rPr>
              <m:sty m:val="p"/>
            </m:rPr>
            <m:t>|</m:t>
          </m:r>
          <m:r>
            <m:rPr>
              <m:sty m:val="p"/>
            </m:rPr>
            <m:t>≤</m:t>
          </m:r>
          <m:nary>
            <m:naryPr>
              <m:chr m:val="∑"/>
              <m:limLoc m:val="undOvr"/>
              <m:subHide m:val="0"/>
              <m:supHide m:val="1"/>
            </m:naryPr>
            <m:sub>
              <m:r>
                <m:t>z</m:t>
              </m:r>
            </m:sub>
            <m:sup>
              <m:r>
                <m:t>​</m:t>
              </m:r>
            </m:sup>
            <m:e>
              <m:sSub>
                <m:e>
                  <m:r>
                    <m:t>M</m:t>
                  </m:r>
                </m:e>
                <m:sub>
                  <m:r>
                    <m:t>z</m:t>
                  </m:r>
                </m:sub>
              </m:sSub>
            </m:e>
          </m:nary>
          <m:sSub>
            <m:e>
              <m:r>
                <m:t>δ</m:t>
              </m:r>
            </m:e>
            <m:sub>
              <m:r>
                <m:t>z</m:t>
              </m:r>
            </m:sub>
          </m:sSub>
          <m:r>
            <m:rPr>
              <m:sty m:val="p"/>
            </m:rPr>
            <m:t>.</m:t>
          </m:r>
        </m:oMath>
      </m:oMathPara>
    </w:p>
    <w:p>
      <w:pPr>
        <w:pStyle w:val="FirstParagraph"/>
      </w:pPr>
      <w:r>
        <w:t xml:space="preserve">The program evaluates both this bound and the repaired account exactly as rational numbers. It also checks the actual objective difference against the bound. Across all nine runs the largest cost bound is US$</w:t>
      </w:r>
      <w:r>
        <w:t xml:space="preserve"> </w:t>
      </w:r>
      <m:oMath>
        <m:r>
          <m:t>1.65626764744</m:t>
        </m:r>
        <m:r>
          <m:rPr>
            <m:sty m:val="p"/>
          </m:rPr>
          <m:t>×</m:t>
        </m:r>
        <m:sSup>
          <m:e>
            <m:r>
              <m:t>10</m:t>
            </m:r>
          </m:e>
          <m:sup>
            <m:r>
              <m:rPr>
                <m:sty m:val="p"/>
              </m:rPr>
              <m:t>−</m:t>
            </m:r>
            <m:r>
              <m:t>8</m:t>
            </m:r>
          </m:sup>
        </m:sSup>
      </m:oMath>
      <w:r>
        <w:t xml:space="preserve">. This is far below one cent; it is explicitly budgeted rather than ignored.</w:t>
      </w:r>
    </w:p>
    <w:tbl>
      <w:tblPr>
        <w:tblStyle w:val="Table"/>
        <w:tblW w:type="pct" w:w="0.0"/>
        <w:tblLayout w:type="fixed"/>
        <w:tblLook w:firstRow="1" w:lastRow="0" w:firstColumn="0" w:lastColumn="0" w:noHBand="0" w:noVBand="0" w:val="0020"/>
      </w:tblPr>
      <w:tblGrid>
        <w:gridCol w:w="2448"/>
        <w:gridCol w:w="6912"/>
      </w:tblGrid>
      <w:tr>
        <w:trPr>
          <w:tblHeader/>
        </w:trPr>
        <w:tc>
          <w:tcPr>
            <w:tcW w:type="dxa" w:w="2448"/>
          </w:tcPr>
          <w:p>
            <w:pPr>
              <w:pStyle w:val="Compact"/>
              <w:keepNext/>
              <w:spacing w:after="80" w:before="80"/>
              <w:jc w:val="left"/>
            </w:pPr>
            <w:r>
              <w:rPr>
                <w:rFonts w:ascii="Times New Roman" w:hAnsi="Times New Roman"/>
                <w:sz w:val="19"/>
              </w:rPr>
              <w:t xml:space="preserve">Contract</w:t>
            </w:r>
          </w:p>
        </w:tc>
        <w:tc>
          <w:tcPr>
            <w:tcW w:type="dxa" w:w="6912"/>
          </w:tcPr>
          <w:p>
            <w:pPr>
              <w:pStyle w:val="Compact"/>
              <w:keepNext/>
              <w:spacing w:after="80" w:before="80"/>
              <w:jc w:val="right"/>
            </w:pPr>
            <w:r>
              <w:rPr>
                <w:rFonts w:ascii="Times New Roman" w:hAnsi="Times New Roman"/>
                <w:sz w:val="19"/>
              </w:rPr>
              <w:t xml:space="preserve">Exact repaired three-seed mean saving enclosure, US$</w:t>
            </w:r>
          </w:p>
        </w:tc>
      </w:tr>
      <w:tr>
        <w:tc>
          <w:tcPr>
            <w:tcW w:type="dxa" w:w="2448"/>
          </w:tcPr>
          <w:p>
            <w:pPr>
              <w:pStyle w:val="Compact"/>
              <w:keepNext/>
              <w:spacing w:after="80" w:before="80"/>
              <w:jc w:val="left"/>
            </w:pPr>
            <w:r>
              <w:rPr>
                <w:rFonts w:ascii="Times New Roman" w:hAnsi="Times New Roman"/>
                <w:sz w:val="19"/>
              </w:rPr>
              <w:t xml:space="preserve">12 h</w:t>
            </w:r>
          </w:p>
        </w:tc>
        <w:tc>
          <w:tcPr>
            <w:tcW w:type="dxa" w:w="6912"/>
          </w:tcPr>
          <w:p>
            <w:pPr>
              <w:pStyle w:val="Compact"/>
              <w:keepNext/>
              <w:spacing w:after="80" w:before="80"/>
              <w:jc w:val="right"/>
            </w:pPr>
            <w:r>
              <w:rPr>
                <w:rFonts w:ascii="Times New Roman" w:hAnsi="Times New Roman"/>
                <w:sz w:val="19"/>
              </w:rPr>
              <w:t xml:space="preserve">[72,220.969614188, 72,220.969614189]</w:t>
            </w:r>
          </w:p>
        </w:tc>
      </w:tr>
      <w:tr>
        <w:tc>
          <w:tcPr>
            <w:tcW w:type="dxa" w:w="2448"/>
          </w:tcPr>
          <w:p>
            <w:pPr>
              <w:pStyle w:val="Compact"/>
              <w:keepNext/>
              <w:spacing w:after="80" w:before="80"/>
              <w:jc w:val="left"/>
            </w:pPr>
            <w:r>
              <w:rPr>
                <w:rFonts w:ascii="Times New Roman" w:hAnsi="Times New Roman"/>
                <w:sz w:val="19"/>
              </w:rPr>
              <w:t xml:space="preserve">16 h</w:t>
            </w:r>
          </w:p>
        </w:tc>
        <w:tc>
          <w:tcPr>
            <w:tcW w:type="dxa" w:w="6912"/>
          </w:tcPr>
          <w:p>
            <w:pPr>
              <w:pStyle w:val="Compact"/>
              <w:keepNext/>
              <w:spacing w:after="80" w:before="80"/>
              <w:jc w:val="right"/>
            </w:pPr>
            <w:r>
              <w:rPr>
                <w:rFonts w:ascii="Times New Roman" w:hAnsi="Times New Roman"/>
                <w:sz w:val="19"/>
              </w:rPr>
              <w:t xml:space="preserve">[86,038.554374738, 86,038.554374739]</w:t>
            </w:r>
          </w:p>
        </w:tc>
      </w:tr>
      <w:tr>
        <w:tc>
          <w:tcPr>
            <w:tcW w:type="dxa" w:w="2448"/>
          </w:tcPr>
          <w:p>
            <w:pPr>
              <w:pStyle w:val="Compact"/>
              <w:keepNext/>
              <w:spacing w:after="80" w:before="80"/>
              <w:jc w:val="left"/>
            </w:pPr>
            <w:r>
              <w:rPr>
                <w:rFonts w:ascii="Times New Roman" w:hAnsi="Times New Roman"/>
                <w:sz w:val="19"/>
              </w:rPr>
              <w:t xml:space="preserve">24 h</w:t>
            </w:r>
          </w:p>
        </w:tc>
        <w:tc>
          <w:tcPr>
            <w:tcW w:type="dxa" w:w="6912"/>
          </w:tcPr>
          <w:p>
            <w:pPr>
              <w:pStyle w:val="Compact"/>
              <w:keepNext/>
              <w:spacing w:after="80" w:before="80"/>
              <w:jc w:val="right"/>
            </w:pPr>
            <w:r>
              <w:rPr>
                <w:rFonts w:ascii="Times New Roman" w:hAnsi="Times New Roman"/>
                <w:sz w:val="19"/>
              </w:rPr>
              <w:t xml:space="preserve">[105,271.061841632, 105,271.061841633]</w:t>
            </w:r>
          </w:p>
        </w:tc>
      </w:tr>
      <w:tr>
        <w:tc>
          <w:tcPr>
            <w:tcW w:type="dxa" w:w="2448"/>
          </w:tcPr>
          <w:p>
            <w:pPr>
              <w:pStyle w:val="Compact"/>
              <w:keepNext w:val="0"/>
              <w:spacing w:after="80" w:before="80"/>
              <w:jc w:val="left"/>
            </w:pPr>
            <w:r>
              <w:rPr>
                <w:rFonts w:ascii="Times New Roman" w:hAnsi="Times New Roman"/>
                <w:sz w:val="19"/>
              </w:rPr>
              <w:t xml:space="preserve">12 h to 24 h paired increment</w:t>
            </w:r>
          </w:p>
        </w:tc>
        <w:tc>
          <w:tcPr>
            <w:tcW w:type="dxa" w:w="6912"/>
          </w:tcPr>
          <w:p>
            <w:pPr>
              <w:pStyle w:val="Compact"/>
              <w:keepNext w:val="0"/>
              <w:spacing w:after="80" w:before="80"/>
              <w:jc w:val="right"/>
            </w:pPr>
            <w:r>
              <w:rPr>
                <w:rFonts w:ascii="Times New Roman" w:hAnsi="Times New Roman"/>
                <w:sz w:val="19"/>
              </w:rPr>
              <w:t xml:space="preserve">[33,050.092227443, 33,050.092227444]</w:t>
            </w:r>
          </w:p>
        </w:tc>
      </w:tr>
    </w:tbl>
    <w:p>
      <w:pPr>
        <w:pStyle w:val="BodyText"/>
      </w:pPr>
      <w:r>
        <w:t xml:space="preserve">The US$33,050.09 contrast is therefore supported by complete original execution records, recovered admissions, explicit terminal accounting and separate exact numerical feasibility witnesses. It remains a historical policy contrast. The reported perfect-information certificate increment concerns the difference between optimal feasible sets. These are different estimands and neither is a guaranteed ex-ante contract profit.</w:t>
      </w:r>
    </w:p>
    <w:p>
      <w:pPr>
        <w:pStyle w:val="BodyText"/>
      </w:pPr>
      <w:r>
        <w:t xml:space="preserve">The 24 h feasible witnesses use the same recovered admissions, reference-cost account, physical arrays, service capacity, electrical cap and terminal convention as the contract-value analysis. Their exact saving enclosure supplies the operational numerator when reporting residual opportunity and capture relative to the 24 h perfect-information bound. The rounding repair does not alter those metrics at their reported precision.</w:t>
      </w:r>
    </w:p>
    <w:bookmarkEnd w:id="27"/>
    <w:bookmarkStart w:id="28" w:name="Xf3aad039386128a6fef72c522f90b41236288f9"/>
    <w:p>
      <w:pPr>
        <w:pStyle w:val="Heading2"/>
      </w:pPr>
      <w:r>
        <w:t xml:space="preserve">S30.5 Remaining opportunity and operating capture</w:t>
      </w:r>
    </w:p>
    <w:p>
      <w:pPr>
        <w:pStyle w:val="FirstParagraph"/>
      </w:pPr>
      <w:r>
        <w:t xml:space="preserve">Let</w:t>
      </w:r>
      <w:r>
        <w:t xml:space="preserve"> </w:t>
      </w:r>
      <m:oMath>
        <m:sSubSup>
          <m:e>
            <m:r>
              <m:t>S</m:t>
            </m:r>
          </m:e>
          <m:sub>
            <m:r>
              <m:t>24</m:t>
            </m:r>
          </m:sub>
          <m:sup>
            <m:r>
              <m:rPr>
                <m:sty m:val="p"/>
              </m:rPr>
              <m:t>*</m:t>
            </m:r>
          </m:sup>
        </m:sSubSup>
      </m:oMath>
      <w:r>
        <w:t xml:space="preserve"> </w:t>
      </w:r>
      <w:r>
        <w:t xml:space="preserve">denote the optimal 24 h perfect-information saving for the same recovered admission path and account. Retain the conservative uniform value floor and annual ceiling</w:t>
      </w:r>
      <w:r>
        <w:t xml:space="preserve"> </w:t>
      </w:r>
      <m:oMath>
        <m:r>
          <m:t>L</m:t>
        </m:r>
        <m:r>
          <m:rPr>
            <m:sty m:val="p"/>
          </m:rPr>
          <m:t>=</m:t>
        </m:r>
        <m:r>
          <m:t>130931.31</m:t>
        </m:r>
      </m:oMath>
      <w:r>
        <w:t xml:space="preserve"> </w:t>
      </w:r>
      <w:r>
        <w:t xml:space="preserve">and</w:t>
      </w:r>
      <w:r>
        <w:t xml:space="preserve"> </w:t>
      </w:r>
      <m:oMath>
        <m:r>
          <m:t>U</m:t>
        </m:r>
        <m:r>
          <m:rPr>
            <m:sty m:val="p"/>
          </m:rPr>
          <m:t>=</m:t>
        </m:r>
        <m:r>
          <m:t>134437.85</m:t>
        </m:r>
      </m:oMath>
      <w:r>
        <w:t xml:space="preserve"> </w:t>
      </w:r>
      <w:r>
        <w:t xml:space="preserve">dollars, so that</w:t>
      </w:r>
      <w:r>
        <w:t xml:space="preserve"> </w:t>
      </w:r>
      <m:oMath>
        <m:r>
          <m:t>L</m:t>
        </m:r>
        <m:r>
          <m:rPr>
            <m:sty m:val="p"/>
          </m:rPr>
          <m:t>≤</m:t>
        </m:r>
        <m:sSubSup>
          <m:e>
            <m:r>
              <m:t>S</m:t>
            </m:r>
          </m:e>
          <m:sub>
            <m:r>
              <m:t>24</m:t>
            </m:r>
          </m:sub>
          <m:sup>
            <m:r>
              <m:rPr>
                <m:sty m:val="p"/>
              </m:rPr>
              <m:t>*</m:t>
            </m:r>
          </m:sup>
        </m:sSubSup>
        <m:r>
          <m:rPr>
            <m:sty m:val="p"/>
          </m:rPr>
          <m:t>≤</m:t>
        </m:r>
        <m:r>
          <m:t>U</m:t>
        </m:r>
      </m:oMath>
      <w:r>
        <w:t xml:space="preserve">. Let</w:t>
      </w:r>
      <w:r>
        <w:t xml:space="preserve"> </w:t>
      </w:r>
      <m:oMath>
        <m:r>
          <m:t>P</m:t>
        </m:r>
      </m:oMath>
      <w:r>
        <w:t xml:space="preserve"> </w:t>
      </w:r>
      <w:r>
        <w:t xml:space="preserve">be the mean saving of the three separate exact feasible policy witnesses. Each witness is feasible under that same contract; hence its saving, and their mean, cannot exceed</w:t>
      </w:r>
      <w:r>
        <w:t xml:space="preserve"> </w:t>
      </w:r>
      <m:oMath>
        <m:sSubSup>
          <m:e>
            <m:r>
              <m:t>S</m:t>
            </m:r>
          </m:e>
          <m:sub>
            <m:r>
              <m:t>24</m:t>
            </m:r>
          </m:sub>
          <m:sup>
            <m:r>
              <m:rPr>
                <m:sty m:val="p"/>
              </m:rPr>
              <m:t>*</m:t>
            </m:r>
          </m:sup>
        </m:sSubSup>
      </m:oMath>
      <w:r>
        <w:t xml:space="preserve">. Exact rational evaluation followed by directed rounding gives</w:t>
      </w:r>
    </w:p>
    <w:p>
      <w:pPr>
        <w:pStyle w:val="BodyText"/>
        <w:keepLines/>
      </w:pPr>
      <m:oMathPara>
        <m:oMathParaPr>
          <m:jc m:val="center"/>
        </m:oMathParaPr>
        <m:oMath>
          <m:sSub>
            <m:e>
              <m:r>
                <m:t>P</m:t>
              </m:r>
            </m:e>
            <m:sub>
              <m:r>
                <m:rPr>
                  <m:sty m:val="p"/>
                </m:rPr>
                <m:t>l</m:t>
              </m:r>
              <m:r>
                <m:rPr>
                  <m:sty m:val="p"/>
                </m:rPr>
                <m:t>o</m:t>
              </m:r>
            </m:sub>
          </m:sSub>
          <m:r>
            <m:rPr>
              <m:sty m:val="p"/>
            </m:rPr>
            <m:t>=</m:t>
          </m:r>
          <m:f>
            <m:fPr>
              <m:type m:val="bar"/>
            </m:fPr>
            <m:num>
              <m:r>
                <m:t>105271061841632</m:t>
              </m:r>
            </m:num>
            <m:den>
              <m:sSup>
                <m:e>
                  <m:r>
                    <m:t>10</m:t>
                  </m:r>
                </m:e>
                <m:sup>
                  <m:r>
                    <m:t>9</m:t>
                  </m:r>
                </m:sup>
              </m:sSup>
            </m:den>
          </m:f>
          <m:r>
            <m:rPr>
              <m:sty m:val="p"/>
            </m:rPr>
            <m:t>≤</m:t>
          </m:r>
          <m:r>
            <m:t>P</m:t>
          </m:r>
          <m:r>
            <m:rPr>
              <m:sty m:val="p"/>
            </m:rPr>
            <m:t>≤</m:t>
          </m:r>
          <m:f>
            <m:fPr>
              <m:type m:val="bar"/>
            </m:fPr>
            <m:num>
              <m:r>
                <m:t>105271061841633</m:t>
              </m:r>
            </m:num>
            <m:den>
              <m:sSup>
                <m:e>
                  <m:r>
                    <m:t>10</m:t>
                  </m:r>
                </m:e>
                <m:sup>
                  <m:r>
                    <m:t>9</m:t>
                  </m:r>
                </m:sup>
              </m:sSup>
            </m:den>
          </m:f>
          <m:r>
            <m:rPr>
              <m:sty m:val="p"/>
            </m:rPr>
            <m:t>=</m:t>
          </m:r>
          <m:sSub>
            <m:e>
              <m:r>
                <m:t>P</m:t>
              </m:r>
            </m:e>
            <m:sub>
              <m:r>
                <m:rPr>
                  <m:sty m:val="p"/>
                </m:rPr>
                <m:t>h</m:t>
              </m:r>
              <m:r>
                <m:rPr>
                  <m:sty m:val="p"/>
                </m:rPr>
                <m:t>i</m:t>
              </m:r>
            </m:sub>
          </m:sSub>
          <m:r>
            <m:rPr>
              <m:sty m:val="p"/>
            </m:rPr>
            <m:t>.</m:t>
          </m:r>
        </m:oMath>
      </m:oMathPara>
    </w:p>
    <w:p>
      <w:pPr>
        <w:pStyle w:val="FirstParagraph"/>
      </w:pPr>
      <w:r>
        <w:t xml:space="preserve">These endpoints are computed by flooring and ceiling the exact rational mean after multiplication by</w:t>
      </w:r>
      <w:r>
        <w:t xml:space="preserve"> </w:t>
      </w:r>
      <m:oMath>
        <m:sSup>
          <m:e>
            <m:r>
              <m:t>10</m:t>
            </m:r>
          </m:e>
          <m:sup>
            <m:r>
              <m:t>9</m:t>
            </m:r>
          </m:sup>
        </m:sSup>
      </m:oMath>
      <w:r>
        <w:t xml:space="preserve">. Define remaining opportunity</w:t>
      </w:r>
      <w:r>
        <w:t xml:space="preserve"> </w:t>
      </w:r>
      <m:oMath>
        <m:r>
          <m:t>G</m:t>
        </m:r>
        <m:r>
          <m:rPr>
            <m:sty m:val="p"/>
          </m:rPr>
          <m:t>=</m:t>
        </m:r>
        <m:sSubSup>
          <m:e>
            <m:r>
              <m:t>S</m:t>
            </m:r>
          </m:e>
          <m:sub>
            <m:r>
              <m:t>24</m:t>
            </m:r>
          </m:sub>
          <m:sup>
            <m:r>
              <m:rPr>
                <m:sty m:val="p"/>
              </m:rPr>
              <m:t>*</m:t>
            </m:r>
          </m:sup>
        </m:sSubSup>
        <m:r>
          <m:rPr>
            <m:sty m:val="p"/>
          </m:rPr>
          <m:t>−</m:t>
        </m:r>
        <m:r>
          <m:t>P</m:t>
        </m:r>
      </m:oMath>
      <w:r>
        <w:t xml:space="preserve">. Subtracting endpoints in the correct directions gives</w:t>
      </w:r>
    </w:p>
    <w:p>
      <w:pPr>
        <w:pStyle w:val="BodyText"/>
        <w:keepLines/>
      </w:pPr>
      <m:oMathPara>
        <m:oMathParaPr>
          <m:jc m:val="center"/>
        </m:oMathParaPr>
        <m:oMath>
          <m:r>
            <m:t>L</m:t>
          </m:r>
          <m:r>
            <m:rPr>
              <m:sty m:val="p"/>
            </m:rPr>
            <m:t>−</m:t>
          </m:r>
          <m:sSub>
            <m:e>
              <m:r>
                <m:t>P</m:t>
              </m:r>
            </m:e>
            <m:sub>
              <m:r>
                <m:rPr>
                  <m:sty m:val="p"/>
                </m:rPr>
                <m:t>h</m:t>
              </m:r>
              <m:r>
                <m:rPr>
                  <m:sty m:val="p"/>
                </m:rPr>
                <m:t>i</m:t>
              </m:r>
            </m:sub>
          </m:sSub>
          <m:r>
            <m:rPr>
              <m:sty m:val="p"/>
            </m:rPr>
            <m:t>≤</m:t>
          </m:r>
          <m:r>
            <m:t>G</m:t>
          </m:r>
          <m:r>
            <m:rPr>
              <m:sty m:val="p"/>
            </m:rPr>
            <m:t>≤</m:t>
          </m:r>
          <m:r>
            <m:t>U</m:t>
          </m:r>
          <m:r>
            <m:rPr>
              <m:sty m:val="p"/>
            </m:rPr>
            <m:t>−</m:t>
          </m:r>
          <m:sSub>
            <m:e>
              <m:r>
                <m:t>P</m:t>
              </m:r>
            </m:e>
            <m:sub>
              <m:r>
                <m:rPr>
                  <m:sty m:val="p"/>
                </m:rPr>
                <m:t>l</m:t>
              </m:r>
              <m:r>
                <m:rPr>
                  <m:sty m:val="p"/>
                </m:rPr>
                <m:t>o</m:t>
              </m:r>
            </m:sub>
          </m:sSub>
          <m:r>
            <m:rPr>
              <m:sty m:val="p"/>
            </m:rPr>
            <m:t>.</m:t>
          </m:r>
        </m:oMath>
      </m:oMathPara>
    </w:p>
    <w:p>
      <w:pPr>
        <w:pStyle w:val="FirstParagraph"/>
      </w:pPr>
      <w:r>
        <w:t xml:space="preserve">Conservatively rounding the lower endpoint down and the upper endpoint up to cents yields</w:t>
      </w:r>
    </w:p>
    <w:p>
      <w:pPr>
        <w:pStyle w:val="BodyText"/>
        <w:keepLines/>
      </w:pPr>
      <m:oMathPara>
        <m:oMathParaPr>
          <m:jc m:val="center"/>
        </m:oMathParaPr>
        <m:oMath>
          <m:f>
            <m:fPr>
              <m:type m:val="bar"/>
            </m:fPr>
            <m:num>
              <m:r>
                <m:rPr>
                  <m:sty m:val="p"/>
                </m:rPr>
                <m:t>⌊</m:t>
              </m:r>
              <m:r>
                <m:t>100</m:t>
              </m:r>
              <m:r>
                <m:rPr>
                  <m:sty m:val="p"/>
                </m:rPr>
                <m:t>(</m:t>
              </m:r>
              <m:r>
                <m:t>L</m:t>
              </m:r>
              <m:r>
                <m:rPr>
                  <m:sty m:val="p"/>
                </m:rPr>
                <m:t>−</m:t>
              </m:r>
              <m:sSub>
                <m:e>
                  <m:r>
                    <m:t>P</m:t>
                  </m:r>
                </m:e>
                <m:sub>
                  <m:r>
                    <m:rPr>
                      <m:sty m:val="p"/>
                    </m:rPr>
                    <m:t>h</m:t>
                  </m:r>
                  <m:r>
                    <m:rPr>
                      <m:sty m:val="p"/>
                    </m:rPr>
                    <m:t>i</m:t>
                  </m:r>
                </m:sub>
              </m:sSub>
              <m:r>
                <m:rPr>
                  <m:sty m:val="p"/>
                </m:rPr>
                <m:t>)</m:t>
              </m:r>
              <m:r>
                <m:rPr>
                  <m:sty m:val="p"/>
                </m:rPr>
                <m:t>⌋</m:t>
              </m:r>
            </m:num>
            <m:den>
              <m:r>
                <m:t>100</m:t>
              </m:r>
            </m:den>
          </m:f>
          <m:r>
            <m:rPr>
              <m:sty m:val="p"/>
            </m:rPr>
            <m:t>=</m:t>
          </m:r>
          <m:r>
            <m:t>25660.24</m:t>
          </m:r>
          <m:r>
            <m:rPr>
              <m:sty m:val="p"/>
            </m:rPr>
            <m:t>≤</m:t>
          </m:r>
          <m:r>
            <m:t>G</m:t>
          </m:r>
          <m:r>
            <m:rPr>
              <m:sty m:val="p"/>
            </m:rPr>
            <m:t>≤</m:t>
          </m:r>
          <m:f>
            <m:fPr>
              <m:type m:val="bar"/>
            </m:fPr>
            <m:num>
              <m:r>
                <m:rPr>
                  <m:sty m:val="p"/>
                </m:rPr>
                <m:t>⌈</m:t>
              </m:r>
              <m:r>
                <m:t>100</m:t>
              </m:r>
              <m:r>
                <m:rPr>
                  <m:sty m:val="p"/>
                </m:rPr>
                <m:t>(</m:t>
              </m:r>
              <m:r>
                <m:t>U</m:t>
              </m:r>
              <m:r>
                <m:rPr>
                  <m:sty m:val="p"/>
                </m:rPr>
                <m:t>−</m:t>
              </m:r>
              <m:sSub>
                <m:e>
                  <m:r>
                    <m:t>P</m:t>
                  </m:r>
                </m:e>
                <m:sub>
                  <m:r>
                    <m:rPr>
                      <m:sty m:val="p"/>
                    </m:rPr>
                    <m:t>l</m:t>
                  </m:r>
                  <m:r>
                    <m:rPr>
                      <m:sty m:val="p"/>
                    </m:rPr>
                    <m:t>o</m:t>
                  </m:r>
                </m:sub>
              </m:sSub>
              <m:r>
                <m:rPr>
                  <m:sty m:val="p"/>
                </m:rPr>
                <m:t>)</m:t>
              </m:r>
              <m:r>
                <m:rPr>
                  <m:sty m:val="p"/>
                </m:rPr>
                <m:t>⌉</m:t>
              </m:r>
            </m:num>
            <m:den>
              <m:r>
                <m:t>100</m:t>
              </m:r>
            </m:den>
          </m:f>
          <m:r>
            <m:rPr>
              <m:sty m:val="p"/>
            </m:rPr>
            <m:t>=</m:t>
          </m:r>
          <m:r>
            <m:t>29166.79</m:t>
          </m:r>
          <m:r>
            <m:t> </m:t>
          </m:r>
          <m:r>
            <m:rPr>
              <m:sty m:val="p"/>
            </m:rPr>
            <m:t>U</m:t>
          </m:r>
          <m:r>
            <m:rPr>
              <m:sty m:val="p"/>
            </m:rPr>
            <m:t>S</m:t>
          </m:r>
          <m:r>
            <m:rPr>
              <m:sty m:val="p"/>
            </m:rPr>
            <m:t>$</m:t>
          </m:r>
          <m:r>
            <m:rPr>
              <m:sty m:val="p"/>
            </m:rPr>
            <m:t>.</m:t>
          </m:r>
        </m:oMath>
      </m:oMathPara>
    </w:p>
    <w:p>
      <w:pPr>
        <w:pStyle w:val="FirstParagraph"/>
      </w:pPr>
      <w:r>
        <w:t xml:space="preserve">Because</w:t>
      </w:r>
      <w:r>
        <w:t xml:space="preserve"> </w:t>
      </w:r>
      <m:oMath>
        <m:r>
          <m:t>L</m:t>
        </m:r>
        <m:r>
          <m:rPr>
            <m:sty m:val="p"/>
          </m:rPr>
          <m:t>&gt;</m:t>
        </m:r>
        <m:r>
          <m:t>0</m:t>
        </m:r>
      </m:oMath>
      <w:r>
        <w:t xml:space="preserve"> </w:t>
      </w:r>
      <w:r>
        <w:t xml:space="preserve">and</w:t>
      </w:r>
      <w:r>
        <w:t xml:space="preserve"> </w:t>
      </w:r>
      <m:oMath>
        <m:r>
          <m:t>P</m:t>
        </m:r>
        <m:r>
          <m:rPr>
            <m:sty m:val="p"/>
          </m:rPr>
          <m:t>&gt;</m:t>
        </m:r>
        <m:r>
          <m:t>0</m:t>
        </m:r>
      </m:oMath>
      <w:r>
        <w:t xml:space="preserve">, the opportunity capture fraction</w:t>
      </w:r>
      <w:r>
        <w:t xml:space="preserve"> </w:t>
      </w:r>
      <m:oMath>
        <m:r>
          <m:t>κ</m:t>
        </m:r>
        <m:r>
          <m:rPr>
            <m:sty m:val="p"/>
          </m:rPr>
          <m:t>=</m:t>
        </m:r>
        <m:r>
          <m:t>P</m:t>
        </m:r>
        <m:r>
          <m:rPr>
            <m:sty m:val="p"/>
          </m:rPr>
          <m:t>/</m:t>
        </m:r>
        <m:sSubSup>
          <m:e>
            <m:r>
              <m:t>S</m:t>
            </m:r>
          </m:e>
          <m:sub>
            <m:r>
              <m:t>24</m:t>
            </m:r>
          </m:sub>
          <m:sup>
            <m:r>
              <m:rPr>
                <m:sty m:val="p"/>
              </m:rPr>
              <m:t>*</m:t>
            </m:r>
          </m:sup>
        </m:sSubSup>
      </m:oMath>
      <w:r>
        <w:t xml:space="preserve"> </w:t>
      </w:r>
      <w:r>
        <w:t xml:space="preserve">satisfies</w:t>
      </w:r>
    </w:p>
    <w:p>
      <w:pPr>
        <w:pStyle w:val="BodyText"/>
        <w:keepLines/>
      </w:pPr>
      <m:oMathPara>
        <m:oMathParaPr>
          <m:jc m:val="center"/>
        </m:oMathParaPr>
        <m:oMath>
          <m:f>
            <m:fPr>
              <m:type m:val="bar"/>
            </m:fPr>
            <m:num>
              <m:sSub>
                <m:e>
                  <m:r>
                    <m:t>P</m:t>
                  </m:r>
                </m:e>
                <m:sub>
                  <m:r>
                    <m:rPr>
                      <m:sty m:val="p"/>
                    </m:rPr>
                    <m:t>l</m:t>
                  </m:r>
                  <m:r>
                    <m:rPr>
                      <m:sty m:val="p"/>
                    </m:rPr>
                    <m:t>o</m:t>
                  </m:r>
                </m:sub>
              </m:sSub>
            </m:num>
            <m:den>
              <m:r>
                <m:t>U</m:t>
              </m:r>
            </m:den>
          </m:f>
          <m:r>
            <m:rPr>
              <m:sty m:val="p"/>
            </m:rPr>
            <m:t>≤</m:t>
          </m:r>
          <m:r>
            <m:t>κ</m:t>
          </m:r>
          <m:r>
            <m:rPr>
              <m:sty m:val="p"/>
            </m:rPr>
            <m:t>≤</m:t>
          </m:r>
          <m:f>
            <m:fPr>
              <m:type m:val="bar"/>
            </m:fPr>
            <m:num>
              <m:sSub>
                <m:e>
                  <m:r>
                    <m:t>P</m:t>
                  </m:r>
                </m:e>
                <m:sub>
                  <m:r>
                    <m:rPr>
                      <m:sty m:val="p"/>
                    </m:rPr>
                    <m:t>h</m:t>
                  </m:r>
                  <m:r>
                    <m:rPr>
                      <m:sty m:val="p"/>
                    </m:rPr>
                    <m:t>i</m:t>
                  </m:r>
                </m:sub>
              </m:sSub>
            </m:num>
            <m:den>
              <m:r>
                <m:t>L</m:t>
              </m:r>
            </m:den>
          </m:f>
          <m:r>
            <m:rPr>
              <m:sty m:val="p"/>
            </m:rPr>
            <m:t>.</m:t>
          </m:r>
        </m:oMath>
      </m:oMathPara>
    </w:p>
    <w:p>
      <w:pPr>
        <w:pStyle w:val="FirstParagraph"/>
      </w:pPr>
      <w:r>
        <w:t xml:space="preserve">The percentages are approximately</w:t>
      </w:r>
      <w:r>
        <w:t xml:space="preserve"> </w:t>
      </w:r>
      <m:oMath>
        <m:r>
          <m:t>78.30</m:t>
        </m:r>
        <m:r>
          <m:rPr>
            <m:sty m:val="p"/>
          </m:rPr>
          <m:t>%</m:t>
        </m:r>
      </m:oMath>
      <w:r>
        <w:t xml:space="preserve"> </w:t>
      </w:r>
      <w:r>
        <w:t xml:space="preserve">to</w:t>
      </w:r>
      <w:r>
        <w:t xml:space="preserve"> </w:t>
      </w:r>
      <m:oMath>
        <m:r>
          <m:t>80.40</m:t>
        </m:r>
        <m:r>
          <m:rPr>
            <m:sty m:val="p"/>
          </m:rPr>
          <m:t>%</m:t>
        </m:r>
      </m:oMath>
      <w:r>
        <w:t xml:space="preserve"> </w:t>
      </w:r>
      <w:r>
        <w:t xml:space="preserve">when displayed to two decimal places. These approximate displayed percentages are distinguished from the exact endpoint ratios above. The residual opportunity describes the room between the feasible operating results and the bounded hindsight optimum on the observed calendar. It is not a guarantee that an implementable causal policy can capture the entire amount, nor a forecast of the value of buying longer service rights.</w:t>
      </w:r>
    </w:p>
    <w:bookmarkEnd w:id="28"/>
    <w:bookmarkEnd w:id="29"/>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52" w:lineRule="auto"/>
    </w:pPr>
    <w:rPr>
      <w:rFonts w:ascii="Times New Roman" w:hAnsi="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60" w:line="240" w:lineRule="auto" w:before="0"/>
      <w:contextualSpacing/>
    </w:pPr>
    <w:rPr>
      <w:rFonts w:asciiTheme="majorHAnsi" w:eastAsiaTheme="majorEastAsia" w:hAnsiTheme="majorHAnsi" w:cstheme="majorBidi" w:ascii="Times New Roman" w:hAnsi="Times New Roman" w:eastAsia="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keepLines/>
      <w:spacing w:line="240" w:lineRule="auto" w:before="120" w:after="100"/>
    </w:pPr>
    <w:rPr>
      <w:rFonts w:ascii="Times New Roman" w:hAnsi="Times New Roman" w:eastAsia="Times New Roman"/>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a1130575372@gmail.com" TargetMode="External"/><Relationship Id="rId11" Type="http://schemas.openxmlformats.org/officeDocument/2006/relationships/hyperlink" Target="https://github.com/kalimustafa/executable-service-commitments-worldmoe/tree/v1.3.0" TargetMode="External"/><Relationship Id="rId12" Type="http://schemas.openxmlformats.org/officeDocument/2006/relationships/hyperlink" Target="mailto:chenych2024@lzu.edu.cn" TargetMode="External"/><Relationship Id="rId13" Type="http://schemas.openxmlformats.org/officeDocument/2006/relationships/hyperlink" Target="mailto:guanshy2024@lzu.edu.cn" TargetMode="Externa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rights and the economic value of data centre flexibility — Supplementary Information</dc:title>
  <dc:subject>Original evidence, mathematical verification, information and net contract value, and conservative annual certificates</dc:subject>
  <dc:creator>Xiang Yi; Yuyang Chen; Shengye Guan</dc:creator>
  <cp:keywords/>
  <dc:description/>
  <cp:lastModifiedBy>Xiang Yi</cp:lastModifiedBy>
  <cp:revision>1</cp:revision>
  <dcterms:created xsi:type="dcterms:W3CDTF">2013-12-23T23:15:00Z</dcterms:created>
  <dcterms:modified xsi:type="dcterms:W3CDTF">2013-12-23T23:15:00Z</dcterms:modified>
  <cp:category/>
</cp:coreProperties>
</file>