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7883a21b6b343eeb682f0b33ab63e2c85f45e3"/>
    <w:p>
      <w:pPr>
        <w:pStyle w:val="Heading1"/>
      </w:pPr>
      <w:r>
        <w:t xml:space="preserve">Technical Decisions and Architecture Decision Records</w:t>
      </w:r>
    </w:p>
    <w:bookmarkStart w:id="12" w:name="adr-001-use-a-monorepo"/>
    <w:p>
      <w:pPr>
        <w:pStyle w:val="Heading2"/>
      </w:pPr>
      <w:r>
        <w:t xml:space="preserve">ADR-001 — Use a Monorepo</w:t>
      </w:r>
    </w:p>
    <w:bookmarkStart w:id="9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a single Git repository containing:</w:t>
      </w:r>
    </w:p>
    <w:p>
      <w:pPr>
        <w:pStyle w:val="Compact"/>
        <w:numPr>
          <w:ilvl w:val="0"/>
          <w:numId w:val="1001"/>
        </w:numPr>
      </w:pPr>
      <w:r>
        <w:t xml:space="preserve">Ionic React application</w:t>
      </w:r>
    </w:p>
    <w:p>
      <w:pPr>
        <w:pStyle w:val="Compact"/>
        <w:numPr>
          <w:ilvl w:val="0"/>
          <w:numId w:val="1001"/>
        </w:numPr>
      </w:pPr>
      <w:r>
        <w:t xml:space="preserve">Payload CMS application</w:t>
      </w:r>
    </w:p>
    <w:p>
      <w:pPr>
        <w:pStyle w:val="Compact"/>
        <w:numPr>
          <w:ilvl w:val="0"/>
          <w:numId w:val="1001"/>
        </w:numPr>
      </w:pPr>
      <w:r>
        <w:t xml:space="preserve">Go RAG service</w:t>
      </w:r>
    </w:p>
    <w:p>
      <w:pPr>
        <w:pStyle w:val="Compact"/>
        <w:numPr>
          <w:ilvl w:val="0"/>
          <w:numId w:val="1001"/>
        </w:numPr>
      </w:pPr>
      <w:r>
        <w:t xml:space="preserve">Infrastructure configuration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bookmarkEnd w:id="9"/>
    <w:bookmarkStart w:id="10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infrastructure/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scripts/</w:t>
      </w:r>
    </w:p>
    <w:bookmarkEnd w:id="10"/>
    <w:bookmarkStart w:id="11" w:name="rationale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assessment contains multiple components that need to evolve together. A monorepo makes local development, documentation, and deployment configuration easier to manage.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6" w:name="Xca4aedf1e51761d3906dfd1e0a1c81089a9dc66"/>
    <w:p>
      <w:pPr>
        <w:pStyle w:val="Heading1"/>
      </w:pPr>
      <w:r>
        <w:t xml:space="preserve">ADR-002 — Payload CMS Is Both CMS and Public API</w:t>
      </w:r>
    </w:p>
    <w:bookmarkStart w:id="14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Do not create a separate Node.js API application.</w:t>
      </w:r>
    </w:p>
    <w:p>
      <w:pPr>
        <w:pStyle w:val="BodyText"/>
      </w:pPr>
      <w:r>
        <w:t xml:space="preserve">Payload will provide:</w:t>
      </w:r>
    </w:p>
    <w:p>
      <w:pPr>
        <w:pStyle w:val="Compact"/>
        <w:numPr>
          <w:ilvl w:val="0"/>
          <w:numId w:val="1002"/>
        </w:numPr>
      </w:pPr>
      <w:r>
        <w:t xml:space="preserve">CMS</w:t>
      </w:r>
    </w:p>
    <w:p>
      <w:pPr>
        <w:pStyle w:val="Compact"/>
        <w:numPr>
          <w:ilvl w:val="0"/>
          <w:numId w:val="1002"/>
        </w:numPr>
      </w:pPr>
      <w:r>
        <w:t xml:space="preserve">REST API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Authorization</w:t>
      </w:r>
    </w:p>
    <w:p>
      <w:pPr>
        <w:pStyle w:val="Compact"/>
        <w:numPr>
          <w:ilvl w:val="0"/>
          <w:numId w:val="1002"/>
        </w:numPr>
      </w:pPr>
      <w:r>
        <w:t xml:space="preserve">CRUD</w:t>
      </w:r>
    </w:p>
    <w:p>
      <w:pPr>
        <w:pStyle w:val="Compact"/>
        <w:numPr>
          <w:ilvl w:val="0"/>
          <w:numId w:val="1002"/>
        </w:numPr>
      </w:pPr>
      <w:r>
        <w:t xml:space="preserve">Custom endpoints</w:t>
      </w:r>
    </w:p>
    <w:p>
      <w:pPr>
        <w:pStyle w:val="Compact"/>
        <w:numPr>
          <w:ilvl w:val="0"/>
          <w:numId w:val="1002"/>
        </w:numPr>
      </w:pPr>
      <w:r>
        <w:t xml:space="preserve">Hooks</w:t>
      </w:r>
    </w:p>
    <w:p>
      <w:pPr>
        <w:pStyle w:val="Compact"/>
        <w:numPr>
          <w:ilvl w:val="0"/>
          <w:numId w:val="1002"/>
        </w:numPr>
      </w:pPr>
      <w:r>
        <w:t xml:space="preserve">Server-side business logic</w:t>
      </w:r>
    </w:p>
    <w:bookmarkEnd w:id="14"/>
    <w:bookmarkStart w:id="15" w:name="rationale-1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Payload already provides the required backend capabilities.</w:t>
      </w:r>
    </w:p>
    <w:p>
      <w:pPr>
        <w:pStyle w:val="BodyText"/>
      </w:pPr>
      <w:r>
        <w:t xml:space="preserve">Creating:</w:t>
      </w:r>
    </w:p>
    <w:p>
      <w:pPr>
        <w:pStyle w:val="SourceCode"/>
      </w:pPr>
      <w:r>
        <w:rPr>
          <w:rStyle w:val="VerbatimChar"/>
        </w:rPr>
        <w:t xml:space="preserve">Ionic → Node API → Payload</w:t>
      </w:r>
    </w:p>
    <w:p>
      <w:pPr>
        <w:pStyle w:val="FirstParagraph"/>
      </w:pPr>
      <w:r>
        <w:t xml:space="preserve">would introduce an unnecessary additional runtime layer.</w:t>
      </w:r>
    </w:p>
    <w:p>
      <w:pPr>
        <w:pStyle w:val="BodyText"/>
      </w:pPr>
      <w:r>
        <w:t xml:space="preserve">The simplified architecture is:</w:t>
      </w:r>
    </w:p>
    <w:p>
      <w:pPr>
        <w:pStyle w:val="SourceCode"/>
      </w:pPr>
      <w:r>
        <w:rPr>
          <w:rStyle w:val="VerbatimChar"/>
        </w:rPr>
        <w:t xml:space="preserve">Ionic → Payload</w:t>
      </w:r>
    </w:p>
    <w:p>
      <w:pPr>
        <w:pStyle w:val="FirstParagraph"/>
      </w:pPr>
      <w:r>
        <w:t xml:space="preserve">This reduces:</w:t>
      </w:r>
    </w:p>
    <w:p>
      <w:pPr>
        <w:pStyle w:val="Compact"/>
        <w:numPr>
          <w:ilvl w:val="0"/>
          <w:numId w:val="1003"/>
        </w:numPr>
      </w:pPr>
      <w:r>
        <w:t xml:space="preserve">code duplication</w:t>
      </w:r>
    </w:p>
    <w:p>
      <w:pPr>
        <w:pStyle w:val="Compact"/>
        <w:numPr>
          <w:ilvl w:val="0"/>
          <w:numId w:val="1003"/>
        </w:numPr>
      </w:pPr>
      <w:r>
        <w:t xml:space="preserve">deployment complexity</w:t>
      </w:r>
    </w:p>
    <w:p>
      <w:pPr>
        <w:pStyle w:val="Compact"/>
        <w:numPr>
          <w:ilvl w:val="0"/>
          <w:numId w:val="1003"/>
        </w:numPr>
      </w:pPr>
      <w:r>
        <w:t xml:space="preserve">authentication complexity</w:t>
      </w:r>
    </w:p>
    <w:p>
      <w:pPr>
        <w:pStyle w:val="Compact"/>
        <w:numPr>
          <w:ilvl w:val="0"/>
          <w:numId w:val="1003"/>
        </w:numPr>
      </w:pPr>
      <w:r>
        <w:t xml:space="preserve">API synchronization problems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adr-003-mongodb-is-the-primary-database"/>
    <w:p>
      <w:pPr>
        <w:pStyle w:val="Heading1"/>
      </w:pPr>
      <w:r>
        <w:t xml:space="preserve">ADR-003 — MongoDB Is the Primary Database</w:t>
      </w:r>
    </w:p>
    <w:bookmarkStart w:id="17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MongoDB as the application’s primary database because it is the database used by Payload in this architecture.</w:t>
      </w:r>
    </w:p>
    <w:p>
      <w:pPr>
        <w:pStyle w:val="BodyText"/>
      </w:pPr>
      <w:r>
        <w:t xml:space="preserve">MongoDB stores:</w:t>
      </w:r>
    </w:p>
    <w:p>
      <w:pPr>
        <w:pStyle w:val="Compact"/>
        <w:numPr>
          <w:ilvl w:val="0"/>
          <w:numId w:val="1004"/>
        </w:numPr>
      </w:pPr>
      <w:r>
        <w:t xml:space="preserve">Users</w:t>
      </w:r>
    </w:p>
    <w:p>
      <w:pPr>
        <w:pStyle w:val="Compact"/>
        <w:numPr>
          <w:ilvl w:val="0"/>
          <w:numId w:val="1004"/>
        </w:numPr>
      </w:pPr>
      <w:r>
        <w:t xml:space="preserve">Doctors</w:t>
      </w:r>
    </w:p>
    <w:p>
      <w:pPr>
        <w:pStyle w:val="Compact"/>
        <w:numPr>
          <w:ilvl w:val="0"/>
          <w:numId w:val="1004"/>
        </w:numPr>
      </w:pPr>
      <w:r>
        <w:t xml:space="preserve">Slots</w:t>
      </w:r>
    </w:p>
    <w:p>
      <w:pPr>
        <w:pStyle w:val="Compact"/>
        <w:numPr>
          <w:ilvl w:val="0"/>
          <w:numId w:val="1004"/>
        </w:numPr>
      </w:pPr>
      <w:r>
        <w:t xml:space="preserve">Appointments</w:t>
      </w:r>
    </w:p>
    <w:p>
      <w:pPr>
        <w:pStyle w:val="Compact"/>
        <w:numPr>
          <w:ilvl w:val="0"/>
          <w:numId w:val="1004"/>
        </w:numPr>
      </w:pPr>
      <w:r>
        <w:t xml:space="preserve">Knowledge documents</w:t>
      </w:r>
    </w:p>
    <w:p>
      <w:pPr>
        <w:pStyle w:val="Compact"/>
        <w:numPr>
          <w:ilvl w:val="0"/>
          <w:numId w:val="1004"/>
        </w:numPr>
      </w:pPr>
      <w:r>
        <w:t xml:space="preserve">Unresolved queries</w:t>
      </w:r>
    </w:p>
    <w:p>
      <w:pPr>
        <w:pStyle w:val="Compact"/>
        <w:numPr>
          <w:ilvl w:val="0"/>
          <w:numId w:val="1004"/>
        </w:numPr>
      </w:pPr>
      <w:r>
        <w:t xml:space="preserve">RAG vector data</w:t>
      </w:r>
    </w:p>
    <w:bookmarkEnd w:id="17"/>
    <w:bookmarkStart w:id="18" w:name="rationale-2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Using one database simplifies the assessment deployment and avoids unnecessary data synchronization.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adr-004-use-mongodb-vector-search"/>
    <w:p>
      <w:pPr>
        <w:pStyle w:val="Heading1"/>
      </w:pPr>
      <w:r>
        <w:t xml:space="preserve">ADR-004 — Use MongoDB Vector Search</w:t>
      </w:r>
    </w:p>
    <w:bookmarkStart w:id="20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MongoDB Vector Search for RAG retrieval rather than introducing a separate vector database.</w:t>
      </w:r>
    </w:p>
    <w:bookmarkEnd w:id="20"/>
    <w:bookmarkStart w:id="21" w:name="rationale-3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A dedicated vector database such as Qdrant would introduce another infrastructure component without being necessary for the assessment.</w:t>
      </w:r>
    </w:p>
    <w:p>
      <w:pPr>
        <w:pStyle w:val="BodyText"/>
      </w:pPr>
      <w:r>
        <w:t xml:space="preserve">MongoDB can store the RAG chunks and their embeddings alongside the associated document metadata.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KnowledgeDocument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metadata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chunks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text</w:t>
      </w:r>
      <w:r>
        <w:br/>
      </w:r>
      <w:r>
        <w:rPr>
          <w:rStyle w:val="VerbatimChar"/>
        </w:rPr>
        <w:t xml:space="preserve">            ├── embedding</w:t>
      </w:r>
      <w:r>
        <w:br/>
      </w:r>
      <w:r>
        <w:rPr>
          <w:rStyle w:val="VerbatimChar"/>
        </w:rPr>
        <w:t xml:space="preserve">            └── metadata</w:t>
      </w:r>
    </w:p>
    <w:p>
      <w:pPr>
        <w:pStyle w:val="FirstParagraph"/>
      </w:pPr>
      <w:r>
        <w:t xml:space="preserve">Vector similarity search is performed through MongoDB’s vector search functionality.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dr-005-use-go-for-the-rag-service"/>
    <w:p>
      <w:pPr>
        <w:pStyle w:val="Heading1"/>
      </w:pPr>
      <w:r>
        <w:t xml:space="preserve">ADR-005 — Use Go for the RAG Service</w:t>
      </w:r>
    </w:p>
    <w:bookmarkStart w:id="23" w:name="decision-4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Implement the RAG engine in Go.</w:t>
      </w:r>
    </w:p>
    <w:bookmarkEnd w:id="23"/>
    <w:bookmarkStart w:id="24" w:name="responsibilities"/>
    <w:p>
      <w:pPr>
        <w:pStyle w:val="Heading3"/>
      </w:pPr>
      <w:r>
        <w:t xml:space="preserve">Responsibilities</w:t>
      </w:r>
    </w:p>
    <w:p>
      <w:pPr>
        <w:pStyle w:val="FirstParagraph"/>
      </w:pPr>
      <w:r>
        <w:t xml:space="preserve">Go handles:</w:t>
      </w:r>
    </w:p>
    <w:p>
      <w:pPr>
        <w:pStyle w:val="Compact"/>
        <w:numPr>
          <w:ilvl w:val="0"/>
          <w:numId w:val="1005"/>
        </w:numPr>
      </w:pPr>
      <w:r>
        <w:t xml:space="preserve">PDF processing</w:t>
      </w:r>
    </w:p>
    <w:p>
      <w:pPr>
        <w:pStyle w:val="Compact"/>
        <w:numPr>
          <w:ilvl w:val="0"/>
          <w:numId w:val="1005"/>
        </w:numPr>
      </w:pPr>
      <w:r>
        <w:t xml:space="preserve">Text extraction</w:t>
      </w:r>
    </w:p>
    <w:p>
      <w:pPr>
        <w:pStyle w:val="Compact"/>
        <w:numPr>
          <w:ilvl w:val="0"/>
          <w:numId w:val="1005"/>
        </w:numPr>
      </w:pPr>
      <w:r>
        <w:t xml:space="preserve">Chunking</w:t>
      </w:r>
    </w:p>
    <w:p>
      <w:pPr>
        <w:pStyle w:val="Compact"/>
        <w:numPr>
          <w:ilvl w:val="0"/>
          <w:numId w:val="1005"/>
        </w:numPr>
      </w:pPr>
      <w:r>
        <w:t xml:space="preserve">Embedding generation</w:t>
      </w:r>
    </w:p>
    <w:p>
      <w:pPr>
        <w:pStyle w:val="Compact"/>
        <w:numPr>
          <w:ilvl w:val="0"/>
          <w:numId w:val="1005"/>
        </w:numPr>
      </w:pPr>
      <w:r>
        <w:t xml:space="preserve">Vector search</w:t>
      </w:r>
    </w:p>
    <w:p>
      <w:pPr>
        <w:pStyle w:val="Compact"/>
        <w:numPr>
          <w:ilvl w:val="0"/>
          <w:numId w:val="1005"/>
        </w:numPr>
      </w:pPr>
      <w:r>
        <w:t xml:space="preserve">Relevance evaluation</w:t>
      </w:r>
    </w:p>
    <w:p>
      <w:pPr>
        <w:pStyle w:val="Compact"/>
        <w:numPr>
          <w:ilvl w:val="0"/>
          <w:numId w:val="1005"/>
        </w:numPr>
      </w:pPr>
      <w:r>
        <w:t xml:space="preserve">LLM orchestration</w:t>
      </w:r>
    </w:p>
    <w:p>
      <w:pPr>
        <w:pStyle w:val="Compact"/>
        <w:numPr>
          <w:ilvl w:val="0"/>
          <w:numId w:val="1005"/>
        </w:numPr>
      </w:pPr>
      <w:r>
        <w:t xml:space="preserve">RAG concurrency</w:t>
      </w:r>
    </w:p>
    <w:bookmarkEnd w:id="24"/>
    <w:bookmarkStart w:id="25" w:name="rationale-4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assignment explicitly allows a Go RAG service and Go provides a good model for controlled concurrent request processing.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dr-006-keep-go-completely-internal"/>
    <w:p>
      <w:pPr>
        <w:pStyle w:val="Heading1"/>
      </w:pPr>
      <w:r>
        <w:t xml:space="preserve">ADR-006 — Keep Go Completely Internal</w:t>
      </w:r>
    </w:p>
    <w:bookmarkStart w:id="27" w:name="decision-5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Go RAG service must not be publicly exposed.</w:t>
      </w:r>
    </w:p>
    <w:p>
      <w:pPr>
        <w:pStyle w:val="BodyText"/>
      </w:pPr>
      <w:r>
        <w:t xml:space="preserve">Only Payload communicates with Go.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internal network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Go RAG</w:t>
      </w:r>
    </w:p>
    <w:bookmarkEnd w:id="27"/>
    <w:bookmarkStart w:id="28" w:name="rationale-5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This provides a single public API boundary and prevents the mobile application from depending on internal service topology.</w:t>
      </w:r>
    </w:p>
    <w:p>
      <w:pPr>
        <w:pStyle w:val="BodyText"/>
      </w:pPr>
      <w:r>
        <w:t xml:space="preserve">It also simplifies: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deployment</w:t>
      </w:r>
    </w:p>
    <w:p>
      <w:pPr>
        <w:pStyle w:val="Compact"/>
        <w:numPr>
          <w:ilvl w:val="0"/>
          <w:numId w:val="1006"/>
        </w:numPr>
      </w:pPr>
      <w:r>
        <w:t xml:space="preserve">networking</w:t>
      </w:r>
    </w:p>
    <w:p>
      <w:pPr>
        <w:pStyle w:val="Compact"/>
        <w:numPr>
          <w:ilvl w:val="0"/>
          <w:numId w:val="1006"/>
        </w:numPr>
      </w:pPr>
      <w:r>
        <w:t xml:space="preserve">API documentation</w:t>
      </w:r>
    </w:p>
    <w:p>
      <w:pPr>
        <w:pStyle w:val="Compact"/>
        <w:numPr>
          <w:ilvl w:val="0"/>
          <w:numId w:val="1006"/>
        </w:numPr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ea6628e279a6dea78a8591eb2d64d6617d05108"/>
    <w:p>
      <w:pPr>
        <w:pStyle w:val="Heading1"/>
      </w:pPr>
      <w:r>
        <w:t xml:space="preserve">ADR-007 — Payload Custom Endpoint Proxies Chat Requests</w:t>
      </w:r>
    </w:p>
    <w:bookmarkStart w:id="30" w:name="decision-6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chatbot endpoint is implemented in Payload.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POST /api/chat</w:t>
      </w:r>
    </w:p>
    <w:p>
      <w:pPr>
        <w:pStyle w:val="FirstParagraph"/>
      </w:pPr>
      <w:r>
        <w:t xml:space="preserve">Payload receives the authenticated request and forwards the relevant request data to the internal Go service.</w:t>
      </w:r>
    </w:p>
    <w:bookmarkEnd w:id="30"/>
    <w:bookmarkStart w:id="31" w:name="rationale-6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mobile application only needs to understand Payload’s API.</w:t>
      </w:r>
    </w:p>
    <w:p>
      <w:pPr>
        <w:pStyle w:val="BodyText"/>
      </w:pPr>
      <w:r>
        <w:t xml:space="preserve">The Go service remains an implementation detail.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59023364e358278b289e33c9329db5f1a5fd8ba"/>
    <w:p>
      <w:pPr>
        <w:pStyle w:val="Heading1"/>
      </w:pPr>
      <w:r>
        <w:t xml:space="preserve">ADR-008 — Payload Hooks Trigger Knowledge Indexing</w:t>
      </w:r>
    </w:p>
    <w:bookmarkStart w:id="33" w:name="decision-7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Knowledge document lifecycle hooks in Payload trigger RAG indexing.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KnowledgeDocuments.afterChange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 /internal/v1/documents/sync</w:t>
      </w:r>
    </w:p>
    <w:bookmarkEnd w:id="33"/>
    <w:bookmarkStart w:id="34" w:name="rationale-7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administrator should be able to upload and manage knowledge documents through Payload Admin without manually running an indexing command.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638d30fd301f1393f425c7f09e91249c4709c99"/>
    <w:p>
      <w:pPr>
        <w:pStyle w:val="Heading1"/>
      </w:pPr>
      <w:r>
        <w:t xml:space="preserve">ADR-009 — Keep Document Metadata in Payload</w:t>
      </w:r>
    </w:p>
    <w:bookmarkStart w:id="36" w:name="decision-8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Payload remains the source of truth for knowledge-document metadata.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KnowledgeDocuments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indexedAt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The actual vectorized chunks are maintained by the Go RAG system in MongoDB.</w:t>
      </w:r>
    </w:p>
    <w:bookmarkEnd w:id="36"/>
    <w:bookmarkStart w:id="37" w:name="rationale-8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Payload is responsible for CMS/admin state while Go is responsible for RAG processing state.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dr-010-version-knowledge-documents"/>
    <w:p>
      <w:pPr>
        <w:pStyle w:val="Heading1"/>
      </w:pPr>
      <w:r>
        <w:t xml:space="preserve">ADR-010 — Version Knowledge Documents</w:t>
      </w:r>
    </w:p>
    <w:bookmarkStart w:id="39" w:name="decision-9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Knowledge documents should have a version.</w:t>
      </w:r>
    </w:p>
    <w:p>
      <w:pPr>
        <w:pStyle w:val="BodyText"/>
      </w:pPr>
      <w:r>
        <w:t xml:space="preserve">When a document changes, the RAG representation should be re-indexed.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Document v1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indexed vectors</w:t>
      </w:r>
      <w:r>
        <w:br/>
      </w:r>
      <w:r>
        <w:br/>
      </w:r>
      <w:r>
        <w:rPr>
          <w:rStyle w:val="VerbatimChar"/>
        </w:rPr>
        <w:t xml:space="preserve">Document updated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 v2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re-index</w:t>
      </w:r>
    </w:p>
    <w:bookmarkEnd w:id="39"/>
    <w:bookmarkStart w:id="40" w:name="rationale-9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This prevents the system from silently serving stale knowledge after a document is replaced.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d11c15ff7636dbed3eb0ba852ee7c8b483ee872"/>
    <w:p>
      <w:pPr>
        <w:pStyle w:val="Heading1"/>
      </w:pPr>
      <w:r>
        <w:t xml:space="preserve">ADR-011 — Backend-Level Double-Booking Protection</w:t>
      </w:r>
    </w:p>
    <w:bookmarkStart w:id="42" w:name="decision-10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Appointment availability must be protected by backend/database-level concurrency control.</w:t>
      </w:r>
    </w:p>
    <w:p>
      <w:pPr>
        <w:pStyle w:val="BodyText"/>
      </w:pPr>
      <w:r>
        <w:t xml:space="preserve">A frontend availability check alone is insufficient.</w:t>
      </w:r>
    </w:p>
    <w:bookmarkEnd w:id="42"/>
    <w:bookmarkStart w:id="43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Two users can perform:</w:t>
      </w:r>
    </w:p>
    <w:p>
      <w:pPr>
        <w:pStyle w:val="SourceCode"/>
      </w:pPr>
      <w:r>
        <w:rPr>
          <w:rStyle w:val="VerbatimChar"/>
        </w:rPr>
        <w:t xml:space="preserve">User A → check slot → available</w:t>
      </w:r>
      <w:r>
        <w:br/>
      </w:r>
      <w:r>
        <w:rPr>
          <w:rStyle w:val="VerbatimChar"/>
        </w:rPr>
        <w:t xml:space="preserve">User B → check slot → available</w:t>
      </w:r>
      <w:r>
        <w:br/>
      </w:r>
      <w:r>
        <w:rPr>
          <w:rStyle w:val="VerbatimChar"/>
        </w:rPr>
        <w:t xml:space="preserve">User A → book</w:t>
      </w:r>
      <w:r>
        <w:br/>
      </w:r>
      <w:r>
        <w:rPr>
          <w:rStyle w:val="VerbatimChar"/>
        </w:rPr>
        <w:t xml:space="preserve">User B → book</w:t>
      </w:r>
    </w:p>
    <w:bookmarkEnd w:id="43"/>
    <w:bookmarkStart w:id="44" w:name="required-behavior"/>
    <w:p>
      <w:pPr>
        <w:pStyle w:val="Heading3"/>
      </w:pPr>
      <w:r>
        <w:t xml:space="preserve">Required behavior</w:t>
      </w:r>
    </w:p>
    <w:p>
      <w:pPr>
        <w:pStyle w:val="FirstParagraph"/>
      </w:pPr>
      <w:r>
        <w:t xml:space="preserve">Only one booking can succeed.</w:t>
      </w:r>
    </w:p>
    <w:p>
      <w:pPr>
        <w:pStyle w:val="BodyText"/>
      </w:pPr>
      <w:r>
        <w:t xml:space="preserve">The database operation must enforce the invariant that a slot cannot have multiple active appointments.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dr-012-authenticate-through-payload"/>
    <w:p>
      <w:pPr>
        <w:pStyle w:val="Heading1"/>
      </w:pPr>
      <w:r>
        <w:t xml:space="preserve">ADR-012 — Authenticate Through Payload</w:t>
      </w:r>
    </w:p>
    <w:bookmarkStart w:id="46" w:name="decision-1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Payload is the identity authority for the application.</w:t>
      </w:r>
    </w:p>
    <w:p>
      <w:pPr>
        <w:pStyle w:val="BodyText"/>
      </w:pPr>
      <w:r>
        <w:t xml:space="preserve">The mobile application authenticates with Payload.</w:t>
      </w:r>
    </w:p>
    <w:p>
      <w:pPr>
        <w:pStyle w:val="BodyText"/>
      </w:pPr>
      <w:r>
        <w:t xml:space="preserve">The Go service does not manage user passwords.</w:t>
      </w:r>
    </w:p>
    <w:bookmarkEnd w:id="46"/>
    <w:bookmarkStart w:id="47" w:name="rationale-10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Authentication should have one source of truth.</w:t>
      </w:r>
    </w:p>
    <w:p>
      <w:pPr>
        <w:pStyle w:val="BodyText"/>
      </w:pPr>
      <w:r>
        <w:t xml:space="preserve">Go receives only the identity/authentication information required to authorize an internal request.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adr-013-grounded-rag"/>
    <w:p>
      <w:pPr>
        <w:pStyle w:val="Heading1"/>
      </w:pPr>
      <w:r>
        <w:t xml:space="preserve">ADR-013 — Grounded RAG</w:t>
      </w:r>
    </w:p>
    <w:bookmarkStart w:id="49" w:name="decision-1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chatbot must answer healthcare questions using retrieved knowledge rather than unrestricted model knowledge.</w:t>
      </w:r>
    </w:p>
    <w:p>
      <w:pPr>
        <w:pStyle w:val="BodyText"/>
      </w:pPr>
      <w:r>
        <w:t xml:space="preserve">The LLM receives: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Retrieved Knowledge Context</w:t>
      </w:r>
    </w:p>
    <w:p>
      <w:pPr>
        <w:pStyle w:val="FirstParagraph"/>
      </w:pPr>
      <w:r>
        <w:t xml:space="preserve">The prompt instructs the model to ground its answer in the supplied context.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4a73e701fe1427da2874cdc2d099d829a3998e1"/>
    <w:p>
      <w:pPr>
        <w:pStyle w:val="Heading1"/>
      </w:pPr>
      <w:r>
        <w:t xml:space="preserve">ADR-014 — Explicit Unknown-Question Handling</w:t>
      </w:r>
    </w:p>
    <w:bookmarkStart w:id="51" w:name="decision-1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RAG service must determine whether retrieved evidence is sufficient.</w:t>
      </w:r>
    </w:p>
    <w:p>
      <w:pPr>
        <w:pStyle w:val="BodyText"/>
      </w:pPr>
      <w:r>
        <w:t xml:space="preserve">If the evidence is insufficient, the chatbot must not fabricate an answer.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Insufficient evidence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Safe fallback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 unresolved query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15aefca6738dd8c92fb8d379821335bea56f1dc"/>
    <w:p>
      <w:pPr>
        <w:pStyle w:val="Heading1"/>
      </w:pPr>
      <w:r>
        <w:t xml:space="preserve">ADR-015 — Store Unresolved Queries in Payload</w:t>
      </w:r>
    </w:p>
    <w:bookmarkStart w:id="53" w:name="decision-14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Unknown or insufficiently supported questions are stored in:</w:t>
      </w:r>
    </w:p>
    <w:p>
      <w:pPr>
        <w:pStyle w:val="SourceCode"/>
      </w:pPr>
      <w:r>
        <w:rPr>
          <w:rStyle w:val="VerbatimChar"/>
        </w:rPr>
        <w:t xml:space="preserve">UnresolvedQueries</w:t>
      </w:r>
    </w:p>
    <w:p>
      <w:pPr>
        <w:pStyle w:val="FirstParagraph"/>
      </w:pPr>
      <w:r>
        <w:t xml:space="preserve">Payload Admin is used to review them.</w:t>
      </w:r>
    </w:p>
    <w:p>
      <w:pPr>
        <w:pStyle w:val="BodyText"/>
      </w:pPr>
      <w:r>
        <w:t xml:space="preserve">Example fields: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reviewedBy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resolvedAt</w:t>
      </w:r>
    </w:p>
    <w:bookmarkEnd w:id="53"/>
    <w:bookmarkStart w:id="54" w:name="rationale-11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This creates the required admin workflow without introducing another management system.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adr-016-controlled-concurrency-in-go"/>
    <w:p>
      <w:pPr>
        <w:pStyle w:val="Heading1"/>
      </w:pPr>
      <w:r>
        <w:t xml:space="preserve">ADR-016 — Controlled Concurrency in Go</w:t>
      </w:r>
    </w:p>
    <w:bookmarkStart w:id="56" w:name="decision-15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Go uses controlled concurrency for RAG requests.</w:t>
      </w:r>
    </w:p>
    <w:p>
      <w:pPr>
        <w:pStyle w:val="BodyText"/>
      </w:pPr>
      <w:r>
        <w:t xml:space="preserve">Concurrency should be bounded rather than spawning unlimited external API requests.</w:t>
      </w:r>
    </w:p>
    <w:p>
      <w:pPr>
        <w:pStyle w:val="BodyText"/>
      </w:pPr>
      <w:r>
        <w:t xml:space="preserve">Possible implementation:</w:t>
      </w:r>
    </w:p>
    <w:p>
      <w:pPr>
        <w:pStyle w:val="SourceCode"/>
      </w:pPr>
      <w:r>
        <w:rPr>
          <w:rStyle w:val="VerbatimChar"/>
        </w:rPr>
        <w:t xml:space="preserve">Incoming requests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Concurrency limiter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RAG workers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Embedding / Vector Search / LLM</w:t>
      </w:r>
    </w:p>
    <w:bookmarkEnd w:id="56"/>
    <w:bookmarkStart w:id="57" w:name="rationale-12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primary bottlenecks are likely to be external embedding/LLM APIs, database operations, network latency, and provider rate limits.</w:t>
      </w:r>
    </w:p>
    <w:p>
      <w:pPr>
        <w:pStyle w:val="BodyText"/>
      </w:pPr>
      <w:r>
        <w:t xml:space="preserve">Unlimited goroutines would not automatically improve throughput.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adr-017-server-side-ai-credentials"/>
    <w:p>
      <w:pPr>
        <w:pStyle w:val="Heading1"/>
      </w:pPr>
      <w:r>
        <w:t xml:space="preserve">ADR-017 — Server-Side AI Credentials</w:t>
      </w:r>
    </w:p>
    <w:bookmarkStart w:id="59" w:name="decision-16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LLM and embedding credentials are stored only in backend services.</w:t>
      </w:r>
    </w:p>
    <w:p>
      <w:pPr>
        <w:pStyle w:val="BodyText"/>
      </w:pPr>
      <w:r>
        <w:t xml:space="preserve">They are never shipped to Ionic.</w:t>
      </w:r>
    </w:p>
    <w:p>
      <w:pPr>
        <w:pStyle w:val="SourceCode"/>
      </w:pPr>
      <w:r>
        <w:rPr>
          <w:rStyle w:val="VerbatimChar"/>
        </w:rPr>
        <w:t xml:space="preserve">Ionic</w:t>
      </w:r>
      <w:r>
        <w:br/>
      </w:r>
      <w:r>
        <w:rPr>
          <w:rStyle w:val="VerbatimChar"/>
        </w:rPr>
        <w:t xml:space="preserve">  X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no LLM API key</w:t>
      </w:r>
      <w:r>
        <w:br/>
      </w:r>
      <w:r>
        <w:br/>
      </w:r>
      <w:r>
        <w:rPr>
          <w:rStyle w:val="VerbatimChar"/>
        </w:rPr>
        <w:t xml:space="preserve">Payload / Go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API credentials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adr-018-no-separate-node.js-runtime-api"/>
    <w:p>
      <w:pPr>
        <w:pStyle w:val="Heading1"/>
      </w:pPr>
      <w:r>
        <w:t xml:space="preserve">ADR-018 — No Separate Node.js Runtime API</w:t>
      </w:r>
    </w:p>
    <w:bookmarkStart w:id="61" w:name="decision-17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project does not contain:</w:t>
      </w:r>
    </w:p>
    <w:p>
      <w:pPr>
        <w:pStyle w:val="SourceCode"/>
      </w:pPr>
      <w:r>
        <w:rPr>
          <w:rStyle w:val="VerbatimChar"/>
        </w:rPr>
        <w:t xml:space="preserve">apps/api</w:t>
      </w:r>
    </w:p>
    <w:bookmarkEnd w:id="61"/>
    <w:bookmarkStart w:id="62" w:name="rationale-13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Payload already performs the required API responsibilities.</w:t>
      </w:r>
    </w:p>
    <w:p>
      <w:pPr>
        <w:pStyle w:val="BodyText"/>
      </w:pPr>
      <w:r>
        <w:t xml:space="preserve">The assignment does not require a custom Node.js API runtime.</w:t>
      </w:r>
    </w:p>
    <w:p>
      <w:pPr>
        <w:pStyle w:val="BodyText"/>
      </w:pPr>
      <w:r>
        <w:t xml:space="preserve">Removing it makes the architecture smaller without removing required functionality.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a300b823a50f874aae28e07f49330423c1bdefc"/>
    <w:p>
      <w:pPr>
        <w:pStyle w:val="Heading1"/>
      </w:pPr>
      <w:r>
        <w:t xml:space="preserve">ADR-019 — Do Not Create a Shared Type Package Initially</w:t>
      </w:r>
    </w:p>
    <w:bookmarkStart w:id="64" w:name="decision-18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Do not create:</w:t>
      </w:r>
    </w:p>
    <w:p>
      <w:pPr>
        <w:pStyle w:val="SourceCode"/>
      </w:pPr>
      <w:r>
        <w:rPr>
          <w:rStyle w:val="VerbatimChar"/>
        </w:rPr>
        <w:t xml:space="preserve">packages/types</w:t>
      </w:r>
    </w:p>
    <w:p>
      <w:pPr>
        <w:pStyle w:val="FirstParagraph"/>
      </w:pPr>
      <w:r>
        <w:t xml:space="preserve">unless a real cross-application requirement appears.</w:t>
      </w:r>
    </w:p>
    <w:bookmarkEnd w:id="64"/>
    <w:bookmarkStart w:id="65" w:name="rationale-14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Payload can generate TypeScript types from the collection schema.</w:t>
      </w:r>
    </w:p>
    <w:p>
      <w:pPr>
        <w:pStyle w:val="BodyText"/>
      </w:pPr>
      <w:r>
        <w:t xml:space="preserve">Therefore Payload remains the source of truth rather than maintaining duplicate interfaces.</w:t>
      </w:r>
    </w:p>
    <w:p>
      <w:pPr>
        <w:pStyle w:val="BodyText"/>
      </w:pPr>
      <w:r>
        <w:t xml:space="preserve">If a genuinely shared package becomes necessary, it can be introduced later.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00738afee68f52a8c466e5fec3581ab52e29285"/>
    <w:p>
      <w:pPr>
        <w:pStyle w:val="Heading1"/>
      </w:pPr>
      <w:r>
        <w:t xml:space="preserve">ADR-020 — Docker Compose Instead of Complex Orchestration</w:t>
      </w:r>
    </w:p>
    <w:bookmarkStart w:id="67" w:name="decision-19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Docker Compose for local and assessment deployment.</w:t>
      </w:r>
    </w:p>
    <w:p>
      <w:pPr>
        <w:pStyle w:val="BodyText"/>
      </w:pPr>
      <w:r>
        <w:t xml:space="preserve">Initial services: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rag</w:t>
      </w:r>
    </w:p>
    <w:bookmarkEnd w:id="67"/>
    <w:bookmarkStart w:id="68" w:name="rationale-15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assessment does not require:</w:t>
      </w:r>
    </w:p>
    <w:p>
      <w:pPr>
        <w:pStyle w:val="Compact"/>
        <w:numPr>
          <w:ilvl w:val="0"/>
          <w:numId w:val="1007"/>
        </w:numPr>
      </w:pPr>
      <w:r>
        <w:t xml:space="preserve">Kubernetes</w:t>
      </w:r>
    </w:p>
    <w:p>
      <w:pPr>
        <w:pStyle w:val="Compact"/>
        <w:numPr>
          <w:ilvl w:val="0"/>
          <w:numId w:val="1007"/>
        </w:numPr>
      </w:pPr>
      <w:r>
        <w:t xml:space="preserve">Kafka</w:t>
      </w:r>
    </w:p>
    <w:p>
      <w:pPr>
        <w:pStyle w:val="Compact"/>
        <w:numPr>
          <w:ilvl w:val="0"/>
          <w:numId w:val="1007"/>
        </w:numPr>
      </w:pPr>
      <w:r>
        <w:t xml:space="preserve">service mesh</w:t>
      </w:r>
    </w:p>
    <w:p>
      <w:pPr>
        <w:pStyle w:val="Compact"/>
        <w:numPr>
          <w:ilvl w:val="0"/>
          <w:numId w:val="1007"/>
        </w:numPr>
      </w:pPr>
      <w:r>
        <w:t xml:space="preserve">distributed tracing infrastructure</w:t>
      </w:r>
    </w:p>
    <w:p>
      <w:pPr>
        <w:pStyle w:val="Compact"/>
        <w:numPr>
          <w:ilvl w:val="0"/>
          <w:numId w:val="1007"/>
        </w:numPr>
      </w:pPr>
      <w:r>
        <w:t xml:space="preserve">API gateway</w:t>
      </w:r>
    </w:p>
    <w:p>
      <w:pPr>
        <w:pStyle w:val="Compact"/>
        <w:numPr>
          <w:ilvl w:val="0"/>
          <w:numId w:val="1007"/>
        </w:numPr>
      </w:pPr>
      <w:r>
        <w:t xml:space="preserve">multiple worker clusters</w:t>
      </w:r>
    </w:p>
    <w:p>
      <w:pPr>
        <w:pStyle w:val="FirstParagraph"/>
      </w:pPr>
      <w:r>
        <w:t xml:space="preserve">Docker Compose is sufficient to demonstrate the architecture.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dr-021-redis-is-optional"/>
    <w:p>
      <w:pPr>
        <w:pStyle w:val="Heading1"/>
      </w:pPr>
      <w:r>
        <w:t xml:space="preserve">ADR-021 — Redis Is Optional</w:t>
      </w:r>
    </w:p>
    <w:bookmarkStart w:id="70" w:name="decision-20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Redis is not part of the initial architecture.</w:t>
      </w:r>
    </w:p>
    <w:p>
      <w:pPr>
        <w:pStyle w:val="BodyText"/>
      </w:pPr>
      <w:r>
        <w:t xml:space="preserve">It will only be introduced if a concrete requirement appears.</w:t>
      </w:r>
    </w:p>
    <w:p>
      <w:pPr>
        <w:pStyle w:val="BodyText"/>
      </w:pPr>
      <w:r>
        <w:t xml:space="preserve">Potential future uses:</w:t>
      </w:r>
    </w:p>
    <w:p>
      <w:pPr>
        <w:pStyle w:val="Compact"/>
        <w:numPr>
          <w:ilvl w:val="0"/>
          <w:numId w:val="1008"/>
        </w:numPr>
      </w:pPr>
      <w:r>
        <w:t xml:space="preserve">background jobs</w:t>
      </w:r>
    </w:p>
    <w:p>
      <w:pPr>
        <w:pStyle w:val="Compact"/>
        <w:numPr>
          <w:ilvl w:val="0"/>
          <w:numId w:val="1008"/>
        </w:numPr>
      </w:pPr>
      <w:r>
        <w:t xml:space="preserve">caching</w:t>
      </w:r>
    </w:p>
    <w:p>
      <w:pPr>
        <w:pStyle w:val="Compact"/>
        <w:numPr>
          <w:ilvl w:val="0"/>
          <w:numId w:val="1008"/>
        </w:numPr>
      </w:pPr>
      <w:r>
        <w:t xml:space="preserve">rate limiting</w:t>
      </w:r>
    </w:p>
    <w:p>
      <w:pPr>
        <w:pStyle w:val="Compact"/>
        <w:numPr>
          <w:ilvl w:val="0"/>
          <w:numId w:val="1008"/>
        </w:numPr>
      </w:pPr>
      <w:r>
        <w:t xml:space="preserve">distributed locks</w:t>
      </w:r>
    </w:p>
    <w:bookmarkEnd w:id="70"/>
    <w:bookmarkStart w:id="71" w:name="rationale-16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Adding Redis merely because it is commonly used in backend systems increases deployment complexity without contributing to the mandatory assessment functionality.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adr-022-ai-assisted-development"/>
    <w:p>
      <w:pPr>
        <w:pStyle w:val="Heading1"/>
      </w:pPr>
      <w:r>
        <w:t xml:space="preserve">ADR-022 — AI-Assisted Development</w:t>
      </w:r>
    </w:p>
    <w:bookmarkStart w:id="73" w:name="decision-2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AI tools may be used during implementation, but generated code must be reviewed and understood by the developer.</w:t>
      </w:r>
    </w:p>
    <w:p>
      <w:pPr>
        <w:pStyle w:val="BodyText"/>
      </w:pPr>
      <w:r>
        <w:t xml:space="preserve">AI assistance may be used for:</w:t>
      </w:r>
    </w:p>
    <w:p>
      <w:pPr>
        <w:pStyle w:val="Compact"/>
        <w:numPr>
          <w:ilvl w:val="0"/>
          <w:numId w:val="1009"/>
        </w:numPr>
      </w:pPr>
      <w:r>
        <w:t xml:space="preserve">boilerplate</w:t>
      </w:r>
    </w:p>
    <w:p>
      <w:pPr>
        <w:pStyle w:val="Compact"/>
        <w:numPr>
          <w:ilvl w:val="0"/>
          <w:numId w:val="1009"/>
        </w:numPr>
      </w:pPr>
      <w:r>
        <w:t xml:space="preserve">test generation</w:t>
      </w:r>
    </w:p>
    <w:p>
      <w:pPr>
        <w:pStyle w:val="Compact"/>
        <w:numPr>
          <w:ilvl w:val="0"/>
          <w:numId w:val="1009"/>
        </w:numPr>
      </w:pPr>
      <w:r>
        <w:t xml:space="preserve">documentation</w:t>
      </w:r>
    </w:p>
    <w:p>
      <w:pPr>
        <w:pStyle w:val="Compact"/>
        <w:numPr>
          <w:ilvl w:val="0"/>
          <w:numId w:val="1009"/>
        </w:numPr>
      </w:pPr>
      <w:r>
        <w:t xml:space="preserve">debugging</w:t>
      </w:r>
    </w:p>
    <w:p>
      <w:pPr>
        <w:pStyle w:val="Compact"/>
        <w:numPr>
          <w:ilvl w:val="0"/>
          <w:numId w:val="1009"/>
        </w:numPr>
      </w:pPr>
      <w:r>
        <w:t xml:space="preserve">implementation suggestions</w:t>
      </w:r>
    </w:p>
    <w:p>
      <w:pPr>
        <w:pStyle w:val="Compact"/>
        <w:numPr>
          <w:ilvl w:val="0"/>
          <w:numId w:val="1009"/>
        </w:numPr>
      </w:pPr>
      <w:r>
        <w:t xml:space="preserve">code review assistance</w:t>
      </w:r>
    </w:p>
    <w:p>
      <w:pPr>
        <w:pStyle w:val="FirstParagraph"/>
      </w:pPr>
      <w:r>
        <w:t xml:space="preserve">The final implementation remains the responsibility of the developer.</w:t>
      </w:r>
    </w:p>
    <w:p>
      <w:pPr>
        <w:pStyle w:val="BodyText"/>
      </w:pPr>
      <w:r>
        <w:t xml:space="preserve">The assessment documentation should disclose meaningful AI assistance according to the assignment requirements.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final-architecture-decision"/>
    <w:p>
      <w:pPr>
        <w:pStyle w:val="Heading1"/>
      </w:pPr>
      <w:r>
        <w:t xml:space="preserve">Final Architecture Decision</w:t>
      </w:r>
    </w:p>
    <w:p>
      <w:pPr>
        <w:pStyle w:val="FirstParagraph"/>
      </w:pPr>
      <w:r>
        <w:t xml:space="preserve">The final architecture is intentionally small: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┌─────────────────┐</w:t>
      </w:r>
      <w:r>
        <w:br/>
      </w:r>
      <w:r>
        <w:rPr>
          <w:rStyle w:val="VerbatimChar"/>
        </w:rPr>
        <w:t xml:space="preserve">                │   Ionic React   │</w:t>
      </w:r>
      <w:r>
        <w:br/>
      </w:r>
      <w:r>
        <w:rPr>
          <w:rStyle w:val="VerbatimChar"/>
        </w:rPr>
        <w:t xml:space="preserve">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┌─────────────────┐</w:t>
      </w:r>
      <w:r>
        <w:br/>
      </w:r>
      <w:r>
        <w:rPr>
          <w:rStyle w:val="VerbatimChar"/>
        </w:rPr>
        <w:t xml:space="preserve">                │  Payload CMS    │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     │ CMS + REST API  │</w:t>
      </w:r>
      <w:r>
        <w:br/>
      </w:r>
      <w:r>
        <w:rPr>
          <w:rStyle w:val="VerbatimChar"/>
        </w:rPr>
        <w:t xml:space="preserve">                │ Auth + Logic    │</w:t>
      </w:r>
      <w:r>
        <w:br/>
      </w:r>
      <w:r>
        <w:rPr>
          <w:rStyle w:val="VerbatimChar"/>
        </w:rPr>
        <w:t xml:space="preserve">                └──────┬─────┬────┘</w:t>
      </w:r>
      <w:r>
        <w:br/>
      </w:r>
      <w:r>
        <w:rPr>
          <w:rStyle w:val="VerbatimChar"/>
        </w:rPr>
        <w:t xml:space="preserve">                       │     │</w:t>
      </w:r>
      <w:r>
        <w:br/>
      </w:r>
      <w:r>
        <w:rPr>
          <w:rStyle w:val="VerbatimChar"/>
        </w:rPr>
        <w:t xml:space="preserve">                 MongoDB     │ Internal HTTP</w:t>
      </w:r>
      <w:r>
        <w:br/>
      </w:r>
      <w:r>
        <w:rPr>
          <w:rStyle w:val="VerbatimChar"/>
        </w:rPr>
        <w:t xml:space="preserve">                       │     ▼</w:t>
      </w:r>
      <w:r>
        <w:br/>
      </w:r>
      <w:r>
        <w:rPr>
          <w:rStyle w:val="VerbatimChar"/>
        </w:rPr>
        <w:t xml:space="preserve">                       │  ┌─────────────┐</w:t>
      </w:r>
      <w:r>
        <w:br/>
      </w:r>
      <w:r>
        <w:rPr>
          <w:rStyle w:val="VerbatimChar"/>
        </w:rPr>
        <w:t xml:space="preserve">                       │  │ Go RAG      │</w:t>
      </w:r>
      <w:r>
        <w:br/>
      </w:r>
      <w:r>
        <w:rPr>
          <w:rStyle w:val="VerbatimChar"/>
        </w:rPr>
        <w:t xml:space="preserve">                       │  │             │</w:t>
      </w:r>
      <w:r>
        <w:br/>
      </w:r>
      <w:r>
        <w:rPr>
          <w:rStyle w:val="VerbatimChar"/>
        </w:rPr>
        <w:t xml:space="preserve">                       │  │ RAG + LLM   │</w:t>
      </w:r>
      <w:r>
        <w:br/>
      </w:r>
      <w:r>
        <w:rPr>
          <w:rStyle w:val="VerbatimChar"/>
        </w:rPr>
        <w:t xml:space="preserve">                       │  └──────┬──────┘</w:t>
      </w:r>
      <w:r>
        <w:br/>
      </w:r>
      <w:r>
        <w:rPr>
          <w:rStyle w:val="VerbatimChar"/>
        </w:rPr>
        <w:t xml:space="preserve">                       │         │</w:t>
      </w:r>
      <w:r>
        <w:br/>
      </w:r>
      <w:r>
        <w:rPr>
          <w:rStyle w:val="VerbatimChar"/>
        </w:rPr>
        <w:t xml:space="preserve">                       └─────────┘</w:t>
      </w:r>
      <w:r>
        <w:br/>
      </w:r>
      <w:r>
        <w:rPr>
          <w:rStyle w:val="VerbatimChar"/>
        </w:rPr>
        <w:t xml:space="preserve">                         MongoDB</w:t>
      </w:r>
      <w:r>
        <w:br/>
      </w:r>
      <w:r>
        <w:rPr>
          <w:rStyle w:val="VerbatimChar"/>
        </w:rPr>
        <w:t xml:space="preserve">                     Vector Search</w:t>
      </w:r>
    </w:p>
    <w:p>
      <w:pPr>
        <w:pStyle w:val="FirstParagraph"/>
      </w:pPr>
      <w:r>
        <w:t xml:space="preserve">The architecture prioritizes:</w:t>
      </w:r>
    </w:p>
    <w:p>
      <w:pPr>
        <w:pStyle w:val="Compact"/>
        <w:numPr>
          <w:ilvl w:val="0"/>
          <w:numId w:val="1010"/>
        </w:numPr>
      </w:pPr>
      <w:r>
        <w:t xml:space="preserve">Mandatory functionality</w:t>
      </w:r>
    </w:p>
    <w:p>
      <w:pPr>
        <w:pStyle w:val="Compact"/>
        <w:numPr>
          <w:ilvl w:val="0"/>
          <w:numId w:val="1010"/>
        </w:numPr>
      </w:pPr>
      <w:r>
        <w:t xml:space="preserve">Clear separation of responsibilities</w:t>
      </w:r>
    </w:p>
    <w:p>
      <w:pPr>
        <w:pStyle w:val="Compact"/>
        <w:numPr>
          <w:ilvl w:val="0"/>
          <w:numId w:val="1010"/>
        </w:numPr>
      </w:pPr>
      <w:r>
        <w:t xml:space="preserve">Minimal infrastructure</w:t>
      </w:r>
    </w:p>
    <w:p>
      <w:pPr>
        <w:pStyle w:val="Compact"/>
        <w:numPr>
          <w:ilvl w:val="0"/>
          <w:numId w:val="1010"/>
        </w:numPr>
      </w:pPr>
      <w:r>
        <w:t xml:space="preserve">Security</w:t>
      </w:r>
    </w:p>
    <w:p>
      <w:pPr>
        <w:pStyle w:val="Compact"/>
        <w:numPr>
          <w:ilvl w:val="0"/>
          <w:numId w:val="1010"/>
        </w:numPr>
      </w:pPr>
      <w:r>
        <w:t xml:space="preserve">Easy local development</w:t>
      </w:r>
    </w:p>
    <w:p>
      <w:pPr>
        <w:pStyle w:val="Compact"/>
        <w:numPr>
          <w:ilvl w:val="0"/>
          <w:numId w:val="1010"/>
        </w:numPr>
      </w:pPr>
      <w:r>
        <w:t xml:space="preserve">Easy deployment</w:t>
      </w:r>
    </w:p>
    <w:p>
      <w:pPr>
        <w:pStyle w:val="Compact"/>
        <w:numPr>
          <w:ilvl w:val="0"/>
          <w:numId w:val="1010"/>
        </w:numPr>
      </w:pPr>
      <w:r>
        <w:t xml:space="preserve">Easy explanation during assessment</w:t>
      </w:r>
    </w:p>
    <w:p>
      <w:pPr>
        <w:pStyle w:val="Compact"/>
        <w:numPr>
          <w:ilvl w:val="0"/>
          <w:numId w:val="1010"/>
        </w:numPr>
      </w:pPr>
      <w:r>
        <w:t xml:space="preserve">Maintainability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