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rPr/>
      </w:pPr>
      <w:bookmarkStart w:id="0" w:name="_Toc75173042"/>
      <w:bookmarkStart w:id="1" w:name="_Toc75173151"/>
      <w:bookmarkStart w:id="2" w:name="_Toc75173985"/>
      <w:bookmarkStart w:id="3" w:name="_Toc75165432"/>
      <w:r>
        <w:rPr/>
        <w:t xml:space="preserve">7.2.2 </w:t>
      </w:r>
      <w:bookmarkStart w:id="4" w:name="_Toc73977793"/>
      <w:bookmarkStart w:id="5" w:name="_Toc74064154"/>
      <w:r>
        <w:rPr/>
        <w:t xml:space="preserve">Установка VMware </w:t>
      </w:r>
      <w:bookmarkStart w:id="6" w:name="__DdeLink__23675_3845255091"/>
      <w:r>
        <w:rPr/>
        <w:t>ESXi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Normal"/>
        <w:spacing w:before="0" w:after="160"/>
        <w:rPr>
          <w:bCs/>
        </w:rPr>
      </w:pPr>
      <w:r>
        <w:rPr>
          <w:bCs/>
        </w:rPr>
        <w:t xml:space="preserve">Вы можете запустить сценарий установки или обновления если вам может потребоваться указать параметры для доступа к файлу кикстарта нажав сочетание клавиш Shift + O. </w:t>
        <w:br/>
        <w:t>Нажав ENTER или дождаться автоматической загрузки дистрибутива продолжиться процесс установки.</w:t>
        <w:br/>
        <w:t>На втором этапе вам еще раз будет предложенное проверить характеристики своего сервера на совместимость что является очень важным шагом так как в некоторых случаях может понадобиться собирать не авторизованной бандел для совместимости и корректной работы всех компонентов</w:t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731510" cy="3571875"/>
            <wp:effectExtent l="0" t="0" r="0" b="0"/>
            <wp:docPr id="1" name="Рисунок 2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8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  <w:t>На третьем этапе вам предлагают ознакомится с лицензионным соглашением компании VMware</w:t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940425" cy="344741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  <w:t>На четвертом шаге начнется этап сканирования доступных девайсов для установки VMware ESXi</w:t>
      </w:r>
    </w:p>
    <w:p>
      <w:pPr>
        <w:pStyle w:val="Normal"/>
        <w:rPr>
          <w:bCs/>
        </w:rPr>
      </w:pPr>
      <w:r>
        <w:rPr>
          <w:bCs/>
        </w:rPr>
        <w:t>На сегодняшней день компания VMware поддерживает огромное количество способов установки дистребутива на разные носители</w:t>
      </w:r>
    </w:p>
    <w:p>
      <w:pPr>
        <w:pStyle w:val="Normal"/>
        <w:rPr>
          <w:bCs/>
        </w:rPr>
      </w:pPr>
      <w:r>
        <w:rPr>
          <w:bCs/>
        </w:rPr>
        <w:t>На виртуальном стенде подключен диск размером 20 GB для комфортной работы на котором будет располагаться только разделы отвечающие за работу ESXi</w:t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940425" cy="3973830"/>
            <wp:effectExtent l="0" t="0" r="0" b="0"/>
            <wp:docPr id="3" name="Рисунок 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  <w:t>Также предлагается выбор раскладки для ввода с клавиатуры и Необходимо указать пароль от пользователя root он должен быть крипто стойкий и отвечать требованием безопасности</w:t>
      </w:r>
    </w:p>
    <w:p>
      <w:pPr>
        <w:pStyle w:val="Normal"/>
        <w:rPr>
          <w:bCs/>
        </w:rPr>
      </w:pPr>
      <w:r>
        <w:rPr>
          <w:bCs/>
        </w:rPr>
        <w:t>Пароли ESXi</w:t>
      </w:r>
    </w:p>
    <w:p>
      <w:pPr>
        <w:pStyle w:val="Normal"/>
        <w:rPr>
          <w:bCs/>
        </w:rPr>
      </w:pPr>
      <w:r>
        <w:rPr>
          <w:bCs/>
        </w:rPr>
        <w:t>ESXi применяет требования к паролю для доступа из прямого пользовательского интерфейса консоли, оболочки ESXi, SSH или клиента хоста VMware .</w:t>
      </w:r>
    </w:p>
    <w:p>
      <w:pPr>
        <w:pStyle w:val="Normal"/>
        <w:rPr>
          <w:bCs/>
        </w:rPr>
      </w:pPr>
      <w:r>
        <w:rPr>
          <w:bCs/>
        </w:rPr>
        <w:t>По умолчанию при создании пароля вы должны включать сочетание символов из четырех классов символов: строчные буквы, прописные буквы, цифры и специальные символы, такие как подчеркивание или тире.</w:t>
      </w:r>
    </w:p>
    <w:p>
      <w:pPr>
        <w:pStyle w:val="Normal"/>
        <w:rPr>
          <w:bCs/>
        </w:rPr>
      </w:pPr>
      <w:r>
        <w:rPr>
          <w:bCs/>
        </w:rPr>
        <w:t>По умолчанию длина пароля больше 7 и меньше 40.</w:t>
      </w:r>
    </w:p>
    <w:p>
      <w:pPr>
        <w:pStyle w:val="Normal"/>
        <w:rPr>
          <w:bCs/>
        </w:rPr>
      </w:pPr>
      <w:r>
        <w:rPr>
          <w:bCs/>
        </w:rPr>
        <w:t>Пароли не могут содержать словарное слово или часть словарного слова.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0425" cy="3550920"/>
            <wp:effectExtent l="0" t="0" r="0" b="0"/>
            <wp:docPr id="4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Вы можете вернуться к предыдущем шагам что бы убедиться в достоверности или продолжить процесс установки Процесс установки занимает несколько минут и зависит от скорости носителя на который идет установка</w:t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940425" cy="4252595"/>
            <wp:effectExtent l="0" t="0" r="0" b="0"/>
            <wp:docPr id="5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После процесса установки необходимо совершить перезагрузку</w:t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940425" cy="3867150"/>
            <wp:effectExtent l="0" t="0" r="0" b="0"/>
            <wp:docPr id="6" name="Рисунок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Heading3"/>
        <w:rPr/>
      </w:pPr>
      <w:bookmarkStart w:id="7" w:name="_Toc74064155"/>
      <w:bookmarkStart w:id="8" w:name="_Toc75165433"/>
      <w:bookmarkStart w:id="9" w:name="_Toc75173043"/>
      <w:bookmarkStart w:id="10" w:name="_Toc75173152"/>
      <w:bookmarkStart w:id="11" w:name="_Toc75173986"/>
      <w:bookmarkStart w:id="12" w:name="_Toc73977794"/>
      <w:r>
        <w:rPr/>
        <w:t>7.2.3 Базовая конфигурация</w:t>
      </w:r>
      <w:bookmarkEnd w:id="7"/>
      <w:bookmarkEnd w:id="8"/>
      <w:bookmarkEnd w:id="9"/>
      <w:bookmarkEnd w:id="10"/>
      <w:bookmarkEnd w:id="11"/>
      <w:bookmarkEnd w:id="12"/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После загрузки вы увидите желто серый экран DCUI — Direct Console User Interface в котором мы продолжим базовую конфигурацию хоста ESXi</w:t>
      </w:r>
    </w:p>
    <w:p>
      <w:pPr>
        <w:pStyle w:val="Normal"/>
        <w:rPr/>
      </w:pPr>
      <w:r>
        <w:rPr/>
        <w:drawing>
          <wp:inline distT="0" distB="0" distL="0" distR="0">
            <wp:extent cx="5940425" cy="4408170"/>
            <wp:effectExtent l="0" t="0" r="0" b="0"/>
            <wp:docPr id="7" name="Рисунок 2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9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В DCUI изначально перейдем в настройки конфигурации сети управления</w:t>
      </w:r>
    </w:p>
    <w:p>
      <w:pPr>
        <w:pStyle w:val="Normal"/>
        <w:rPr/>
      </w:pPr>
      <w:r>
        <w:rPr/>
        <w:drawing>
          <wp:inline distT="0" distB="0" distL="0" distR="0">
            <wp:extent cx="5940425" cy="4374515"/>
            <wp:effectExtent l="0" t="0" r="0" b="0"/>
            <wp:docPr id="8" name="Рисунок 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9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Есть возможность выбора менеджмент адаптера, VLAN и протоколов TCP/IP</w:t>
      </w:r>
    </w:p>
    <w:p>
      <w:pPr>
        <w:pStyle w:val="Normal"/>
        <w:rPr/>
      </w:pPr>
      <w:r>
        <w:rPr/>
        <w:drawing>
          <wp:inline distT="0" distB="0" distL="0" distR="0">
            <wp:extent cx="5940425" cy="4350385"/>
            <wp:effectExtent l="0" t="0" r="0" b="0"/>
            <wp:docPr id="9" name="Рисунок 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9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Cs/>
        </w:rPr>
      </w:pPr>
      <w:r>
        <w:rPr>
          <w:bCs/>
        </w:rPr>
        <w:t>Назначим статический IP адрес по протоколу IPv4</w:t>
      </w:r>
    </w:p>
    <w:p>
      <w:pPr>
        <w:pStyle w:val="Normal"/>
        <w:rPr/>
      </w:pPr>
      <w:r>
        <w:rPr/>
        <w:drawing>
          <wp:inline distT="0" distB="0" distL="0" distR="0">
            <wp:extent cx="5940425" cy="3840480"/>
            <wp:effectExtent l="0" t="0" r="0" b="0"/>
            <wp:docPr id="10" name="Рисунок 1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6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Отключим получение по протоколу IPv6</w:t>
      </w:r>
    </w:p>
    <w:p>
      <w:pPr>
        <w:pStyle w:val="Normal"/>
        <w:rPr/>
      </w:pPr>
      <w:r>
        <w:rPr/>
        <w:drawing>
          <wp:inline distT="0" distB="0" distL="0" distR="0">
            <wp:extent cx="5940425" cy="4366895"/>
            <wp:effectExtent l="0" t="0" r="0" b="0"/>
            <wp:docPr id="11" name="Рисунок 2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9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Cs/>
        </w:rPr>
      </w:pPr>
      <w:r>
        <w:rPr>
          <w:bCs/>
        </w:rPr>
        <w:t>Назначим статическое имя для хоста ESXi и укажем DNS сервер</w:t>
      </w:r>
    </w:p>
    <w:p>
      <w:pPr>
        <w:pStyle w:val="Normal"/>
        <w:rPr/>
      </w:pPr>
      <w:r>
        <w:rPr/>
        <w:drawing>
          <wp:inline distT="0" distB="0" distL="0" distR="0">
            <wp:extent cx="5940425" cy="4038600"/>
            <wp:effectExtent l="0" t="0" r="0" b="0"/>
            <wp:docPr id="12" name="Рисунок 2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9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 xml:space="preserve">После указание всех конфигураций хост необходимо перезагрузить что бы конфигурации вошли в силу </w:t>
      </w:r>
    </w:p>
    <w:p>
      <w:pPr>
        <w:pStyle w:val="Normal"/>
        <w:rPr/>
      </w:pPr>
      <w:r>
        <w:rPr/>
        <w:drawing>
          <wp:inline distT="0" distB="0" distL="0" distR="0">
            <wp:extent cx="5940425" cy="4318635"/>
            <wp:effectExtent l="0" t="0" r="0" b="0"/>
            <wp:docPr id="13" name="Рисунок 2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9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  <w:t xml:space="preserve">После перезагрузки есть несколько доступов к хосту ESXi такие как </w:t>
      </w:r>
    </w:p>
    <w:p>
      <w:pPr>
        <w:pStyle w:val="Normal"/>
        <w:rPr>
          <w:bCs/>
        </w:rPr>
      </w:pPr>
      <w:r>
        <w:rPr>
          <w:bCs/>
        </w:rPr>
        <w:t>VMware Host Client - это клиент на основе HTML5, который используется для подключения и управления одним хостом ESXi.</w:t>
      </w:r>
    </w:p>
    <w:p>
      <w:pPr>
        <w:pStyle w:val="Normal"/>
        <w:rPr>
          <w:bCs/>
        </w:rPr>
      </w:pPr>
      <w:r>
        <w:rPr>
          <w:bCs/>
        </w:rPr>
        <w:t>Вы можете использовать VMware Host Client для выполнения административных и основных задач по устранению неполадок, и расширенные административные задачи на вашем целевом хосте ESXi. Вы также можете использовать VMware Host</w:t>
      </w:r>
    </w:p>
    <w:p>
      <w:pPr>
        <w:pStyle w:val="Normal"/>
        <w:rPr>
          <w:bCs/>
        </w:rPr>
      </w:pPr>
      <w:r>
        <w:rPr>
          <w:bCs/>
        </w:rPr>
        <w:t>Функции VMware Host Client включают, следующие операции:</w:t>
      </w:r>
    </w:p>
    <w:p>
      <w:pPr>
        <w:pStyle w:val="Normal"/>
        <w:rPr>
          <w:bCs/>
        </w:rPr>
      </w:pPr>
      <w:r>
        <w:rPr>
          <w:bCs/>
        </w:rPr>
        <w:t>Базовые операции виртуализации, такие как развертывание и настройка виртуальных машин различных сложность</w:t>
      </w:r>
    </w:p>
    <w:p>
      <w:pPr>
        <w:pStyle w:val="Normal"/>
        <w:rPr>
          <w:bCs/>
        </w:rPr>
      </w:pPr>
      <w:r>
        <w:rPr>
          <w:bCs/>
        </w:rPr>
        <w:t>Создание и управление сетями и хранилищами данных</w:t>
      </w:r>
    </w:p>
    <w:p>
      <w:pPr>
        <w:pStyle w:val="Normal"/>
        <w:rPr>
          <w:bCs/>
        </w:rPr>
      </w:pPr>
      <w:r>
        <w:rPr>
          <w:bCs/>
        </w:rPr>
        <w:t>Расширенная настройка параметров уровня хоста для повышения производительности</w:t>
      </w:r>
    </w:p>
    <w:p>
      <w:pPr>
        <w:pStyle w:val="Normal"/>
        <w:rPr>
          <w:bCs/>
        </w:rPr>
      </w:pPr>
      <w:r>
        <w:rPr>
          <w:bCs/>
        </w:rPr>
        <w:t>Следующие гостевые операционные системы и версии веб-браузеров поддерживаются для VMware.</w:t>
      </w:r>
    </w:p>
    <w:p>
      <w:pPr>
        <w:pStyle w:val="Normal"/>
        <w:rPr/>
      </w:pPr>
      <w:r>
        <w:rPr/>
        <w:drawing>
          <wp:inline distT="0" distB="0" distL="0" distR="0">
            <wp:extent cx="5936615" cy="1249680"/>
            <wp:effectExtent l="0" t="0" r="0" b="0"/>
            <wp:docPr id="14" name="Рисунок 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9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13" w:name="_Toc75165434"/>
      <w:bookmarkStart w:id="14" w:name="_Toc75173044"/>
      <w:bookmarkStart w:id="15" w:name="_Toc75173153"/>
      <w:bookmarkStart w:id="16" w:name="_Toc75173987"/>
      <w:bookmarkStart w:id="17" w:name="_Toc74064156"/>
      <w:r>
        <w:rPr/>
        <w:t>7.2.4 Управление средством виртуализации</w:t>
      </w:r>
      <w:bookmarkEnd w:id="13"/>
      <w:bookmarkEnd w:id="14"/>
      <w:bookmarkEnd w:id="15"/>
      <w:bookmarkEnd w:id="16"/>
      <w:bookmarkEnd w:id="17"/>
    </w:p>
    <w:p>
      <w:pPr>
        <w:pStyle w:val="Normal"/>
        <w:rPr/>
      </w:pPr>
      <w:r>
        <w:rPr>
          <w:bCs/>
        </w:rPr>
        <w:t xml:space="preserve">Используя клиентскую машину для администрирование в веб браузере вводим </w:t>
      </w:r>
      <w:r>
        <w:rPr>
          <w:bCs/>
          <w:lang w:val="en-US"/>
        </w:rPr>
        <w:t>FQDN</w:t>
      </w:r>
      <w:r>
        <w:rPr>
          <w:bCs/>
        </w:rPr>
        <w:t xml:space="preserve"> хоста </w:t>
      </w:r>
      <w:r>
        <w:rPr>
          <w:bCs/>
          <w:lang w:val="en-US"/>
        </w:rPr>
        <w:t>ESXi</w:t>
      </w:r>
      <w:r>
        <w:rPr>
          <w:bCs/>
        </w:rPr>
        <w:t xml:space="preserve"> на что увидим сообщение что используемый сертификат не находиться в доверенных</w:t>
      </w:r>
    </w:p>
    <w:p>
      <w:pPr>
        <w:pStyle w:val="Normal"/>
        <w:rPr/>
      </w:pPr>
      <w:r>
        <w:rPr/>
        <w:drawing>
          <wp:inline distT="0" distB="0" distL="0" distR="0">
            <wp:extent cx="5940425" cy="3680460"/>
            <wp:effectExtent l="0" t="0" r="0" b="0"/>
            <wp:docPr id="15" name="Рисунок 2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9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Cs/>
        </w:rPr>
      </w:pPr>
      <w:r>
        <w:rPr>
          <w:bCs/>
        </w:rPr>
        <w:t xml:space="preserve">Для аутентификации используем логин и пароль при установки </w:t>
      </w:r>
    </w:p>
    <w:p>
      <w:pPr>
        <w:pStyle w:val="Normal"/>
        <w:rPr/>
      </w:pPr>
      <w:r>
        <w:rPr/>
        <w:drawing>
          <wp:inline distT="0" distB="0" distL="0" distR="0">
            <wp:extent cx="5940425" cy="3916680"/>
            <wp:effectExtent l="0" t="0" r="0" b="0"/>
            <wp:docPr id="16" name="Рисунок 2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9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>
          <w:bCs/>
        </w:rPr>
      </w:pPr>
      <w:r>
        <w:rPr>
          <w:bCs/>
        </w:rPr>
        <w:t>Настройка NTP на хосте ESXi</w:t>
      </w:r>
    </w:p>
    <w:p>
      <w:pPr>
        <w:pStyle w:val="Normal"/>
        <w:rPr/>
      </w:pPr>
      <w:r>
        <w:rPr/>
        <w:drawing>
          <wp:inline distT="0" distB="0" distL="0" distR="0">
            <wp:extent cx="5940425" cy="4251960"/>
            <wp:effectExtent l="0" t="0" r="0" b="0"/>
            <wp:docPr id="17" name="Рисунок 2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9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bCs/>
        </w:rPr>
      </w:pPr>
      <w:r>
        <w:rPr>
          <w:bCs/>
        </w:rPr>
        <w:t>Сконфигурируем что бы время забиралось с контролера домена который мы развернули ранее обратим внимание что Для коррекции времени, изменении часового пояса доступно только в биосе.</w:t>
      </w:r>
    </w:p>
    <w:p>
      <w:pPr>
        <w:pStyle w:val="Normal"/>
        <w:rPr/>
      </w:pPr>
      <w:r>
        <w:rPr/>
        <w:drawing>
          <wp:inline distT="0" distB="0" distL="0" distR="0">
            <wp:extent cx="5940425" cy="4175760"/>
            <wp:effectExtent l="0" t="0" r="0" b="0"/>
            <wp:docPr id="18" name="Рисунок 3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0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>
          <w:bCs/>
        </w:rPr>
      </w:pPr>
      <w:r>
        <w:rPr>
          <w:bCs/>
        </w:rPr>
        <w:t xml:space="preserve">После конфигурации хоста необходимо включить сервис NTP </w:t>
      </w:r>
    </w:p>
    <w:p>
      <w:pPr>
        <w:pStyle w:val="Normal"/>
        <w:rPr/>
      </w:pPr>
      <w:r>
        <w:rPr/>
        <w:drawing>
          <wp:inline distT="0" distB="0" distL="0" distR="0">
            <wp:extent cx="5940425" cy="3672840"/>
            <wp:effectExtent l="0" t="0" r="0" b="0"/>
            <wp:docPr id="19" name="Рисунок 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0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Arial" w:hAnsi="Arial" w:eastAsia="Calibri" w:cs="DejaVu Sans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 LibreOffice_project/20$Build-2</Application>
  <Pages>13</Pages>
  <Words>510</Words>
  <Characters>3261</Characters>
  <CharactersWithSpaces>3742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2021-06-26T19:40:04Z</dcterms:created>
  <dc:creator/>
  <dc:description/>
  <dc:language>ru-RU</dc:language>
  <cp:lastModifiedBy/>
  <dcterms:modified xsi:type="dcterms:W3CDTF">2021-06-26T19:41:10Z</dcterms:modified>
  <cp:revision>1</cp:revision>
  <dc:subject/>
  <dc:title/>
</cp:coreProperties>
</file>