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4"/>
        <w:gridCol w:w="2521"/>
        <w:gridCol w:w="90"/>
        <w:gridCol w:w="2271"/>
        <w:tblGridChange w:id="0">
          <w:tblGrid>
            <w:gridCol w:w="4694"/>
            <w:gridCol w:w="2521"/>
            <w:gridCol w:w="90"/>
            <w:gridCol w:w="2271"/>
          </w:tblGrid>
        </w:tblGridChange>
      </w:tblGrid>
      <w:tr>
        <w:tc>
          <w:tcPr>
            <w:gridSpan w:val="4"/>
            <w:tcBorders>
              <w:top w:color="ffffff" w:space="0" w:sz="4" w:val="single"/>
              <w:left w:color="ffffff" w:space="0" w:sz="6" w:val="single"/>
              <w:right w:color="ffffff"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NO. __________</w:t>
            </w:r>
            <w:r w:rsidDel="00000000" w:rsidR="00000000" w:rsidRPr="00000000">
              <w:rPr>
                <w:rFonts w:ascii="Times New Roman" w:cs="Times New Roman" w:eastAsia="Times New Roman" w:hAnsi="Times New Roman"/>
                <w:sz w:val="24"/>
                <w:szCs w:val="24"/>
                <w:rtl w:val="0"/>
              </w:rPr>
              <w:t xml:space="preserve">1337</w:t>
            </w:r>
            <w:r w:rsidDel="00000000" w:rsidR="00000000" w:rsidRPr="00000000">
              <w:rPr>
                <w:rFonts w:ascii="Times New Roman" w:cs="Times New Roman" w:eastAsia="Times New Roman" w:hAnsi="Times New Roman"/>
                <w:sz w:val="24"/>
                <w:szCs w:val="24"/>
                <w:vertAlign w:val="baseline"/>
                <w:rtl w:val="0"/>
              </w:rPr>
              <w:t xml:space="preserve">____________</w:t>
            </w:r>
            <w:r w:rsidDel="00000000" w:rsidR="00000000" w:rsidRPr="00000000">
              <w:rPr>
                <w:rtl w:val="0"/>
              </w:rPr>
            </w:r>
          </w:p>
        </w:tc>
      </w:tr>
      <w:tr>
        <w:tc>
          <w:tcPr>
            <w:tcBorders>
              <w:top w:color="ffffff" w:space="0" w:sz="6" w:val="single"/>
              <w:left w:color="ffffff" w:space="0" w:sz="6" w:val="single"/>
              <w:bottom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CASE NO.           </w:t>
            </w:r>
            <w:r w:rsidDel="00000000" w:rsidR="00000000" w:rsidRPr="00000000">
              <w:rPr>
                <w:rtl w:val="0"/>
              </w:rPr>
            </w:r>
          </w:p>
        </w:tc>
        <w:tc>
          <w:tcPr>
            <w:gridSpan w:val="3"/>
            <w:tcBorders>
              <w:top w:color="ffffff" w:space="0" w:sz="6" w:val="single"/>
              <w:left w:color="000000" w:space="0" w:sz="6" w:val="single"/>
              <w:bottom w:color="ffffff"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                           IN THE DISTRICT COURT</w:t>
            </w:r>
            <w:r w:rsidDel="00000000" w:rsidR="00000000" w:rsidRPr="00000000">
              <w:rPr>
                <w:rtl w:val="0"/>
              </w:rPr>
            </w:r>
          </w:p>
        </w:tc>
      </w:tr>
      <w:tr>
        <w:trPr>
          <w:trHeight w:val="280" w:hRule="atLeast"/>
        </w:trPr>
        <w:tc>
          <w:tcPr>
            <w:tcBorders>
              <w:top w:color="ffffff" w:space="0" w:sz="6" w:val="single"/>
              <w:left w:color="ffffff" w:space="0" w:sz="6" w:val="single"/>
              <w:bottom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ffffff" w:space="0" w:sz="6" w:val="single"/>
              <w:left w:color="000000" w:space="0" w:sz="6" w:val="single"/>
              <w:bottom w:color="ffffff"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36th Judicial District</w:t>
            </w:r>
            <w:r w:rsidDel="00000000" w:rsidR="00000000" w:rsidRPr="00000000">
              <w:rPr>
                <w:rtl w:val="0"/>
              </w:rPr>
            </w:r>
          </w:p>
        </w:tc>
      </w:tr>
      <w:tr>
        <w:tc>
          <w:tcPr>
            <w:tcBorders>
              <w:top w:color="ffffff" w:space="0" w:sz="6" w:val="single"/>
              <w:left w:color="ffffff" w:space="0" w:sz="6" w:val="single"/>
              <w:bottom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1337</w:t>
            </w:r>
            <w:r w:rsidDel="00000000" w:rsidR="00000000" w:rsidRPr="00000000">
              <w:rPr>
                <w:rtl w:val="0"/>
              </w:rPr>
            </w:r>
          </w:p>
        </w:tc>
        <w:tc>
          <w:tcPr>
            <w:gridSpan w:val="3"/>
            <w:tcBorders>
              <w:top w:color="ffffff" w:space="0" w:sz="6" w:val="single"/>
              <w:left w:color="000000"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421 Madison Avenue, Detroit, MI 48226</w:t>
            </w:r>
            <w:r w:rsidDel="00000000" w:rsidR="00000000" w:rsidRPr="00000000">
              <w:rPr>
                <w:rtl w:val="0"/>
              </w:rPr>
            </w:r>
          </w:p>
        </w:tc>
      </w:tr>
      <w:tr>
        <w:tc>
          <w:tcPr>
            <w:tcBorders>
              <w:top w:color="ffffff" w:space="0" w:sz="6" w:val="single"/>
              <w:left w:color="ffffff"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6" w:val="single"/>
              <w:left w:color="000000"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vertAlign w:val="baseline"/>
                <w:rtl w:val="0"/>
              </w:rPr>
              <w:t xml:space="preserve">JUDICIAL DISTRICT</w:t>
            </w:r>
            <w:r w:rsidDel="00000000" w:rsidR="00000000" w:rsidRPr="00000000">
              <w:rPr>
                <w:rtl w:val="0"/>
              </w:rPr>
            </w:r>
          </w:p>
        </w:tc>
      </w:tr>
      <w:tr>
        <w:trPr>
          <w:trHeight w:val="220" w:hRule="atLeast"/>
        </w:trPr>
        <w:tc>
          <w:tcPr>
            <w:tcBorders>
              <w:top w:color="000000" w:space="0" w:sz="6" w:val="single"/>
              <w:left w:color="ffffff" w:space="0" w:sz="6" w:val="single"/>
              <w:bottom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left w:color="000000" w:space="0" w:sz="6" w:val="single"/>
              <w:bottom w:color="ffffff"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ffffff" w:space="0" w:sz="6" w:val="single"/>
              <w:left w:color="ffffff" w:space="0" w:sz="6" w:val="single"/>
              <w:bottom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IN THE MATTER OF</w:t>
            </w:r>
            <w:r w:rsidDel="00000000" w:rsidR="00000000" w:rsidRPr="00000000">
              <w:rPr>
                <w:rtl w:val="0"/>
              </w:rPr>
            </w:r>
          </w:p>
        </w:tc>
        <w:tc>
          <w:tcPr>
            <w:gridSpan w:val="3"/>
            <w:tcBorders>
              <w:top w:color="ffffff" w:space="0" w:sz="6" w:val="single"/>
              <w:left w:color="000000" w:space="0" w:sz="6" w:val="single"/>
              <w:bottom w:color="ffffff"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ffffff" w:space="0" w:sz="6" w:val="single"/>
              <w:left w:color="ffffff" w:space="0" w:sz="6" w:val="single"/>
              <w:bottom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ffffff" w:space="0" w:sz="6" w:val="single"/>
              <w:left w:color="000000"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ffffff" w:space="0" w:sz="6" w:val="single"/>
              <w:left w:color="ffffff"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DHS INVESTIGATION OF REMOTE AUTOMOBILE DISSABILITY AND PUBLIC TRANSIT DISSABILITY IN THE WASHINGTON, D,C, METRO AREA ON 6/24/16</w:t>
            </w:r>
            <w:r w:rsidDel="00000000" w:rsidR="00000000" w:rsidRPr="00000000">
              <w:rPr>
                <w:rtl w:val="0"/>
              </w:rPr>
            </w:r>
          </w:p>
        </w:tc>
        <w:tc>
          <w:tcPr>
            <w:gridSpan w:val="2"/>
            <w:tcBorders>
              <w:top w:color="ffffff" w:space="0" w:sz="6" w:val="single"/>
              <w:left w:color="000000"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highlight w:val="yellow"/>
                <w:rtl w:val="0"/>
              </w:rPr>
              <w:t xml:space="preserve">Wayne County</w:t>
            </w:r>
            <w:r w:rsidDel="00000000" w:rsidR="00000000" w:rsidRPr="00000000">
              <w:rPr>
                <w:rFonts w:ascii="Times New Roman" w:cs="Times New Roman" w:eastAsia="Times New Roman" w:hAnsi="Times New Roman"/>
                <w:b w:val="1"/>
                <w:sz w:val="24"/>
                <w:szCs w:val="24"/>
                <w:highlight w:val="yellow"/>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MI</w:t>
            </w: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SEARCH WARRANT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2"/>
        <w:bidi w:val="0"/>
        <w:tblW w:w="9576.0" w:type="dxa"/>
        <w:jc w:val="left"/>
        <w:tblInd w:w="-108.0" w:type="dxa"/>
        <w:tblLayout w:type="fixed"/>
        <w:tblLook w:val="0000"/>
      </w:tblPr>
      <w:tblGrid>
        <w:gridCol w:w="4338"/>
        <w:gridCol w:w="3420"/>
        <w:gridCol w:w="456"/>
        <w:gridCol w:w="1362"/>
        <w:tblGridChange w:id="0">
          <w:tblGrid>
            <w:gridCol w:w="4338"/>
            <w:gridCol w:w="3420"/>
            <w:gridCol w:w="456"/>
            <w:gridCol w:w="136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Affidavits having been made before me by </w:t>
            </w:r>
          </w:p>
        </w:tc>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DHS Agent Max Johnson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on</w:t>
            </w:r>
          </w:p>
        </w:tc>
        <w:tc>
          <w:tcPr>
            <w:tcBorders>
              <w:bottom w:color="000000" w:space="0" w:sz="4" w:val="single"/>
            </w:tcBorders>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6/24/16</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 have witnessed ample evidence to believe that the person or property described as: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9558.0" w:type="dxa"/>
        <w:jc w:val="left"/>
        <w:tblInd w:w="-108.0" w:type="dxa"/>
        <w:tblLayout w:type="fixed"/>
        <w:tblLook w:val="0000"/>
      </w:tblPr>
      <w:tblGrid>
        <w:gridCol w:w="9558"/>
        <w:tblGridChange w:id="0">
          <w:tblGrid>
            <w:gridCol w:w="9558"/>
          </w:tblGrid>
        </w:tblGridChange>
      </w:tblGrid>
      <w:tr>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George Bronson</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9558.0" w:type="dxa"/>
        <w:jc w:val="left"/>
        <w:tblInd w:w="-108.0" w:type="dxa"/>
        <w:tblLayout w:type="fixed"/>
        <w:tblLook w:val="0000"/>
      </w:tblPr>
      <w:tblGrid>
        <w:gridCol w:w="4788"/>
        <w:gridCol w:w="4770"/>
        <w:tblGridChange w:id="0">
          <w:tblGrid>
            <w:gridCol w:w="4788"/>
            <w:gridCol w:w="477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is concealing the following person or property:</w:t>
            </w:r>
          </w:p>
        </w:tc>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Electronic transmissions of information, data, communications, control signals, and the like related to or in conjunction with plans, events, actions, and conspriracy pertaining to the events of June 24, 2016 in Washington, District of Columbia wherein multiple vehicle related accidents and metro transmit system shutdown occurred. </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5"/>
        <w:bidi w:val="0"/>
        <w:tblW w:w="9558.0" w:type="dxa"/>
        <w:jc w:val="left"/>
        <w:tblInd w:w="-108.0" w:type="dxa"/>
        <w:tblLayout w:type="fixed"/>
        <w:tblLook w:val="0000"/>
      </w:tblPr>
      <w:tblGrid>
        <w:gridCol w:w="2268"/>
        <w:gridCol w:w="3645"/>
        <w:gridCol w:w="3645"/>
        <w:tblGridChange w:id="0">
          <w:tblGrid>
            <w:gridCol w:w="2268"/>
            <w:gridCol w:w="3645"/>
            <w:gridCol w:w="3645"/>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 therefore authorize</w:t>
            </w:r>
          </w:p>
        </w:tc>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DHS Agent Max Johnson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and any fellow officers of the law</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in the United States of America to carry out the following orders: to retrieve</w:t>
      </w:r>
      <w:r w:rsidDel="00000000" w:rsidR="00000000" w:rsidRPr="00000000">
        <w:rPr>
          <w:rFonts w:ascii="Times New Roman" w:cs="Times New Roman" w:eastAsia="Times New Roman" w:hAnsi="Times New Roman"/>
          <w:sz w:val="24"/>
          <w:szCs w:val="24"/>
          <w:rtl w:val="0"/>
        </w:rPr>
        <w:t xml:space="preserve"> all electronic information: transmissions, logs, and diagnostics from the Tor account host named “dao” indentified with exit IP address 178.57.66.190. located in or about Detroit, Michigan.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You are hereby commanded to search the designated person or property described above on the </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9648.0" w:type="dxa"/>
        <w:jc w:val="left"/>
        <w:tblInd w:w="-108.0" w:type="dxa"/>
        <w:tblLayout w:type="fixed"/>
        <w:tblLook w:val="0000"/>
      </w:tblPr>
      <w:tblGrid>
        <w:gridCol w:w="918"/>
        <w:gridCol w:w="2727"/>
        <w:gridCol w:w="6003"/>
        <w:tblGridChange w:id="0">
          <w:tblGrid>
            <w:gridCol w:w="918"/>
            <w:gridCol w:w="2727"/>
            <w:gridCol w:w="6003"/>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day of</w:t>
            </w:r>
          </w:p>
        </w:tc>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or before. After that date, this warrant will expire. Search</w:t>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7"/>
        <w:bidi w:val="0"/>
        <w:tblW w:w="9738.0" w:type="dxa"/>
        <w:jc w:val="left"/>
        <w:tblInd w:w="-108.0" w:type="dxa"/>
        <w:tblLayout w:type="fixed"/>
        <w:tblLook w:val="0000"/>
      </w:tblPr>
      <w:tblGrid>
        <w:gridCol w:w="2538"/>
        <w:gridCol w:w="3375"/>
        <w:gridCol w:w="3825"/>
        <w:tblGridChange w:id="0">
          <w:tblGrid>
            <w:gridCol w:w="2538"/>
            <w:gridCol w:w="3375"/>
            <w:gridCol w:w="3825"/>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only during the time of</w:t>
            </w:r>
          </w:p>
        </w:tc>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keep a written inventory of all items</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removed from the person or place, and provide a receipt and a copy of this warrant for the person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from whom any items are taken.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4518.0" w:type="dxa"/>
        <w:jc w:val="left"/>
        <w:tblInd w:w="-108.0" w:type="dxa"/>
        <w:tblLayout w:type="fixed"/>
        <w:tblLook w:val="0000"/>
      </w:tblPr>
      <w:tblGrid>
        <w:gridCol w:w="1728"/>
        <w:gridCol w:w="2790"/>
        <w:tblGridChange w:id="0">
          <w:tblGrid>
            <w:gridCol w:w="1728"/>
            <w:gridCol w:w="2790"/>
          </w:tblGrid>
        </w:tblGridChange>
      </w:tblGrid>
      <w:tr>
        <w:trPr>
          <w:trHeight w:val="28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Dated this day, </w:t>
            </w:r>
          </w:p>
        </w:tc>
        <w:tc>
          <w:tcPr>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4518.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518"/>
        <w:tblGridChange w:id="0">
          <w:tblGrid>
            <w:gridCol w:w="4518"/>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Judge’s Signature</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AFFIDAVIT IN SUPPORT OF SEARCH WARRANT APPLICATION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affidavit is in support of an application for a warrant authorizing DHS as described in the attached cover to provide law enformenct with any and all means of gaining access to the electronic transmissions of information, data, communications, control signals, and the like related to or in conjunction with plans, events, actions, and conspriracy pertaining to the events of June 24, 2016 in Washington, District of Columbia wherein multiple vehicle related accidents and metro transmit system shutdown occurred.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FACTUAL BACKGROUND</w:t>
      </w:r>
    </w:p>
    <w:p w:rsidR="00000000" w:rsidDel="00000000" w:rsidP="00000000" w:rsidRDefault="00000000" w:rsidRPr="00000000">
      <w:pPr>
        <w:spacing w:after="0" w:before="0" w:line="240" w:lineRule="auto"/>
        <w:ind w:firstLine="72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case involves GEORGE BRONSON as the primary subject of a federal probe into actions deemed to be cyber terrorism (</w:t>
      </w:r>
      <w:r w:rsidDel="00000000" w:rsidR="00000000" w:rsidRPr="00000000">
        <w:rPr>
          <w:rFonts w:ascii="Times New Roman" w:cs="Times New Roman" w:eastAsia="Times New Roman" w:hAnsi="Times New Roman"/>
          <w:color w:val="222222"/>
          <w:sz w:val="24"/>
          <w:szCs w:val="24"/>
          <w:highlight w:val="white"/>
          <w:rtl w:val="0"/>
        </w:rPr>
        <w:t xml:space="preserve">the politically motivated use of computers and information technology to cause severe disruption or widespread fear in society).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22222"/>
          <w:sz w:val="24"/>
          <w:szCs w:val="24"/>
          <w:highlight w:val="white"/>
          <w:rtl w:val="0"/>
        </w:rPr>
        <w:t xml:space="preserve">Mr. Bronson has an alleged history of computer/electronic device hacking activies. As a teenager, Mr. Bronson allegedly hacked the cellphone of Russian President, Mikhail Gorbachev. While a graduated student at Texas A&amp;M, Mr. Bronson allegedly hacked the CB systems of a string of Mack semi-trucks. He was allegedly able to manipulate the trucks through the CB systems. Mr. Bronson recieved the Prestige Innovators Award in 2000 for advancements in hacking car radio systems.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22222"/>
          <w:sz w:val="24"/>
          <w:szCs w:val="24"/>
          <w:highlight w:val="white"/>
          <w:rtl w:val="0"/>
        </w:rPr>
        <w:t xml:space="preserve">Mr. Bronson is currently an employee of General Motors as a OnStar core operations engineer. Mr. Bronson has access to the GM OnStar: system, technology, methods, capabilities, and controls.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Bronson is a self-proclaimed president of the Detroit chapter of RMCG (Real Men Carry Guns).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Bronson is in a long-term, romantic relationship with Chrissy Paxton, DC Metro ATO Automated System Engineer. Chrissy Paxton is currently in charge of network security for the ATO system. Chrissy Paxton is also a self-proclaimed gun rights advocate/second ammendment advocate who teaches concealed carry permit classes for women.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events of June 24, 2016 in Washington, D.C. have been determined by the NSA to have originated as communication: signals, data, and information via IP address 178.57.66.190 associated with a Tor server in the greater Detroit area. It is believed by DHS that this Tor server was used to obfuscate the purpretrator(s) IP address in order to mask their identity while performing willful and malicious activities.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experience and the experience of other agents who have investigated cyber security crimes involving Tor accounts, we have found that a lack of information related to the activites on the unobfuscated side of the Tor server have rendered investigations useless. We have reached the conclusion that this information is imparitve to locating the purpretrator of these heinous and deprorable acts of terror.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current political climate, it was thought by many that the recently proposed gun control legislation bill (HR #4269) would have a strong likelihood of passage considering the recent events in Orlando. It follows that Mr. Bronson and Ms. Paxton saw an opportunity to derail the legislation by postponing the senate vote and shifting the political climate against gun restrictions, given that this was a perceived terrorist attack by an enemy of the state such as: China, Russia, ISIS, or Iran.</w:t>
      </w:r>
      <w:r w:rsidDel="00000000" w:rsidR="00000000" w:rsidRPr="00000000">
        <w:rPr>
          <w:rtl w:val="0"/>
        </w:rPr>
      </w:r>
    </w:p>
    <w:sectPr>
      <w:pgSz w:h="15840" w:w="12240"/>
      <w:pgMar w:bottom="810" w:top="135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