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b/>
          <w:bCs/>
          <w:color w:val="1F4E79"/>
          <w:sz w:val="30"/>
          <w:szCs w:val="30"/>
        </w:rPr>
        <w:t xml:space="preserve">RESEARCH SUMMARY REPORT</w:t>
      </w:r>
    </w:p>
    <w:p>
      <w:pPr>
        <w:spacing w:after="20" w:before="0"/>
        <w:jc w:val="center"/>
      </w:pPr>
      <w:r>
        <w:rPr>
          <w:b/>
          <w:bCs/>
          <w:sz w:val="22"/>
          <w:szCs w:val="22"/>
        </w:rPr>
        <w:t xml:space="preserve">The Rising Price of Healthy Eating: Impact on Food Choices, Health &amp; Coping Strategies</w:t>
      </w:r>
    </w:p>
    <w:p>
      <w:pPr>
        <w:spacing w:after="60" w:before="0"/>
        <w:jc w:val="center"/>
      </w:pPr>
      <w:r>
        <w:rPr>
          <w:i/>
          <w:iCs/>
          <w:color w:val="666666"/>
          <w:sz w:val="18"/>
          <w:szCs w:val="18"/>
        </w:rPr>
        <w:t xml:space="preserve">N = 100  |  4-Point Likert Scale  |  48 Variables  |  June 2026</w:t>
      </w:r>
    </w:p>
    <w:p>
      <w:pPr>
        <w:pBdr>
          <w:bottom w:val="single" w:color="1F4E79" w:sz="6" w:space="1"/>
        </w:pBd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b/>
          <w:bCs/>
          <w:color w:val="1F4E79"/>
          <w:sz w:val="22"/>
          <w:szCs w:val="22"/>
        </w:rPr>
        <w:t xml:space="preserve">1. STUDY OVERVIEW</w:t>
      </w:r>
    </w:p>
    <w:p>
      <w:pPr>
        <w:spacing w:after="60" w:before="60"/>
        <w:jc w:val="both"/>
      </w:pPr>
      <w:r>
        <w:rPr>
          <w:color w:val="000000"/>
          <w:sz w:val="20"/>
          <w:szCs w:val="20"/>
        </w:rPr>
        <w:t xml:space="preserve">This study investigated how rising food prices affect the eating behaviour, health outcomes, and coping strategies of 100 respondents in Nigeria. Data were collected via a structured 38-item questionnaire spanning four constructs on a 4-point Likert scale (1 = Strongly Agree, 4 = Strongly Disagree). The sample was predominantly </w:t>
      </w:r>
      <w:r>
        <w:rPr>
          <w:b/>
          <w:bCs/>
          <w:color w:val="000000"/>
          <w:sz w:val="20"/>
          <w:szCs w:val="20"/>
        </w:rPr>
        <w:t xml:space="preserve">female (64%), young (55% aged 15–25), students (58%)</w:t>
      </w:r>
      <w:r>
        <w:rPr>
          <w:color w:val="000000"/>
          <w:sz w:val="20"/>
          <w:szCs w:val="20"/>
        </w:rPr>
        <w:t xml:space="preserve">, and single (76%), with a broad income distribution. All four constructs demonstrated adequate-to-good internal consistency (Cronbach's α: 0.774–0.877). The dataset contained no missing values.</w:t>
      </w:r>
    </w:p>
    <w:p>
      <w:pPr>
        <w:spacing w:after="40" w:before="40"/>
      </w:pPr>
      <w:r>
        <w:t xml:space="preserve"/>
      </w:r>
    </w:p>
    <w:p>
      <w:pPr>
        <w:spacing w:after="30" w:before="20"/>
      </w:pPr>
      <w:r>
        <w:rPr>
          <w:b/>
          <w:bCs/>
          <w:i/>
          <w:iCs/>
          <w:sz w:val="18"/>
          <w:szCs w:val="18"/>
        </w:rPr>
        <w:t xml:space="preserve">Table 1 — Construct Summary (N = 100, Scale: 1=SA → 4=SD)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450"/>
        <w:gridCol w:w="620"/>
        <w:gridCol w:w="620"/>
        <w:gridCol w:w="1000"/>
        <w:gridCol w:w="680"/>
        <w:gridCol w:w="3880"/>
      </w:tblGrid>
      <w:tr>
        <w:trPr>
          <w:tblHeader/>
        </w:trP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Construct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Items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α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vs Midpoint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Finding</w:t>
            </w:r>
          </w:p>
        </w:tc>
      </w:tr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Rising Cost of Healthy Food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0.774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1.634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Agree / Strongly Agree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p&lt;.001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Universal — no group differences</w:t>
            </w:r>
          </w:p>
        </w:tc>
      </w:tr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Food Choices &amp; Eating Patterns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0.871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2.218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Agree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p&lt;.001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Worse for females &amp; lower-income groups</w:t>
            </w:r>
          </w:p>
        </w:tc>
      </w:tr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Impact on Health &amp; Daily Life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0.877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2.010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Agree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p&lt;.001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Linked to diet disruption (r=0.687)</w:t>
            </w:r>
          </w:p>
        </w:tc>
      </w:tr>
      <w:tr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Coping Mechanisms During Food Crisis</w:t>
            </w:r>
          </w:p>
        </w:tc>
        <w:tc>
          <w:tcPr>
            <w:tcW w:type="dxa" w:w="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0.860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2.323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Agree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p&lt;.001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Strongly moderated by income (η²=0.173)</w:t>
            </w:r>
          </w:p>
        </w:tc>
      </w:tr>
    </w:tbl>
    <w:p>
      <w:pPr>
        <w:spacing w:after="60" w:before="30"/>
      </w:pPr>
      <w:r>
        <w:rPr>
          <w:i/>
          <w:iCs/>
          <w:color w:val="555555"/>
          <w:sz w:val="16"/>
          <w:szCs w:val="16"/>
        </w:rPr>
        <w:t xml:space="preserve">Note. Mean is the grand item mean. All constructs significantly below the neutral midpoint of 2.50 (all p &lt; .01).</w:t>
      </w:r>
    </w:p>
    <w:p>
      <w:pPr>
        <w:spacing w:after="40" w:before="40"/>
      </w:pPr>
      <w:r>
        <w:rPr>
          <w:b/>
          <w:bCs/>
          <w:color w:val="1F4E79"/>
          <w:sz w:val="22"/>
          <w:szCs w:val="22"/>
        </w:rPr>
        <w:t xml:space="preserve">2. KEY FINDINGS</w:t>
      </w:r>
    </w:p>
    <w:p>
      <w:pPr>
        <w:spacing w:after="60" w:before="60"/>
        <w:jc w:val="both"/>
      </w:pPr>
      <w:r>
        <w:rPr>
          <w:color w:val="000000"/>
          <w:sz w:val="20"/>
          <w:szCs w:val="20"/>
        </w:rPr>
        <w:t xml:space="preserve">Rising food prices are universally perceived (RCHF mean = 1.634 — closest to Strongly Agree), with no differences by income, gender, or education. Two items broke the Strongly Agree threshold: 67% of respondents agreed strongly that </w:t>
      </w:r>
      <w:r>
        <w:rPr>
          <w:b/>
          <w:bCs/>
          <w:color w:val="000000"/>
          <w:sz w:val="20"/>
          <w:szCs w:val="20"/>
        </w:rPr>
        <w:t xml:space="preserve">healthy foods have become too expensive</w:t>
      </w:r>
      <w:r>
        <w:rPr>
          <w:color w:val="000000"/>
          <w:sz w:val="20"/>
          <w:szCs w:val="20"/>
        </w:rPr>
        <w:t xml:space="preserve">, and 66% confirmed </w:t>
      </w:r>
      <w:r>
        <w:rPr>
          <w:b/>
          <w:bCs/>
          <w:color w:val="000000"/>
          <w:sz w:val="20"/>
          <w:szCs w:val="20"/>
        </w:rPr>
        <w:t xml:space="preserve">spending more on food than before</w:t>
      </w:r>
      <w:r>
        <w:rPr>
          <w:color w:val="000000"/>
          <w:sz w:val="20"/>
          <w:szCs w:val="20"/>
        </w:rPr>
        <w:t xml:space="preserve">. These findings confirm that food price inflation is a shared experience across social strata.</w:t>
      </w:r>
    </w:p>
    <w:p>
      <w:pPr>
        <w:spacing w:after="60" w:before="60"/>
        <w:jc w:val="both"/>
      </w:pPr>
      <w:r>
        <w:rPr>
          <w:color w:val="000000"/>
          <w:sz w:val="20"/>
          <w:szCs w:val="20"/>
        </w:rPr>
        <w:t xml:space="preserve">Dietary disruption (FCEP mean = 2.218) is widespread: respondents are shifting to cheaper carbohydrates, skipping meals, and choosing food by affordability over nutrition. Processed food substitution (FCEP8) is not yet dominant — 50% disagree — possibly reflecting Nigeria's own packaged-food cost dynamics. </w:t>
      </w:r>
      <w:r>
        <w:rPr>
          <w:b/>
          <w:bCs/>
          <w:color w:val="000000"/>
          <w:sz w:val="20"/>
          <w:szCs w:val="20"/>
        </w:rPr>
        <w:t xml:space="preserve">Female respondents report significantly greater diet disruption than males (p = .012).</w:t>
      </w:r>
    </w:p>
    <w:p>
      <w:pPr>
        <w:spacing w:after="60" w:before="60"/>
        <w:jc w:val="both"/>
      </w:pPr>
      <w:r>
        <w:rPr>
          <w:color w:val="000000"/>
          <w:sz w:val="20"/>
          <w:szCs w:val="20"/>
        </w:rPr>
        <w:t xml:space="preserve">Health and daily-life consequences (IHDL mean = 2.010) are already materialising across physical, emotional, and occupational dimensions. The strongest single finding is that </w:t>
      </w:r>
      <w:r>
        <w:rPr>
          <w:b/>
          <w:bCs/>
          <w:color w:val="000000"/>
          <w:sz w:val="20"/>
          <w:szCs w:val="20"/>
        </w:rPr>
        <w:t xml:space="preserve">86% of respondents agree that unhealthy feeding increases their illness risk</w:t>
      </w:r>
      <w:r>
        <w:rPr>
          <w:color w:val="000000"/>
          <w:sz w:val="20"/>
          <w:szCs w:val="20"/>
        </w:rPr>
        <w:t xml:space="preserve">. The FCEP–IHDL correlation (r = 0.687, p &lt; .001) identifies </w:t>
      </w:r>
      <w:r>
        <w:rPr>
          <w:b/>
          <w:bCs/>
          <w:color w:val="000000"/>
          <w:sz w:val="20"/>
          <w:szCs w:val="20"/>
        </w:rPr>
        <w:t xml:space="preserve">diet disruption as the primary pathway to health damage</w:t>
      </w:r>
      <w:r>
        <w:rPr>
          <w:color w:val="000000"/>
          <w:sz w:val="20"/>
          <w:szCs w:val="20"/>
        </w:rPr>
        <w:t xml:space="preserve"> — a finding that has direct preventive intervention implications.</w:t>
      </w:r>
    </w:p>
    <w:p>
      <w:pPr>
        <w:spacing w:after="60" w:before="60"/>
        <w:jc w:val="both"/>
      </w:pPr>
      <w:r>
        <w:rPr>
          <w:color w:val="000000"/>
          <w:sz w:val="20"/>
          <w:szCs w:val="20"/>
        </w:rPr>
        <w:t xml:space="preserve">Coping strategies (CMDFC mean = 2.323) cluster around </w:t>
      </w:r>
      <w:r>
        <w:rPr>
          <w:b/>
          <w:bCs/>
          <w:color w:val="000000"/>
          <w:sz w:val="20"/>
          <w:szCs w:val="20"/>
        </w:rPr>
        <w:t xml:space="preserve">proactive cost management</w:t>
      </w:r>
      <w:r>
        <w:rPr>
          <w:color w:val="000000"/>
          <w:sz w:val="20"/>
          <w:szCs w:val="20"/>
        </w:rPr>
        <w:t xml:space="preserve">: bulk buying (78% SA+A), budget reprioritisation (76%), and dietary adaptation (74%). Debt-based coping is largely rejected (58% disagree on buying food on credit). </w:t>
      </w:r>
      <w:r>
        <w:rPr>
          <w:b/>
          <w:bCs/>
          <w:color w:val="000000"/>
          <w:sz w:val="20"/>
          <w:szCs w:val="20"/>
        </w:rPr>
        <w:t xml:space="preserve">Income is the strongest differentiator in the study (F = 6.707, p &lt; .001, η² = 0.173)</w:t>
      </w:r>
      <w:r>
        <w:rPr>
          <w:color w:val="000000"/>
          <w:sz w:val="20"/>
          <w:szCs w:val="20"/>
        </w:rPr>
        <w:t xml:space="preserve">: higher-income groups sustain richer, more adaptive coping strategies, while low-income respondents are structurally constrained.</w:t>
      </w:r>
    </w:p>
    <w:p>
      <w:pPr>
        <w:spacing w:after="40" w:before="40"/>
      </w:pPr>
      <w:r>
        <w:t xml:space="preserve"/>
      </w:r>
    </w:p>
    <w:p>
      <w:pPr>
        <w:pBdr>
          <w:bottom w:val="single" w:color="2E75B6" w:sz="6" w:space="1"/>
        </w:pBdr>
        <w:spacing w:after="40" w:before="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b/>
          <w:bCs/>
          <w:color w:val="1F4E79"/>
          <w:sz w:val="22"/>
          <w:szCs w:val="22"/>
        </w:rPr>
        <w:t xml:space="preserve">3. IMPLEMENTATION DESCRIPTION</w:t>
      </w:r>
    </w:p>
    <w:p>
      <w:pPr>
        <w:spacing w:after="60" w:before="60"/>
        <w:jc w:val="both"/>
      </w:pPr>
      <w:r>
        <w:rPr>
          <w:color w:val="000000"/>
          <w:sz w:val="20"/>
          <w:szCs w:val="20"/>
        </w:rPr>
        <w:t xml:space="preserve">The findings of this study point to a clear set of actions across three levels: public policy, community programming, and household support.</w:t>
      </w:r>
    </w:p>
    <w:p>
      <w:pPr>
        <w:spacing w:after="10" w:before="30"/>
      </w:pPr>
      <w:r>
        <w:t xml:space="preserve"/>
      </w:r>
    </w:p>
    <w:p>
      <w:pPr>
        <w:spacing w:after="10" w:before="30"/>
      </w:pPr>
      <w:r>
        <w:rPr>
          <w:b/>
          <w:bCs/>
          <w:color w:val="2E75B6"/>
          <w:sz w:val="20"/>
          <w:szCs w:val="20"/>
        </w:rPr>
        <w:t xml:space="preserve">Policy-Level Interventions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Introduce targeted food price subsidies on high-nutrient staples (fruits, vegetables, protein sources), prioritising low-income households where dietary disruption and constrained coping are statistically most severe.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Establish a food price monitoring and early-warning framework that tracks volatility of healthy food items, given that 59% of respondents confirmed prices change frequently in local markets.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Integrate nutritional security indicators into state-level poverty and welfare assessments, using the FCEP and IHDL construct dimensions as measurable benchmarks.</w:t>
      </w:r>
    </w:p>
    <w:p>
      <w:pPr>
        <w:spacing w:after="10" w:before="30"/>
      </w:pPr>
      <w:r>
        <w:t xml:space="preserve"/>
      </w:r>
    </w:p>
    <w:p>
      <w:pPr>
        <w:spacing w:after="10" w:before="30"/>
      </w:pPr>
      <w:r>
        <w:rPr>
          <w:b/>
          <w:bCs/>
          <w:color w:val="2E75B6"/>
          <w:sz w:val="20"/>
          <w:szCs w:val="20"/>
        </w:rPr>
        <w:t xml:space="preserve">Community and Institutional Programmes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Deploy community-based nutrition education targeting young people (15–25 years), who constitute 55% of this sample and are simultaneously the most food-insecure and the most educationally reachable.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Establish affordable meal programmes in higher education institutions and workplaces — particularly relevant given that 70% of respondents agreed that poor eating habits impair academic or work performance.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Support women-targeted food security initiatives: female respondents recorded significantly higher dietary disruption, warranting gender-sensitive programming in food access and nutrition counselling.</w:t>
      </w:r>
    </w:p>
    <w:p>
      <w:pPr>
        <w:spacing w:after="10" w:before="30"/>
      </w:pPr>
      <w:r>
        <w:t xml:space="preserve"/>
      </w:r>
    </w:p>
    <w:p>
      <w:pPr>
        <w:spacing w:after="10" w:before="30"/>
      </w:pPr>
      <w:r>
        <w:rPr>
          <w:b/>
          <w:bCs/>
          <w:color w:val="2E75B6"/>
          <w:sz w:val="20"/>
          <w:szCs w:val="20"/>
        </w:rPr>
        <w:t xml:space="preserve">Household-Level Support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Scale up community bulk-purchasing cooperatives and food savings groups, building on the already-endorsed coping strategy of buying food in bulk when prices are lower (78% SA+A).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19"/>
          <w:szCs w:val="19"/>
        </w:rPr>
        <w:t xml:space="preserve">Promote practical food budgeting and meal-planning skills through radio, mobile, and community outreach — accessible channels aligned with this population's profile.</w:t>
      </w:r>
    </w:p>
    <w:p>
      <w:pPr>
        <w:spacing w:after="40" w:before="60"/>
      </w:pPr>
      <w:r>
        <w:t xml:space="preserve"/>
      </w:r>
    </w:p>
    <w:p>
      <w:pPr>
        <w:pBdr>
          <w:bottom w:val="single" w:color="1F4E79" w:sz="6" w:space="1"/>
        </w:pBdr>
        <w:spacing w:after="40" w:before="40"/>
      </w:pPr>
      <w:r>
        <w:t xml:space="preserve"/>
      </w:r>
    </w:p>
    <w:p>
      <w:pPr>
        <w:spacing w:after="20" w:before="60"/>
        <w:jc w:val="center"/>
      </w:pPr>
      <w:r>
        <w:rPr>
          <w:i/>
          <w:iCs/>
          <w:color w:val="888888"/>
          <w:sz w:val="18"/>
          <w:szCs w:val="18"/>
        </w:rPr>
        <w:t xml:space="preserve">— End of Summary Report —</w:t>
      </w:r>
    </w:p>
    <w:p>
      <w:pPr>
        <w:spacing w:after="0" w:before="10"/>
        <w:jc w:val="center"/>
      </w:pPr>
      <w:r>
        <w:rPr>
          <w:color w:val="AAAAAA"/>
          <w:sz w:val="16"/>
          <w:szCs w:val="16"/>
        </w:rPr>
        <w:t xml:space="preserve">Full statistical analysis available in the accompanying detailed report | Luster-Visio Technology Analytics | June 2026</w:t>
      </w:r>
    </w:p>
    <w:sectPr>
      <w:headerReference w:type="default" r:id="rId7"/>
      <w:footerReference w:type="default" r:id="rId8"/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2"/>
      </w:pBdr>
      <w:jc w:val="center"/>
    </w:pPr>
    <w:r>
      <w:rPr>
        <w:color w:val="999999"/>
        <w:sz w:val="15"/>
        <w:szCs w:val="15"/>
      </w:rPr>
      <w:t xml:space="preserve">Page </w:t>
    </w:r>
    <w:fldSimple w:instr="PAGE"/>
    <w:r>
      <w:rPr>
        <w:color w:val="999999"/>
        <w:sz w:val="15"/>
        <w:szCs w:val="15"/>
      </w:rPr>
      <w:t xml:space="preserve">  |  Confidential Research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2"/>
      </w:pBdr>
      <w:jc w:val="right"/>
    </w:pPr>
    <w:r>
      <w:rPr>
        <w:color w:val="999999"/>
        <w:sz w:val="15"/>
        <w:szCs w:val="15"/>
      </w:rPr>
      <w:t xml:space="preserve">The Rising Price of Healthy Eating — Summary Report | N = 100 |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2026-06-12T14:35:31.700Z</dcterms:created>
  <dcterms:modified xsi:type="dcterms:W3CDTF">2026-06-12T14:35:31.720Z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