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2</w:t>
      </w:r>
    </w:p>
    <w:p>
      <w:pPr>
        <w:spacing w:after="600"/>
        <w:jc w:val="center"/>
      </w:pPr>
      <w:r>
        <w:rPr>
          <w:b/>
          <w:bCs/>
          <w:caps/>
          <w:color w:val="1F3A5F"/>
          <w:sz w:val="44"/>
          <w:szCs w:val="44"/>
        </w:rPr>
        <w:t xml:space="preserve">Feasibility Study</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2.1 Introduction</w:t>
      </w:r>
    </w:p>
    <w:p>
      <w:pPr>
        <w:spacing w:after="120" w:line="300"/>
      </w:pPr>
      <w:r>
        <w:t xml:space="preserve">A feasibility study decides whether a proposed project is worth building before large effort is spent. This chapter applies five standard techniques: technical, economic, operational, schedule and legal/ethical feasibility. It then compares three alternative solutions and recommends one.</w:t>
      </w:r>
    </w:p>
    <w:p>
      <w:pPr>
        <w:spacing w:after="120" w:line="300"/>
      </w:pPr>
      <w:r>
        <w:t xml:space="preserve">Three alternatives were considered:</w:t>
      </w:r>
    </w:p>
    <w:p>
      <w:pPr>
        <w:pStyle w:val="ListParagraph"/>
        <w:numPr>
          <w:ilvl w:val="0"/>
          <w:numId w:val="2"/>
        </w:numPr>
        <w:spacing w:after="60" w:line="288"/>
      </w:pPr>
      <w:r>
        <w:rPr>
          <w:b/>
          <w:bCs/>
        </w:rPr>
        <w:t xml:space="preserve">Option A: Continue the manual process</w:t>
      </w:r>
      <w:r>
        <w:t xml:space="preserve"> (posters, talks, e-mail, spreadsheets).</w:t>
      </w:r>
    </w:p>
    <w:p>
      <w:pPr>
        <w:pStyle w:val="ListParagraph"/>
        <w:numPr>
          <w:ilvl w:val="0"/>
          <w:numId w:val="2"/>
        </w:numPr>
        <w:spacing w:after="60" w:line="288"/>
      </w:pPr>
      <w:r>
        <w:rPr>
          <w:b/>
          <w:bCs/>
        </w:rPr>
        <w:t xml:space="preserve">Option B: Buy an off-the-shelf commercial awareness and ticketing suite</w:t>
      </w:r>
      <w:r>
        <w:t xml:space="preserve"> (separate subscriptions for training/phishing simulation and for incident ticketing).</w:t>
      </w:r>
    </w:p>
    <w:p>
      <w:pPr>
        <w:pStyle w:val="ListParagraph"/>
        <w:numPr>
          <w:ilvl w:val="0"/>
          <w:numId w:val="2"/>
        </w:numPr>
        <w:spacing w:after="60" w:line="288"/>
      </w:pPr>
      <w:r>
        <w:rPr>
          <w:b/>
          <w:bCs/>
        </w:rPr>
        <w:t xml:space="preserve">Option C: Build CyberShield Hub</w:t>
      </w:r>
      <w:r>
        <w:t xml:space="preserve">, a custom integrated platform using open-source technology.</w:t>
      </w:r>
    </w:p>
    <w:p>
      <w:pPr>
        <w:pStyle w:val="Heading1"/>
      </w:pPr>
      <w:r>
        <w:t xml:space="preserve">2.2 Technique 1: Technical Feasibility</w:t>
      </w:r>
    </w:p>
    <w:p>
      <w:pPr>
        <w:spacing w:after="120" w:line="300"/>
      </w:pPr>
      <w:r>
        <w:t xml:space="preserve">Technical feasibility asks whether the required technology exists, is mature and can be operated with the skills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26"/>
        <w:gridCol w:w="34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Technology chosen</w:t>
            </w:r>
          </w:p>
        </w:tc>
        <w:tc>
          <w:tcPr>
            <w:tcW w:type="dxa" w:w="3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Assessment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Server-side language and framework</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Mature, well documented, free; includes ORM, migrations, admin and security protections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Simple JWT with refresh rotation and blacklist</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Standard, stateless, works for web and mobile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(development), MySQL 8 (production)</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Zero set-up for development; MySQL is widely supported and scalable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front end</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18, Vite, Tailwind CSS, Chart.js, Framer Motion</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Component model suits the many screens; Chart.js gives dashboards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client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(Dart) with provider, http, secure storage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code base for Android/iOS; secure token storage available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documentation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drf-spectacular (OpenAPI/Swagger)</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Generates documentation automatically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Testing and CI</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 GitHub Actions workflow</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Automated regression testing is available at no cost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Hardware</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 PC or small server with 4 GB RAM; clients need only a browser or Android phone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Already available in most organisations</w:t>
            </w:r>
          </w:p>
        </w:tc>
      </w:tr>
    </w:tbl>
    <w:p>
      <w:pPr>
        <w:spacing w:after="120"/>
      </w:pPr>
    </w:p>
    <w:p>
      <w:pPr>
        <w:spacing w:after="120" w:line="300"/>
      </w:pPr>
      <w:r>
        <w:rPr>
          <w:b/>
          <w:bCs/>
        </w:rPr>
        <w:t xml:space="preserve">Skills.</w:t>
      </w:r>
      <w:r>
        <w:t xml:space="preserve"> The developer has working knowledge of Python, JavaScript and databases. All frameworks have extensive free documentation. </w:t>
      </w:r>
      <w:r>
        <w:rPr>
          <w:b/>
          <w:bCs/>
        </w:rPr>
        <w:t xml:space="preserve">Risk:</w:t>
      </w:r>
      <w:r>
        <w:t xml:space="preserve"> learning curve for React and Flutter. This was reduced by building the API first and reusing its service layer for both clients.</w:t>
      </w:r>
    </w:p>
    <w:p>
      <w:pPr>
        <w:spacing w:after="120" w:line="300"/>
      </w:pPr>
      <w:r>
        <w:rPr>
          <w:b/>
          <w:bCs/>
        </w:rPr>
        <w:t xml:space="preserve">Conclusion:</w:t>
      </w:r>
      <w:r>
        <w:t xml:space="preserve"> technically feasible. A working prototype of every module has been built and verified by automated tests.</w:t>
      </w:r>
    </w:p>
    <w:p>
      <w:pPr>
        <w:pStyle w:val="Heading1"/>
      </w:pPr>
      <w:r>
        <w:t xml:space="preserve">2.3 Technique 2: Economic Feasibility</w:t>
      </w:r>
    </w:p>
    <w:p>
      <w:pPr>
        <w:spacing w:after="120" w:line="300"/>
      </w:pPr>
      <w:r>
        <w:t xml:space="preserve">Economic feasibility compares costs with benefits. Figures are planning estimates in US dollars for a 50-user organisation and should be replaced with local quotations.</w:t>
      </w:r>
    </w:p>
    <w:p>
      <w:pPr>
        <w:pStyle w:val="Heading2"/>
      </w:pPr>
      <w:r>
        <w:t xml:space="preserve">2.3.1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300"/>
        <w:gridCol w:w="24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Cost item</w:t>
            </w:r>
          </w:p>
        </w:tc>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A (manual)</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B (commercial)</w:t>
            </w:r>
          </w:p>
        </w:tc>
        <w:tc>
          <w:tcPr>
            <w:tcW w:type="dxa" w:w="2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C (CyberShield Hub)</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Software licences</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2,500 per year (50 users, two products)</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(open-source stack)</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Development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Student project time (no cash cost)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Hosting server / VPS</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Included</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240 per year (or existing server)</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Set-up and integration</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800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100 (domain, TLS certificate)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of staff</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300 per year (facilitator, printing)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200 (internal sessions)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Maintenance and support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time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Included in subscription</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15 hours per month of IT time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Estimated first-year cash cost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 300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 3,500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 540</w:t>
            </w:r>
          </w:p>
        </w:tc>
      </w:tr>
    </w:tbl>
    <w:p>
      <w:pPr>
        <w:spacing w:after="120"/>
      </w:pPr>
    </w:p>
    <w:p>
      <w:pPr>
        <w:pStyle w:val="Heading2"/>
      </w:pPr>
      <w:r>
        <w:t xml:space="preserve">2.3.2 Benefits</w:t>
      </w:r>
    </w:p>
    <w:p>
      <w:pPr>
        <w:pStyle w:val="ListParagraph"/>
        <w:numPr>
          <w:ilvl w:val="0"/>
          <w:numId w:val="2"/>
        </w:numPr>
        <w:spacing w:after="60" w:line="288"/>
      </w:pPr>
      <w:r>
        <w:rPr>
          <w:b/>
          <w:bCs/>
        </w:rPr>
        <w:t xml:space="preserve">Tangible:</w:t>
      </w:r>
      <w:r>
        <w:t xml:space="preserve"> time saved compiling reports (estimated 4 hours per month); fewer repeat incidents; reduced cost of a single phishing-related loss, which for a small organisation can exceed the entire system cost.</w:t>
      </w:r>
    </w:p>
    <w:p>
      <w:pPr>
        <w:pStyle w:val="ListParagraph"/>
        <w:numPr>
          <w:ilvl w:val="0"/>
          <w:numId w:val="2"/>
        </w:numPr>
        <w:spacing w:after="60" w:line="288"/>
      </w:pPr>
      <w:r>
        <w:rPr>
          <w:b/>
          <w:bCs/>
        </w:rPr>
        <w:t xml:space="preserve">Intangible:</w:t>
      </w:r>
      <w:r>
        <w:t xml:space="preserve"> improved security culture; faster incident response; evidence for audits and insurers; one data set owned by the organisation.</w:t>
      </w:r>
    </w:p>
    <w:p>
      <w:pPr>
        <w:pStyle w:val="Heading2"/>
      </w:pPr>
      <w:r>
        <w:t xml:space="preserve">2.3.3 Cost-benefit result</w:t>
      </w:r>
    </w:p>
    <w:p>
      <w:pPr>
        <w:spacing w:after="120" w:line="300"/>
      </w:pPr>
      <w:r>
        <w:t xml:space="preserve">Option C has a first-year cost roughly 85% lower than Option B while providing the integration between training, phishing practice and incident response that Option B sells as separate products. Option A is cheapest on paper but delivers none of the measurable benefits. The pay-back period for Option C is expected to be under one year if it prevents even one moderate incident.</w:t>
      </w:r>
    </w:p>
    <w:p>
      <w:pPr>
        <w:spacing w:after="120" w:line="300"/>
      </w:pPr>
      <w:r>
        <w:rPr>
          <w:b/>
          <w:bCs/>
        </w:rPr>
        <w:t xml:space="preserve">Conclusion:</w:t>
      </w:r>
      <w:r>
        <w:t xml:space="preserve"> economically feasible.</w:t>
      </w:r>
    </w:p>
    <w:p>
      <w:pPr>
        <w:pStyle w:val="Heading1"/>
      </w:pPr>
      <w:r>
        <w:t xml:space="preserve">2.4 Technique 3: Operational Feasibility</w:t>
      </w:r>
    </w:p>
    <w:p>
      <w:pPr>
        <w:spacing w:after="120" w:line="300"/>
      </w:pPr>
      <w:r>
        <w:t xml:space="preserve">Operational feasibility asks whether people will use the system and whether it fits the way the organisation 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Question</w:t>
            </w:r>
          </w:p>
        </w:tc>
        <w:tc>
          <w:tcPr>
            <w:tcW w:type="dxa" w:w="6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Finding</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users accept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interface follows familiar patterns (dashboard, cards, forms). Short lessons and quizzes can be done in minutes; the mobile app lets staff learn on their phones.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Does it solve the problems found?</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problem in Chapter 1 (Section 1.2.3) maps to a module: for example problems 4–7 are solved by the incident module and problems 1–3 by training, quizzes and the simulator.</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 management support likely?</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and audit exports give managers the evidence they need, which encourages sponsorship.</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will operate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small IT team. Admin screens let non-programmers manage users, lessons, quizzes and alerts.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staff resist change?</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Resistance is reduced by short training, demonstrations and a pilot group (see Chapter 6 conversion plan).</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and privacy acceptance?</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Role-based access ensures users only see their own incidents and results.</w:t>
            </w:r>
          </w:p>
        </w:tc>
      </w:tr>
    </w:tbl>
    <w:p>
      <w:pPr>
        <w:spacing w:after="120"/>
      </w:pPr>
    </w:p>
    <w:p>
      <w:pPr>
        <w:spacing w:after="120" w:line="300"/>
      </w:pPr>
      <w:r>
        <w:rPr>
          <w:b/>
          <w:bCs/>
        </w:rPr>
        <w:t xml:space="preserve">Conclusion:</w:t>
      </w:r>
      <w:r>
        <w:t xml:space="preserve"> operationally feasible, provided users receive brief training and management endorses use.</w:t>
      </w:r>
    </w:p>
    <w:p>
      <w:pPr>
        <w:pStyle w:val="Heading1"/>
      </w:pPr>
      <w:r>
        <w:t xml:space="preserve">2.5 Technique 4: Schedule Feasibility</w:t>
      </w:r>
    </w:p>
    <w:p>
      <w:pPr>
        <w:spacing w:after="120" w:line="300"/>
      </w:pPr>
      <w:r>
        <w:t xml:space="preserve">Schedule feasibility checks that the project can be completed within the time allowed (one term of about 14 weeks).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100"/>
        <w:gridCol w:w="3626"/>
      </w:tblGrid>
      <w:tr>
        <w:trPr>
          <w:tblHeader/>
        </w:trPr>
        <w:tc>
          <w:tcPr>
            <w:tcW w:type="dxa" w:w="4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Phase</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Weeks</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Deliverable</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Project identification and feasibility</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1–2</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Chapters 1 and 2</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Requirement analysis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Requirement specification, fact-finding records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Design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3–4</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DFDs, UML, database and interface designs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 end development (authentication, training, quizzes)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4–7</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Working API for core learning modules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 end development (phishing, incidents, alerts, analytics, audit)</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7–11</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Complete API with audit</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front end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6–12</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application for all roles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application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11–13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app for learners and reporters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Testing and fixes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10–13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Automated and manual test results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Documentation, presentation and hand-over</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13–14</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Chapters 6 and 7, user manual, presentation</w:t>
            </w:r>
          </w:p>
        </w:tc>
      </w:tr>
    </w:tbl>
    <w:p>
      <w:pPr>
        <w:spacing w:after="120"/>
      </w:pPr>
    </w:p>
    <w:p>
      <w:pPr>
        <w:spacing w:after="120" w:line="300"/>
      </w:pPr>
      <w:r>
        <w:t xml:space="preserve">Because the API and web client are developed in parallel and testing begins as soon as each module exists, the critical path is the back end. Risks (illness, hardware failure) are managed by committing work to Git daily. A buffer of one week is kept inside the testing phase.</w:t>
      </w:r>
    </w:p>
    <w:p>
      <w:pPr>
        <w:spacing w:after="120" w:line="300"/>
      </w:pPr>
      <w:r>
        <w:rPr>
          <w:b/>
          <w:bCs/>
        </w:rPr>
        <w:t xml:space="preserve">Conclusion:</w:t>
      </w:r>
      <w:r>
        <w:t xml:space="preserve"> schedule feasible. The implemented system already demonstrates that the timetable was achievable.</w:t>
      </w:r>
    </w:p>
    <w:p>
      <w:pPr>
        <w:pStyle w:val="Heading1"/>
      </w:pPr>
      <w:r>
        <w:t xml:space="preserve">2.6 Technique 5: Legal and Ethical Feasibility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Consideration</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the project addresses it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protection and privacy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stores names, e-mail addresses, scores and incident reports (personal data). Zimbabwe's Cyber and Data Protection Act requires lawful, limited and secure processing.</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Collect only what is needed; role-based access; users see only their own data; password hashing; deactivation of accounts; audit log of access to changes.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Software licensing</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libraries must be legally usable.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Django, React, Flutter, Chart.js and others are open source with permissive licences.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simulation ethics</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Deceiving staff with real fake e-mails can cause distress or legal exposure.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Simulations are in-app, clearly an exercise, and provide educational feedback rather than blame.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handling</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Uploaded files could contain malware or sensitive information.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Only allow-listed types (png, jpg, jpeg, pdf, txt, log, eml, msg) up to 10 MB; files are stored, never executed; access limited by role.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Intellectual property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 must not infringe copyright.</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content is original and written for the platform.</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Accountability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Administrative actions must be traceable.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mutating request is logged with actor, time and path.</w:t>
            </w:r>
          </w:p>
        </w:tc>
      </w:tr>
    </w:tbl>
    <w:p>
      <w:pPr>
        <w:spacing w:after="120"/>
      </w:pPr>
    </w:p>
    <w:p>
      <w:pPr>
        <w:spacing w:after="120" w:line="300"/>
      </w:pPr>
      <w:r>
        <w:rPr>
          <w:b/>
          <w:bCs/>
        </w:rPr>
        <w:t xml:space="preserve">Conclusion:</w:t>
      </w:r>
      <w:r>
        <w:t xml:space="preserve"> legally and ethically feasible when the controls above are kept and the organisation publishes an acceptable-use and privacy notice.</w:t>
      </w:r>
    </w:p>
    <w:p>
      <w:pPr>
        <w:pStyle w:val="Heading1"/>
      </w:pPr>
      <w:r>
        <w:t xml:space="preserve">2.7 Comparison of Alternatives</w:t>
      </w:r>
    </w:p>
    <w:p>
      <w:pPr>
        <w:spacing w:after="120" w:line="300"/>
      </w:pPr>
      <w:r>
        <w:t xml:space="preserve">Each criterion is scored from 1 (poor) to 5 (excellent) and multiplied by a weight.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1500"/>
        <w:gridCol w:w="1700"/>
        <w:gridCol w:w="2026"/>
      </w:tblGrid>
      <w:tr>
        <w:trPr>
          <w:tblHeader/>
        </w:trPr>
        <w:tc>
          <w:tcPr>
            <w:tcW w:type="dxa" w:w="2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Criterion</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Weight</w:t>
            </w:r>
          </w:p>
        </w:tc>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 Manual</w:t>
            </w:r>
          </w:p>
        </w:tc>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B: Commercial</w:t>
            </w:r>
          </w:p>
        </w:tc>
        <w:tc>
          <w:tcPr>
            <w:tcW w:type="dxa" w:w="2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 CyberShield Hub</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Technical fit with needs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Cost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Operational fit / integration</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Time to deliver</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Legal / data ownership</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15%</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Measurable benefit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15%</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Weighted total (out of 5)</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2.35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3.25</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4.80</w:t>
            </w:r>
          </w:p>
        </w:tc>
      </w:tr>
    </w:tbl>
    <w:p>
      <w:pPr>
        <w:spacing w:after="120"/>
      </w:pPr>
    </w:p>
    <w:p>
      <w:pPr>
        <w:spacing w:after="120" w:line="300"/>
      </w:pPr>
      <w:r>
        <w:t xml:space="preserve">Workings: A = 0.2×1 + 0.2×4 + 0.2×1 + 0.1×5 + 0.15×3 + 0.15×1 = 2.35; B = 0.8 + 0.4 + 0.6 + 0.4 + 0.45 + 0.6 = 3.25; C = 1.0 + 1.0 + 1.0 + 0.3 + 0.75 + 0.75 = 4.80.</w:t>
      </w:r>
    </w:p>
    <w:p>
      <w:pPr>
        <w:pStyle w:val="Heading1"/>
      </w:pPr>
      <w:r>
        <w:t xml:space="preserve">2.8 Recommendation</w:t>
      </w:r>
    </w:p>
    <w:p>
      <w:pPr>
        <w:spacing w:after="120" w:line="300"/>
      </w:pPr>
      <w:r>
        <w:t xml:space="preserve">All five feasibility techniques give a positive result and Option C scores highest. </w:t>
      </w:r>
      <w:r>
        <w:rPr>
          <w:b/>
          <w:bCs/>
        </w:rPr>
        <w:t xml:space="preserve">It is recommended that CyberShield Hub be developed and implemented.</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2: Feasibility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Feasibility Study</dc:title>
  <dc:creator>CyberShield Hub project</dc:creator>
  <cp:lastModifiedBy>Un-named</cp:lastModifiedBy>
  <cp:revision>1</cp:revision>
  <dcterms:created xsi:type="dcterms:W3CDTF">2026-10-01T11:08:28.087Z</dcterms:created>
  <dcterms:modified xsi:type="dcterms:W3CDTF">2026-10-01T11:08:28.087Z</dcterms:modified>
</cp:coreProperties>
</file>

<file path=docProps/custom.xml><?xml version="1.0" encoding="utf-8"?>
<Properties xmlns="http://schemas.openxmlformats.org/officeDocument/2006/custom-properties" xmlns:vt="http://schemas.openxmlformats.org/officeDocument/2006/docPropsVTypes"/>
</file>