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A5F"/>
          <w:sz w:val="36"/>
          <w:szCs w:val="36"/>
        </w:rPr>
        <w:t xml:space="preserve">KWEKWE POLYTECHNIC</w:t>
      </w:r>
    </w:p>
    <w:p>
      <w:pPr>
        <w:spacing w:after="40"/>
        <w:jc w:val="center"/>
      </w:pPr>
      <w:r>
        <w:rPr>
          <w:sz w:val="24"/>
          <w:szCs w:val="24"/>
        </w:rPr>
        <w:t xml:space="preserve">National Diploma in Information Technology (ND3 IT)</w:t>
      </w:r>
    </w:p>
    <w:p>
      <w:pPr>
        <w:spacing w:after="600"/>
        <w:jc w:val="center"/>
      </w:pPr>
      <w:r>
        <w:rPr>
          <w:sz w:val="24"/>
          <w:szCs w:val="24"/>
        </w:rPr>
        <w:t xml:space="preserve">Project Documentation</w:t>
      </w:r>
    </w:p>
    <w:p>
      <w:pPr>
        <w:spacing w:after="80"/>
        <w:jc w:val="center"/>
      </w:pPr>
      <w:r>
        <w:rPr>
          <w:b/>
          <w:bCs/>
          <w:color w:val="888888"/>
          <w:sz w:val="28"/>
          <w:szCs w:val="28"/>
        </w:rPr>
        <w:t xml:space="preserve">CHAPTER 6</w:t>
      </w:r>
    </w:p>
    <w:p>
      <w:pPr>
        <w:spacing w:after="600"/>
        <w:jc w:val="center"/>
      </w:pPr>
      <w:r>
        <w:rPr>
          <w:b/>
          <w:bCs/>
          <w:caps/>
          <w:color w:val="1F3A5F"/>
          <w:sz w:val="44"/>
          <w:szCs w:val="44"/>
        </w:rPr>
        <w:t xml:space="preserve">Implementation and Post-Implementation Plan</w:t>
      </w:r>
    </w:p>
    <w:p>
      <w:pPr>
        <w:spacing w:after="80"/>
        <w:jc w:val="center"/>
      </w:pPr>
      <w:r>
        <w:rPr>
          <w:b/>
          <w:bCs/>
          <w:sz w:val="36"/>
          <w:szCs w:val="36"/>
        </w:rPr>
        <w:t xml:space="preserve">CyberShield Hub</w:t>
      </w:r>
    </w:p>
    <w:p>
      <w:pPr>
        <w:spacing w:after="700"/>
        <w:jc w:val="center"/>
      </w:pPr>
      <w:r>
        <w:rPr>
          <w:sz w:val="24"/>
          <w:szCs w:val="24"/>
        </w:rPr>
        <w:t xml:space="preserve">An Enterprise Cybersecurity Awareness and Incident Response Platform</w:t>
      </w:r>
    </w:p>
    <w:p>
      <w:pPr>
        <w:spacing w:after="100"/>
        <w:jc w:val="center"/>
      </w:pPr>
      <w:r>
        <w:rPr>
          <w:b/>
          <w:bCs/>
        </w:rPr>
        <w:t xml:space="preserve">Student name: </w:t>
      </w:r>
      <w:r>
        <w:t xml:space="preserve">[Insert student name]</w:t>
      </w:r>
    </w:p>
    <w:p>
      <w:pPr>
        <w:spacing w:after="100"/>
        <w:jc w:val="center"/>
      </w:pPr>
      <w:r>
        <w:rPr>
          <w:b/>
          <w:bCs/>
        </w:rPr>
        <w:t xml:space="preserve">Registration number: </w:t>
      </w:r>
      <w:r>
        <w:t xml:space="preserve">[Insert registration number]</w:t>
      </w:r>
    </w:p>
    <w:p>
      <w:pPr>
        <w:spacing w:after="100"/>
        <w:jc w:val="center"/>
      </w:pPr>
      <w:r>
        <w:rPr>
          <w:b/>
          <w:bCs/>
        </w:rPr>
        <w:t xml:space="preserve">Supervisor: </w:t>
      </w:r>
      <w:r>
        <w:t xml:space="preserve">[Insert supervisor name]</w:t>
      </w:r>
    </w:p>
    <w:p>
      <w:pPr>
        <w:spacing w:after="100"/>
        <w:jc w:val="center"/>
      </w:pPr>
      <w:r>
        <w:rPr>
          <w:b/>
          <w:bCs/>
        </w:rPr>
        <w:t xml:space="preserve">Academic session: </w:t>
      </w:r>
      <w:r>
        <w:t xml:space="preserve">ND3 IT, January 2023 intake</w:t>
      </w:r>
    </w:p>
    <w:p>
      <w:r>
        <w:br w:type="page"/>
      </w:r>
    </w:p>
    <w:p>
      <w:pPr>
        <w:pStyle w:val="Heading1"/>
      </w:pPr>
      <w:r>
        <w:t xml:space="preserve">6.1 Introduction</w:t>
      </w:r>
    </w:p>
    <w:p>
      <w:pPr>
        <w:spacing w:after="120" w:line="300"/>
      </w:pPr>
      <w:r>
        <w:t xml:space="preserve">This chapter explains how CyberShield Hub will be introduced into an organisation and supported afterwards. It contains the pre-presentation plan, the documentation including the user manual, and the conversion and training plans.</w:t>
      </w:r>
    </w:p>
    <w:p>
      <w:pPr>
        <w:pStyle w:val="Heading1"/>
      </w:pPr>
      <w:r>
        <w:t xml:space="preserve">6.2 Pre-Presentation</w:t>
      </w:r>
    </w:p>
    <w:p>
      <w:pPr>
        <w:spacing w:after="120" w:line="300"/>
      </w:pPr>
      <w:r>
        <w:t xml:space="preserve">The pre-presentation is a rehearsal for the supervisor and, later, for management and staff.</w:t>
      </w:r>
    </w:p>
    <w:p>
      <w:pPr>
        <w:pStyle w:val="Heading2"/>
      </w:pPr>
      <w:r>
        <w:t xml:space="preserve">6.2.1 Presentation outline (about 15 minutes)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426"/>
        <w:gridCol w:w="1000"/>
      </w:tblGrid>
      <w:tr>
        <w:trPr>
          <w:tblHeader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Slide / segment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 Title and problem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Why human error and informal incident handling are risks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 Objectives and scope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SMART objectives and what is in and out of scope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 Solution overview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Architecture (Figure 1) and the three roles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 Live demonstration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Follow the script in 6.2.2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 Quality evidence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345 automated tests passing; controls (JWT, RBAC, audit, upload checks)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 Implementation and benefits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Conversion plan, training, expected benefits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7. Conclusion and questions</w:t>
            </w:r>
          </w:p>
        </w:tc>
        <w:tc>
          <w:tcPr>
            <w:tcW w:type="dxa" w:w="5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Future plans; invite questions</w:t>
            </w:r>
          </w:p>
        </w:tc>
        <w:tc>
          <w:tcPr>
            <w:tcW w:type="dxa" w:w="1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6.2.2 Demonstration script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Log in as a normal user: show the dashboard (security score and progress).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Open a lesson, bookmark it, then take its quiz and show the result and recommendations.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Open the phishing lab, inspect a link, select red flags and show the feedback.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Report an incident with an evidence file; show the generated reference number.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Log in as an officer: open the SOC queue, assign the incident, move it to Investigating and add an update.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Switch back to the reporter: show the timeline update. Publish an alert and show the notification.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Log in as administrator: manage a user and edit a lesson; show the audit log and CSV export.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Show the mobile app performing a login, quiz and incident report.</w:t>
      </w:r>
    </w:p>
    <w:p>
      <w:pPr>
        <w:pStyle w:val="Heading2"/>
      </w:pPr>
      <w:r>
        <w:t xml:space="preserve">6.2.3 Preparation checklist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Backend started with demo data (</w:t>
      </w:r>
      <w:r>
        <w:rPr>
          <w:rFonts w:ascii="Consolas" w:cs="Consolas" w:eastAsia="Consolas" w:hAnsi="Consolas"/>
          <w:sz w:val="20"/>
          <w:szCs w:val="20"/>
        </w:rPr>
        <w:t xml:space="preserve">python manage.py migrate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python manage.py seed_demo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python manage.py runserver</w:t>
      </w:r>
      <w:r>
        <w:t xml:space="preserve">) as in </w:t>
      </w:r>
      <w:r>
        <w:rPr>
          <w:rFonts w:ascii="Consolas" w:cs="Consolas" w:eastAsia="Consolas" w:hAnsi="Consolas"/>
          <w:sz w:val="20"/>
          <w:szCs w:val="20"/>
        </w:rPr>
        <w:t xml:space="preserve">LaunchMe.md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Web client started with </w:t>
      </w:r>
      <w:r>
        <w:rPr>
          <w:rFonts w:ascii="Consolas" w:cs="Consolas" w:eastAsia="Consolas" w:hAnsi="Consolas"/>
          <w:sz w:val="20"/>
          <w:szCs w:val="20"/>
        </w:rPr>
        <w:t xml:space="preserve">npm run dev</w:t>
      </w:r>
      <w:r>
        <w:t xml:space="preserve"> (or built and served); mobile app installed on a phone or emulator.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Three browser profiles ready (user, officer, admin) to avoid repeated log-ins.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Sample evidence files (a screenshot and a PDF) saved on the desktop.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Backup plan: screenshots or a short screen recording if the network or server fails.</w:t>
      </w:r>
    </w:p>
    <w:p>
      <w:pPr>
        <w:pStyle w:val="Heading1"/>
      </w:pPr>
      <w:r>
        <w:t xml:space="preserve">6.3 Documentation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626"/>
      </w:tblGrid>
      <w:tr>
        <w:trPr>
          <w:tblHeader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Location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chapters 1–7 (this series)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Supervisor, examiners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docs/project-documentation/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README and LaunchMe (installation and run guide)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Administrators, 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LaunchMe.md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Architecture and diagrams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docs/architecture.md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endpoint map and live Swagger documentation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Developers, integrators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docs/api_endpoints.md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/api/v1/docs/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schema reference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administrators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docs/database_schema.sql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Mobile README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Mobile developers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mobile/README.md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manual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 users and officers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Section 6.3.1 below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 guide</w:t>
            </w:r>
          </w:p>
        </w:tc>
        <w:tc>
          <w:tcPr>
            <w:tcW w:type="dxa" w:w="28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administrators</w:t>
            </w:r>
          </w:p>
        </w:tc>
        <w:tc>
          <w:tcPr>
            <w:tcW w:type="dxa" w:w="2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Section 6.3.2 below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6.3.1 User manual</w:t>
      </w:r>
    </w:p>
    <w:p>
      <w:pPr>
        <w:pStyle w:val="Heading3"/>
      </w:pPr>
      <w:r>
        <w:t xml:space="preserve">A. Getting started (all users)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Open the CyberShield Hub address in your browser (or open the mobile app).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Select </w:t>
      </w:r>
      <w:r>
        <w:rPr>
          <w:b/>
          <w:bCs/>
        </w:rPr>
        <w:t xml:space="preserve">Register</w:t>
      </w:r>
      <w:r>
        <w:t xml:space="preserve">, enter your name, e-mail and a strong password (the strength meter must show an acceptable level), and submit.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Sign in with your e-mail and password. If you forget your password choose </w:t>
      </w:r>
      <w:r>
        <w:rPr>
          <w:b/>
          <w:bCs/>
        </w:rPr>
        <w:t xml:space="preserve">Forgot password</w:t>
      </w:r>
      <w:r>
        <w:t xml:space="preserve"> and follow the link sent to you.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The </w:t>
      </w:r>
      <w:r>
        <w:rPr>
          <w:b/>
          <w:bCs/>
        </w:rPr>
        <w:t xml:space="preserve">Dashboard</w:t>
      </w:r>
      <w:r>
        <w:t xml:space="preserve"> shows your security score, learning progress, quiz and phishing results, incidents and alerts.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t xml:space="preserve">Use </w:t>
      </w:r>
      <w:r>
        <w:rPr>
          <w:b/>
          <w:bCs/>
        </w:rPr>
        <w:t xml:space="preserve">Account</w:t>
      </w:r>
      <w:r>
        <w:t xml:space="preserve"> to update your profile or change your password. Always choose </w:t>
      </w:r>
      <w:r>
        <w:rPr>
          <w:b/>
          <w:bCs/>
        </w:rPr>
        <w:t xml:space="preserve">Log out</w:t>
      </w:r>
      <w:r>
        <w:t xml:space="preserve"> on shared computers.</w:t>
      </w:r>
    </w:p>
    <w:p>
      <w:pPr>
        <w:pStyle w:val="Heading3"/>
      </w:pPr>
      <w:r>
        <w:t xml:space="preserve">B. Learn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Find a lesson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Training → type in the search box or filter by category and difficulty → select a card.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 and track progress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the lesson, read the content; progress is saved. Select </w:t>
            </w:r>
            <w:r>
              <w:rPr>
                <w:b/>
                <w:bCs/>
                <w:sz w:val="19"/>
                <w:szCs w:val="19"/>
              </w:rPr>
              <w:t xml:space="preserve">Mark complete</w:t>
            </w:r>
            <w:r>
              <w:rPr>
                <w:sz w:val="19"/>
                <w:szCs w:val="19"/>
              </w:rPr>
              <w:t xml:space="preserve"> at the end.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Bookmark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Select the bookmark icon on a lesson; find it later in your bookmarks.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Take a quiz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Quizzes → choose a quiz (check attempts remaining) → Start → answer all questions before the timer ends → Submit.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Read your result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result page shows score, pass/fail, the correct answers with explanations and lessons recommended for weak topics.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Practise phishing detection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Phishing lab → open a message → inspect the sender and links → tick the red flags you see → choose Safe or Suspicious → read the feedback.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C. Report and track an incident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Open </w:t>
      </w:r>
      <w:r>
        <w:rPr>
          <w:b/>
          <w:bCs/>
        </w:rPr>
        <w:t xml:space="preserve">Incidents → Report incident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Enter a clear title, the affected system, category, severity, when it happened and a description of what you saw.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Attach evidence (screenshots, e-mails, logs). Allowed types: png, jpg, jpeg, pdf, txt, log, eml, msg; maximum 10 MB each.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Choose </w:t>
      </w:r>
      <w:r>
        <w:rPr>
          <w:b/>
          <w:bCs/>
        </w:rPr>
        <w:t xml:space="preserve">Save draft</w:t>
      </w:r>
      <w:r>
        <w:t xml:space="preserve"> to finish later or </w:t>
      </w:r>
      <w:r>
        <w:rPr>
          <w:b/>
          <w:bCs/>
        </w:rPr>
        <w:t xml:space="preserve">Submit</w:t>
      </w:r>
      <w:r>
        <w:t xml:space="preserve">. Note the reference number (INC-date-code).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t xml:space="preserve">Follow progress in </w:t>
      </w:r>
      <w:r>
        <w:rPr>
          <w:b/>
          <w:bCs/>
        </w:rPr>
        <w:t xml:space="preserve">Incidents</w:t>
      </w:r>
      <w:r>
        <w:t xml:space="preserve">: open the incident to see its status and timeline.</w:t>
      </w:r>
    </w:p>
    <w:p>
      <w:pPr>
        <w:spacing w:after="120" w:line="300"/>
      </w:pPr>
      <w:r>
        <w:rPr>
          <w:b/>
          <w:bCs/>
        </w:rPr>
        <w:t xml:space="preserve">Tip:</w:t>
      </w:r>
      <w:r>
        <w:t xml:space="preserve"> Report early. Do not delete the suspicious message and do not click links in it.</w:t>
      </w:r>
    </w:p>
    <w:p>
      <w:pPr>
        <w:pStyle w:val="Heading3"/>
      </w:pPr>
      <w:r>
        <w:t xml:space="preserve">D. Alerts</w:t>
      </w:r>
    </w:p>
    <w:p>
      <w:pPr>
        <w:spacing w:after="120" w:line="300"/>
      </w:pPr>
      <w:r>
        <w:t xml:space="preserve">The bell icon shows the number of unread alerts. Open </w:t>
      </w:r>
      <w:r>
        <w:rPr>
          <w:b/>
          <w:bCs/>
        </w:rPr>
        <w:t xml:space="preserve">Alerts</w:t>
      </w:r>
      <w:r>
        <w:t xml:space="preserve"> to read advisories, mark one as read or choose </w:t>
      </w:r>
      <w:r>
        <w:rPr>
          <w:b/>
          <w:bCs/>
        </w:rPr>
        <w:t xml:space="preserve">Mark all read</w:t>
      </w:r>
      <w:r>
        <w:t xml:space="preserve">.</w:t>
      </w:r>
    </w:p>
    <w:p>
      <w:pPr>
        <w:pStyle w:val="Heading3"/>
      </w:pPr>
      <w:r>
        <w:t xml:space="preserve">E. Cybersecurity officer tasks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the queue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 queue → incidents appear in columns by status, highest priority first; use the heat map to see severity against status.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Assign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an incident → Manage panel → choose an officer → Assign.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 status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panel → select the new status (Investigating, Escalated, Resolved, Closed) and add a note; the timeline is updated automatically.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Publish an alert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Alerts → Publish → enter title, message, priority, audience and expiry → Publish.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View analytics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Analytics → review training, quiz, phishing, incident and risk charts.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Audit log → filter or search → Export CSV.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F. Administrator tasks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users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→ Users → activate, deactivate, change role, reset failed-login counter.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content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→ Content library → Lessons / Quizzes / Simulations / Categories → New or Edit → Save.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 settings</w:t>
            </w:r>
          </w:p>
        </w:tc>
        <w:tc>
          <w:tcPr>
            <w:tcW w:type="dxa" w:w="6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→ Quiz settings → set pass score, time limit, attempts and randomisation.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G. 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Cannot log in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the e-mail and password; after many failures wait a minute (throttling); ask an administrator if your account is deactivated.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Session ended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Sessions expire for security; log in again.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rejected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the type (png, jpg, jpeg, pdf, txt, log, eml, msg) and size (under 10 MB).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Quiz says no attempts left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Ask an administrator to raise the attempt limit.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Page will not load</w:t>
            </w:r>
          </w:p>
        </w:tc>
        <w:tc>
          <w:tcPr>
            <w:tcW w:type="dxa" w:w="64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 your network connection and try again; contact IT if it continues.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6.3.2 Administrator guide (installation summary)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Install Python 3.12+ and Node.js 20+ (Flutter only for the mobile app).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Copy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and set </w:t>
      </w:r>
      <w:r>
        <w:rPr>
          <w:rFonts w:ascii="Consolas" w:cs="Consolas" w:eastAsia="Consolas" w:hAnsi="Consolas"/>
          <w:sz w:val="20"/>
          <w:szCs w:val="20"/>
        </w:rPr>
        <w:t xml:space="preserve">DJANGO_SECRET_KEY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DJANGO_DEBUG=False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DJANGO_ALLOWED_HOSTS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CORS_ALLOWED_ORIGINS</w:t>
      </w:r>
      <w:r>
        <w:t xml:space="preserve"> and the database settings (</w:t>
      </w:r>
      <w:r>
        <w:rPr>
          <w:rFonts w:ascii="Consolas" w:cs="Consolas" w:eastAsia="Consolas" w:hAnsi="Consolas"/>
          <w:sz w:val="20"/>
          <w:szCs w:val="20"/>
        </w:rPr>
        <w:t xml:space="preserve">DB_ENGINE=mysql</w:t>
      </w:r>
      <w:r>
        <w:t xml:space="preserve"> for production).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</w:rPr>
        <w:t xml:space="preserve">backend/</w:t>
      </w:r>
      <w:r>
        <w:t xml:space="preserve">: create a virtual environment,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python manage.py migrate</w:t>
      </w:r>
      <w:r>
        <w:t xml:space="preserve">, then create the first administrator with </w:t>
      </w:r>
      <w:r>
        <w:rPr>
          <w:rFonts w:ascii="Consolas" w:cs="Consolas" w:eastAsia="Consolas" w:hAnsi="Consolas"/>
          <w:sz w:val="20"/>
          <w:szCs w:val="20"/>
        </w:rPr>
        <w:t xml:space="preserve">python manage.py createsuperuser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Start the API behind a production web server with HTTPS; build the web client with </w:t>
      </w:r>
      <w:r>
        <w:rPr>
          <w:rFonts w:ascii="Consolas" w:cs="Consolas" w:eastAsia="Consolas" w:hAnsi="Consolas"/>
          <w:sz w:val="20"/>
          <w:szCs w:val="20"/>
        </w:rPr>
        <w:t xml:space="preserve">npm run build</w:t>
      </w:r>
      <w:r>
        <w:t xml:space="preserve"> and serve the output.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Verify the health check (</w:t>
      </w:r>
      <w:r>
        <w:rPr>
          <w:rFonts w:ascii="Consolas" w:cs="Consolas" w:eastAsia="Consolas" w:hAnsi="Consolas"/>
          <w:sz w:val="20"/>
          <w:szCs w:val="20"/>
        </w:rPr>
        <w:t xml:space="preserve">/health/</w:t>
      </w:r>
      <w:r>
        <w:t xml:space="preserve">) and Swagger page (</w:t>
      </w:r>
      <w:r>
        <w:rPr>
          <w:rFonts w:ascii="Consolas" w:cs="Consolas" w:eastAsia="Consolas" w:hAnsi="Consolas"/>
          <w:sz w:val="20"/>
          <w:szCs w:val="20"/>
        </w:rPr>
        <w:t xml:space="preserve">/api/v1/docs/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t xml:space="preserve">Do </w:t>
      </w:r>
      <w:r>
        <w:rPr>
          <w:b/>
          <w:bCs/>
        </w:rPr>
        <w:t xml:space="preserve">not</w:t>
      </w:r>
      <w:r>
        <w:t xml:space="preserve"> run </w:t>
      </w:r>
      <w:r>
        <w:rPr>
          <w:rFonts w:ascii="Consolas" w:cs="Consolas" w:eastAsia="Consolas" w:hAnsi="Consolas"/>
          <w:sz w:val="20"/>
          <w:szCs w:val="20"/>
        </w:rPr>
        <w:t xml:space="preserve">seed_demo</w:t>
      </w:r>
      <w:r>
        <w:t xml:space="preserve"> on a production system except for a training environment: it creates sample accounts with a known password.</w:t>
      </w:r>
    </w:p>
    <w:p>
      <w:pPr>
        <w:pStyle w:val="Heading1"/>
      </w:pPr>
      <w:r>
        <w:t xml:space="preserve">6.4 Conversion Plans</w:t>
      </w:r>
    </w:p>
    <w:p>
      <w:pPr>
        <w:pStyle w:val="Heading2"/>
      </w:pPr>
      <w:r>
        <w:t xml:space="preserve">6.4.1 Choice of conversion method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2000"/>
        <w:gridCol w:w="2326"/>
      </w:tblGrid>
      <w:tr>
        <w:trPr>
          <w:tblHeader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Advantage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Direct (big bang)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Stop the old way and start the new system on one day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Fast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risk if something fails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Parallel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 old and new together for a period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Safe; results can be compared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Double work for staff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Pilot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with one department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Problems found on a small scale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Slower overall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Phased</w:t>
            </w:r>
          </w:p>
        </w:tc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Introduce modules one by one</w:t>
            </w:r>
          </w:p>
        </w:tc>
        <w:tc>
          <w:tcPr>
            <w:tcW w:type="dxa" w:w="2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Spreads training load</w:t>
            </w:r>
          </w:p>
        </w:tc>
        <w:tc>
          <w:tcPr>
            <w:tcW w:type="dxa" w:w="23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Longer period of mixed systems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Recommended: pilot followed by phased roll-out, with the old incident spreadsheet kept in parallel for the first month.</w:t>
      </w:r>
      <w:r>
        <w:t xml:space="preserve"> Because training and quizzes are new activities, nothing needs to be replaced; only incident reporting changes an existing process, and for that the parallel period gives a safety net.</w:t>
      </w:r>
    </w:p>
    <w:p>
      <w:pPr>
        <w:pStyle w:val="Heading2"/>
      </w:pPr>
      <w:r>
        <w:t xml:space="preserve">6.4.2 Conversion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26"/>
        <w:gridCol w:w="1400"/>
      </w:tblGrid>
      <w:tr>
        <w:trPr>
          <w:tblHeader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Activities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 Preparation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Provision server, install, configure HTTPS, create administrator and officer accounts, load or write lessons, quizzes and simulations, back-up procedure tested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week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 Data conversion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 staff accounts (administrators create them, or staff self-register and the administrator checks them); enter open incidents from the spreadsheet through the incident form, recording the original date in the description; assign categories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week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 Pilot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department (about 10 users) uses all modules; collect feedback and fix issues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weeks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 Roll-out phase 1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staff: training and quizzes, alerts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weeks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 Roll-out phase 2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staff: phishing lab and incident reporting; old spreadsheet continues in parallel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weeks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 Cut-over</w:t>
            </w:r>
          </w:p>
        </w:tc>
        <w:tc>
          <w:tcPr>
            <w:tcW w:type="dxa" w:w="55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Spreadsheet frozen and archived; CyberShield Hub is the official record</w:t>
            </w:r>
          </w:p>
        </w:tc>
        <w:tc>
          <w:tcPr>
            <w:tcW w:type="dxa" w:w="1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day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6.4.3 Data conversion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Existing open incident records are re-entered through the incident form; the system generates new reference numbers, and the old identifiers and original dates are recorded in the description.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Staff lists come from HR; accounts are created by administrators or by self-registration, and users set their own passwords.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Historic training attendance may be recorded as a note, but scores start fresh.</w:t>
      </w:r>
    </w:p>
    <w:p>
      <w:pPr>
        <w:pStyle w:val="Heading2"/>
      </w:pPr>
      <w:r>
        <w:t xml:space="preserve">6.4.4 Training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626"/>
        <w:gridCol w:w="2400"/>
        <w:gridCol w:w="1100"/>
      </w:tblGrid>
      <w:tr>
        <w:trPr>
          <w:tblHeader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Group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Duration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staff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Registering, dashboard, lessons, quizzes, phishing lab, reporting an incident, alerts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demonstration plus hands-on session; user manual and short video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hour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Cybersecurity officers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 queue, assignment, status workflow, timeline notes, alerts, analytics, audit log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Workshop with practice incidents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hours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administrators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Installation, configuration, users and roles, content authoring, backup and restore, monitoring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Technical workshop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day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Management</w:t>
            </w:r>
          </w:p>
        </w:tc>
        <w:tc>
          <w:tcPr>
            <w:tcW w:type="dxa" w:w="36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Dashboards and what the figures mean</w:t>
            </w:r>
          </w:p>
        </w:tc>
        <w:tc>
          <w:tcPr>
            <w:tcW w:type="dxa" w:w="24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Short briefing</w:t>
            </w:r>
          </w:p>
        </w:tc>
        <w:tc>
          <w:tcPr>
            <w:tcW w:type="dxa" w:w="11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minutes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6.4.5 Risks and contingency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Contingency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 failure during roll-out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database and media backups; restore procedure tested; paper/e-mail reporting continues until restored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reluctance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Management sponsorship, short sessions, emphasise no-blame reporting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 connectivity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Mobile-friendly pages and the mobile app; lightweight pages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Wrong role assigned</w:t>
            </w:r>
          </w:p>
        </w:tc>
        <w:tc>
          <w:tcPr>
            <w:tcW w:type="dxa" w:w="60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 corrects role; audit log records the change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6.5 Post-Implementation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500"/>
        <w:gridCol w:w="2226"/>
      </w:tblGrid>
      <w:tr>
        <w:trPr>
          <w:tblHeader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Responsible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and media backups (and restore test)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backup; restore test quarterly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Apply security updates to Python, Django, Node packages and the operating system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Monthly, urgent updates at once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System 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audit log for unusual activity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Weekly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Cybersecurity officer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Add and refresh lessons, quizzes and phishing scenarios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Monthly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 / officer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Publish alerts about current threats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 needed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Cybersecurity officer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Post-implementation review: objectives met, user satisfaction survey, incident response times, quiz and phishing trends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months and 12 months after go-live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Project owner and supervisor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 requests and enhancements logged and prioritised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Ongoing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Administrator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 automated tests before every change is deployed</w:t>
            </w:r>
          </w:p>
        </w:tc>
        <w:tc>
          <w:tcPr>
            <w:tcW w:type="dxa" w:w="2500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change</w:t>
            </w:r>
          </w:p>
        </w:tc>
        <w:tc>
          <w:tcPr>
            <w:tcW w:type="dxa" w:w="2226"/>
            <w:tcBorders>
              <w:top w:val="single" w:color="B8C2D0" w:sz="4"/>
              <w:left w:val="single" w:color="B8C2D0" w:sz="4"/>
              <w:bottom w:val="single" w:color="B8C2D0" w:sz="4"/>
              <w:right w:val="single" w:color="B8C2D0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Success measures for the review:</w:t>
      </w:r>
      <w:r>
        <w:t xml:space="preserve"> percentage of staff who completed lessons; average quiz score and pass rate; phishing detection accuracy trend; number of incidents reported and the average time from report to first assignment and to closure; user satisfaction rating.</w:t>
      </w:r>
    </w:p>
    <w:p>
      <w:pPr>
        <w:spacing w:after="120"/>
      </w:pPr>
    </w:p>
    <w:p>
      <w:pPr>
        <w:pBdr>
          <w:top w:val="single" w:color="1F3A5F" w:sz="6" w:space="6"/>
        </w:pBdr>
        <w:spacing w:after="120" w:before="400"/>
      </w:pPr>
    </w:p>
    <w:p>
      <w:pPr>
        <w:spacing w:before="200"/>
      </w:pPr>
      <w:r>
        <w:rPr>
          <w:sz w:val="22"/>
          <w:szCs w:val="22"/>
        </w:rPr>
        <w:t xml:space="preserve">Date: ……………………….     Sign: Supervisor ……………………….     Student ……………………….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Kwekwe Polytechnic · ND3 IT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CyberShield Hub — Chapter 6: Implementation and Post-Implementation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Implementation and Post-Implementation Plan</dc:title>
  <dc:creator>CyberShield Hub project</dc:creator>
  <cp:lastModifiedBy>Un-named</cp:lastModifiedBy>
  <cp:revision>1</cp:revision>
  <dcterms:created xsi:type="dcterms:W3CDTF">2026-10-01T11:11:08.559Z</dcterms:created>
  <dcterms:modified xsi:type="dcterms:W3CDTF">2026-10-01T11:11:08.559Z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