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6</w:t>
      </w:r>
    </w:p>
    <w:p>
      <w:pPr>
        <w:spacing w:after="600"/>
        <w:jc w:val="center"/>
      </w:pPr>
      <w:r>
        <w:rPr>
          <w:b/>
          <w:bCs/>
          <w:caps/>
          <w:color w:val="1F3A5F"/>
          <w:sz w:val="44"/>
          <w:szCs w:val="44"/>
        </w:rPr>
        <w:t xml:space="preserve">Implementation and Post-Implementation Plan</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6.1 Introduction</w:t>
      </w:r>
    </w:p>
    <w:p>
      <w:pPr>
        <w:spacing w:after="120" w:line="300"/>
      </w:pPr>
      <w:r>
        <w:t xml:space="preserve">This chapter describes how CyberShield Hub is put into use in an organisation and how it is supported afterwards. It has the pre-presentation, the documentation with the user manual, the conversion and training plans, and the post-implementation plan.</w:t>
      </w:r>
    </w:p>
    <w:p>
      <w:pPr>
        <w:pStyle w:val="Heading1"/>
      </w:pPr>
      <w:r>
        <w:t xml:space="preserve">6.2 Pre-Presentation</w:t>
      </w:r>
    </w:p>
    <w:p>
      <w:pPr>
        <w:pStyle w:val="Heading2"/>
      </w:pPr>
      <w:r>
        <w:t xml:space="preserve">6.2.1 Presentation outline (15 minutes)</w:t>
      </w:r>
    </w:p>
    <w:p>
      <w:pPr>
        <w:keepNext/>
        <w:spacing w:after="60" w:before="120"/>
      </w:pPr>
      <w:r>
        <w:rPr>
          <w:b/>
          <w:bCs/>
          <w:color w:val="555555"/>
          <w:sz w:val="19"/>
          <w:szCs w:val="19"/>
        </w:rPr>
        <w:t xml:space="preserve">Table 6.1: Presentation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5426"/>
        <w:gridCol w:w="1000"/>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Part</w:t>
            </w:r>
          </w:p>
        </w:tc>
        <w:tc>
          <w:tcPr>
            <w:tcW w:type="dxa" w:w="5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Minutes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Title and problem</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Human error and informal incident handling</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Objectives and scope</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five objectives and what is in and out of scope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Solution overview</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architecture diagram and the three roles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Live demonstration</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script in 6.2.2</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 Proof</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335 automatic tests and 21 live flow checks pass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Implementation and benefits</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Conversion plan, training and benefits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 Conclusion and questions</w:t>
            </w:r>
          </w:p>
        </w:tc>
        <w:tc>
          <w:tcPr>
            <w:tcW w:type="dxa" w:w="5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Summary and questions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r>
    </w:tbl>
    <w:p>
      <w:pPr>
        <w:spacing w:after="120"/>
      </w:pPr>
    </w:p>
    <w:p>
      <w:pPr>
        <w:pStyle w:val="Heading2"/>
      </w:pPr>
      <w:r>
        <w:t xml:space="preserve">6.2.2 Demonstration script</w:t>
      </w:r>
    </w:p>
    <w:p>
      <w:pPr>
        <w:pStyle w:val="ListParagraph"/>
        <w:numPr>
          <w:ilvl w:val="0"/>
          <w:numId w:val="2"/>
        </w:numPr>
        <w:spacing w:after="60" w:line="288"/>
      </w:pPr>
      <w:r>
        <w:t xml:space="preserve">Log in as a normal user. Show the dashboard.</w:t>
      </w:r>
    </w:p>
    <w:p>
      <w:pPr>
        <w:pStyle w:val="ListParagraph"/>
        <w:numPr>
          <w:ilvl w:val="0"/>
          <w:numId w:val="2"/>
        </w:numPr>
        <w:spacing w:after="60" w:line="288"/>
      </w:pPr>
      <w:r>
        <w:t xml:space="preserve">Open a lesson and bookmark it. Take its quiz and show the result and tips.</w:t>
      </w:r>
    </w:p>
    <w:p>
      <w:pPr>
        <w:pStyle w:val="ListParagraph"/>
        <w:numPr>
          <w:ilvl w:val="0"/>
          <w:numId w:val="2"/>
        </w:numPr>
        <w:spacing w:after="60" w:line="288"/>
      </w:pPr>
      <w:r>
        <w:t xml:space="preserve">Open the phishing lab, check a link, choose red flags and show the feedback.</w:t>
      </w:r>
    </w:p>
    <w:p>
      <w:pPr>
        <w:pStyle w:val="ListParagraph"/>
        <w:numPr>
          <w:ilvl w:val="0"/>
          <w:numId w:val="2"/>
        </w:numPr>
        <w:spacing w:after="60" w:line="288"/>
      </w:pPr>
      <w:r>
        <w:t xml:space="preserve">Report an incident with an evidence file. Show the reference number.</w:t>
      </w:r>
    </w:p>
    <w:p>
      <w:pPr>
        <w:pStyle w:val="ListParagraph"/>
        <w:numPr>
          <w:ilvl w:val="0"/>
          <w:numId w:val="2"/>
        </w:numPr>
        <w:spacing w:after="60" w:line="288"/>
      </w:pPr>
      <w:r>
        <w:t xml:space="preserve">Log in as an administrator. Open the SOC queue, assign the incident, move it to Investigating and add a note.</w:t>
      </w:r>
    </w:p>
    <w:p>
      <w:pPr>
        <w:pStyle w:val="ListParagraph"/>
        <w:numPr>
          <w:ilvl w:val="0"/>
          <w:numId w:val="2"/>
        </w:numPr>
        <w:spacing w:after="60" w:line="288"/>
      </w:pPr>
      <w:r>
        <w:t xml:space="preserve">Go back to the reporter and show the new timeline entry.</w:t>
      </w:r>
    </w:p>
    <w:p>
      <w:pPr>
        <w:pStyle w:val="ListParagraph"/>
        <w:numPr>
          <w:ilvl w:val="0"/>
          <w:numId w:val="2"/>
        </w:numPr>
        <w:spacing w:after="60" w:line="288"/>
      </w:pPr>
      <w:r>
        <w:t xml:space="preserve">Log in as an administrator. Manage a user. Edit a lesson. Show the audit log and the CSV export.</w:t>
      </w:r>
    </w:p>
    <w:p>
      <w:pPr>
        <w:pStyle w:val="Heading2"/>
      </w:pPr>
      <w:r>
        <w:t xml:space="preserve">6.2.3 Preparation checklist</w:t>
      </w:r>
    </w:p>
    <w:p>
      <w:pPr>
        <w:pStyle w:val="ListParagraph"/>
        <w:numPr>
          <w:ilvl w:val="0"/>
          <w:numId w:val="3"/>
        </w:numPr>
        <w:spacing w:after="60" w:line="288"/>
      </w:pPr>
      <w:r>
        <w:t xml:space="preserve">Start the server with demo data: </w:t>
      </w:r>
      <w:r>
        <w:rPr>
          <w:rFonts w:ascii="Consolas" w:cs="Consolas" w:eastAsia="Consolas" w:hAnsi="Consolas"/>
          <w:sz w:val="20"/>
          <w:szCs w:val="20"/>
        </w:rPr>
        <w:t xml:space="preserve">python manage.py migrate</w:t>
      </w:r>
      <w:r>
        <w:t xml:space="preserve">, </w:t>
      </w:r>
      <w:r>
        <w:rPr>
          <w:rFonts w:ascii="Consolas" w:cs="Consolas" w:eastAsia="Consolas" w:hAnsi="Consolas"/>
          <w:sz w:val="20"/>
          <w:szCs w:val="20"/>
        </w:rPr>
        <w:t xml:space="preserve">python manage.py seed_demo</w:t>
      </w:r>
      <w:r>
        <w:t xml:space="preserve">, </w:t>
      </w:r>
      <w:r>
        <w:rPr>
          <w:rFonts w:ascii="Consolas" w:cs="Consolas" w:eastAsia="Consolas" w:hAnsi="Consolas"/>
          <w:sz w:val="20"/>
          <w:szCs w:val="20"/>
        </w:rPr>
        <w:t xml:space="preserve">python manage.py runserver</w:t>
      </w:r>
      <w:r>
        <w:t xml:space="preserve"> (see </w:t>
      </w:r>
      <w:r>
        <w:rPr>
          <w:rFonts w:ascii="Consolas" w:cs="Consolas" w:eastAsia="Consolas" w:hAnsi="Consolas"/>
          <w:sz w:val="20"/>
          <w:szCs w:val="20"/>
        </w:rPr>
        <w:t xml:space="preserve">LaunchMe.md</w:t>
      </w:r>
      <w:r>
        <w:t xml:space="preserve">).</w:t>
      </w:r>
    </w:p>
    <w:p>
      <w:pPr>
        <w:pStyle w:val="ListParagraph"/>
        <w:numPr>
          <w:ilvl w:val="0"/>
          <w:numId w:val="3"/>
        </w:numPr>
        <w:spacing w:after="60" w:line="288"/>
      </w:pPr>
      <w:r>
        <w:t xml:space="preserve">Start the web app with </w:t>
      </w:r>
      <w:r>
        <w:rPr>
          <w:rFonts w:ascii="Consolas" w:cs="Consolas" w:eastAsia="Consolas" w:hAnsi="Consolas"/>
          <w:sz w:val="20"/>
          <w:szCs w:val="20"/>
        </w:rPr>
        <w:t xml:space="preserve">npm run dev</w:t>
      </w:r>
      <w:r>
        <w:t xml:space="preserve">.</w:t>
      </w:r>
    </w:p>
    <w:p>
      <w:pPr>
        <w:pStyle w:val="ListParagraph"/>
        <w:numPr>
          <w:ilvl w:val="0"/>
          <w:numId w:val="3"/>
        </w:numPr>
        <w:spacing w:after="60" w:line="288"/>
      </w:pPr>
      <w:r>
        <w:t xml:space="preserve">Keep two browser profiles open: user and administrator.</w:t>
      </w:r>
    </w:p>
    <w:p>
      <w:pPr>
        <w:pStyle w:val="ListParagraph"/>
        <w:numPr>
          <w:ilvl w:val="0"/>
          <w:numId w:val="3"/>
        </w:numPr>
        <w:spacing w:after="60" w:line="288"/>
      </w:pPr>
      <w:r>
        <w:t xml:space="preserve">Keep two sample evidence files on the desktop: a screenshot and a PDF.</w:t>
      </w:r>
    </w:p>
    <w:p>
      <w:pPr>
        <w:pStyle w:val="Heading1"/>
      </w:pPr>
      <w:r>
        <w:t xml:space="preserve">6.3 Documentation</w:t>
      </w:r>
    </w:p>
    <w:p>
      <w:pPr>
        <w:keepNext/>
        <w:spacing w:after="60" w:before="120"/>
      </w:pPr>
      <w:r>
        <w:rPr>
          <w:b/>
          <w:bCs/>
          <w:color w:val="555555"/>
          <w:sz w:val="19"/>
          <w:szCs w:val="19"/>
        </w:rPr>
        <w:t xml:space="preserve">Table 6.2: Project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6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Document</w:t>
            </w:r>
          </w:p>
        </w:tc>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Reader</w:t>
            </w:r>
          </w:p>
        </w:tc>
        <w:tc>
          <w:tcPr>
            <w:tcW w:type="dxa" w:w="2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Place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Project chapters 1 to 7, appendices and the combined document</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Supervisor, examiners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docs/project-documentation/</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README and LaunchMe (install and run guide)</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Administrators, developers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README.md</w:t>
            </w:r>
            <w:r>
              <w:rPr>
                <w:sz w:val="19"/>
                <w:szCs w:val="19"/>
              </w:rPr>
              <w:t xml:space="preserve">, </w:t>
            </w:r>
            <w:r>
              <w:rPr>
                <w:rFonts w:ascii="Consolas" w:cs="Consolas" w:eastAsia="Consolas" w:hAnsi="Consolas"/>
                <w:sz w:val="19"/>
                <w:szCs w:val="19"/>
              </w:rPr>
              <w:t xml:space="preserve">LaunchMe.md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Architecture notes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docs/architecture.md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map and API documentation page</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docs/api_endpoints.md</w:t>
            </w:r>
            <w:r>
              <w:rPr>
                <w:sz w:val="19"/>
                <w:szCs w:val="19"/>
              </w:rPr>
              <w:t xml:space="preserve">, </w:t>
            </w:r>
            <w:r>
              <w:rPr>
                <w:rFonts w:ascii="Consolas" w:cs="Consolas" w:eastAsia="Consolas" w:hAnsi="Consolas"/>
                <w:sz w:val="19"/>
                <w:szCs w:val="19"/>
              </w:rPr>
              <w:t xml:space="preserve">/api/v1/docs/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 schema</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 administrators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docs/database_schema.sql</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manual</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and administrators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Section 6.3.1</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guide</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administrators</w:t>
            </w:r>
          </w:p>
        </w:tc>
        <w:tc>
          <w:tcPr>
            <w:tcW w:type="dxa" w:w="2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Section 6.3.2</w:t>
            </w:r>
          </w:p>
        </w:tc>
      </w:tr>
    </w:tbl>
    <w:p>
      <w:pPr>
        <w:spacing w:after="120"/>
      </w:pPr>
    </w:p>
    <w:p>
      <w:pPr>
        <w:pStyle w:val="Heading2"/>
      </w:pPr>
      <w:r>
        <w:t xml:space="preserve">6.3.1 User manual</w:t>
      </w:r>
    </w:p>
    <w:p>
      <w:pPr>
        <w:pStyle w:val="Heading3"/>
      </w:pPr>
      <w:r>
        <w:t xml:space="preserve">A. Getting started (all users)</w:t>
      </w:r>
    </w:p>
    <w:p>
      <w:pPr>
        <w:pStyle w:val="ListParagraph"/>
        <w:numPr>
          <w:ilvl w:val="0"/>
          <w:numId w:val="4"/>
        </w:numPr>
        <w:spacing w:after="60" w:line="288"/>
      </w:pPr>
      <w:r>
        <w:t xml:space="preserve">Open the CyberShield Hub address in your browser.</w:t>
      </w:r>
    </w:p>
    <w:p>
      <w:pPr>
        <w:pStyle w:val="ListParagraph"/>
        <w:numPr>
          <w:ilvl w:val="0"/>
          <w:numId w:val="4"/>
        </w:numPr>
        <w:spacing w:after="60" w:line="288"/>
      </w:pPr>
      <w:r>
        <w:t xml:space="preserve">Choose </w:t>
      </w:r>
      <w:r>
        <w:rPr>
          <w:b/>
          <w:bCs/>
        </w:rPr>
        <w:t xml:space="preserve">Create account</w:t>
      </w:r>
      <w:r>
        <w:t xml:space="preserve">. Enter your name, e-mail and a password of at least 10 characters. Submit the form.</w:t>
      </w:r>
    </w:p>
    <w:p>
      <w:pPr>
        <w:pStyle w:val="ListParagraph"/>
        <w:numPr>
          <w:ilvl w:val="0"/>
          <w:numId w:val="4"/>
        </w:numPr>
        <w:spacing w:after="60" w:line="288"/>
      </w:pPr>
      <w:r>
        <w:t xml:space="preserve">Sign in with your e-mail and password. To reset a forgotten password, choose </w:t>
      </w:r>
      <w:r>
        <w:rPr>
          <w:b/>
          <w:bCs/>
        </w:rPr>
        <w:t xml:space="preserve">Reset password</w:t>
      </w:r>
      <w:r>
        <w:t xml:space="preserve"> and follow the link.</w:t>
      </w:r>
    </w:p>
    <w:p>
      <w:pPr>
        <w:pStyle w:val="ListParagraph"/>
        <w:numPr>
          <w:ilvl w:val="0"/>
          <w:numId w:val="4"/>
        </w:numPr>
        <w:spacing w:after="60" w:line="288"/>
      </w:pPr>
      <w:r>
        <w:t xml:space="preserve">The </w:t>
      </w:r>
      <w:r>
        <w:rPr>
          <w:b/>
          <w:bCs/>
        </w:rPr>
        <w:t xml:space="preserve">Dashboard</w:t>
      </w:r>
      <w:r>
        <w:t xml:space="preserve"> shows your security score, learning progress, quiz and phishing results and incidents.</w:t>
      </w:r>
    </w:p>
    <w:p>
      <w:pPr>
        <w:pStyle w:val="ListParagraph"/>
        <w:numPr>
          <w:ilvl w:val="0"/>
          <w:numId w:val="4"/>
        </w:numPr>
        <w:spacing w:after="60" w:line="288"/>
      </w:pPr>
      <w:r>
        <w:t xml:space="preserve">Use </w:t>
      </w:r>
      <w:r>
        <w:rPr>
          <w:b/>
          <w:bCs/>
        </w:rPr>
        <w:t xml:space="preserve">Account</w:t>
      </w:r>
      <w:r>
        <w:t xml:space="preserve"> to change your profile or password. Choose </w:t>
      </w:r>
      <w:r>
        <w:rPr>
          <w:b/>
          <w:bCs/>
        </w:rPr>
        <w:t xml:space="preserve">Sign out</w:t>
      </w:r>
      <w:r>
        <w:t xml:space="preserve"> when you finish.</w:t>
      </w:r>
    </w:p>
    <w:p>
      <w:pPr>
        <w:pStyle w:val="Heading3"/>
      </w:pPr>
      <w:r>
        <w:t xml:space="preserve">B. Learn</w:t>
      </w:r>
    </w:p>
    <w:p>
      <w:pPr>
        <w:keepNext/>
        <w:spacing w:after="60" w:before="120"/>
      </w:pPr>
      <w:r>
        <w:rPr>
          <w:b/>
          <w:bCs/>
          <w:color w:val="555555"/>
          <w:sz w:val="19"/>
          <w:szCs w:val="19"/>
        </w:rPr>
        <w:t xml:space="preserve">Table 6.3: User manual: learning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Task</w:t>
            </w:r>
          </w:p>
        </w:tc>
        <w:tc>
          <w:tcPr>
            <w:tcW w:type="dxa" w:w="6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Find a lesson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Type in the search box or filter by category and difficulty. Select a card.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Read a lesson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the lesson. Your progress is saved. Choose </w:t>
            </w:r>
            <w:r>
              <w:rPr>
                <w:b/>
                <w:bCs/>
                <w:sz w:val="19"/>
                <w:szCs w:val="19"/>
              </w:rPr>
              <w:t xml:space="preserve">Mark complete</w:t>
            </w:r>
            <w:r>
              <w:rPr>
                <w:sz w:val="19"/>
                <w:szCs w:val="19"/>
              </w:rPr>
              <w:t xml:space="preserve"> at the end.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a lesson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Select the bookmark icon on the lesson.</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Choose a quiz and check the attempts left. Start, answer every question before the timer ends, then submit.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Read your result</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result page shows your score, pass or fail, the correct answers with reasons, and lessons for your weak topics.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Practise phishing detection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lab. Open a message, check the sender and links, tick the red flags, choose Safe or Suspicious, then read the feedback.</w:t>
            </w:r>
          </w:p>
        </w:tc>
      </w:tr>
    </w:tbl>
    <w:p>
      <w:pPr>
        <w:spacing w:after="120"/>
      </w:pPr>
    </w:p>
    <w:p>
      <w:pPr>
        <w:pStyle w:val="Heading3"/>
      </w:pPr>
      <w:r>
        <w:t xml:space="preserve">C. Report and follow an incident</w:t>
      </w:r>
    </w:p>
    <w:p>
      <w:pPr>
        <w:pStyle w:val="ListParagraph"/>
        <w:numPr>
          <w:ilvl w:val="0"/>
          <w:numId w:val="5"/>
        </w:numPr>
        <w:spacing w:after="60" w:line="288"/>
      </w:pPr>
      <w:r>
        <w:t xml:space="preserve">Open </w:t>
      </w:r>
      <w:r>
        <w:rPr>
          <w:b/>
          <w:bCs/>
        </w:rPr>
        <w:t xml:space="preserve">Incidents</w:t>
      </w:r>
      <w:r>
        <w:t xml:space="preserve">, then </w:t>
      </w:r>
      <w:r>
        <w:rPr>
          <w:b/>
          <w:bCs/>
        </w:rPr>
        <w:t xml:space="preserve">Report incident</w:t>
      </w:r>
      <w:r>
        <w:t xml:space="preserve">.</w:t>
      </w:r>
    </w:p>
    <w:p>
      <w:pPr>
        <w:pStyle w:val="ListParagraph"/>
        <w:numPr>
          <w:ilvl w:val="0"/>
          <w:numId w:val="5"/>
        </w:numPr>
        <w:spacing w:after="60" w:line="288"/>
      </w:pPr>
      <w:r>
        <w:t xml:space="preserve">Write a clear title. Give the affected system, category, severity, the time it happened and a description.</w:t>
      </w:r>
    </w:p>
    <w:p>
      <w:pPr>
        <w:pStyle w:val="ListParagraph"/>
        <w:numPr>
          <w:ilvl w:val="0"/>
          <w:numId w:val="5"/>
        </w:numPr>
        <w:spacing w:after="60" w:line="288"/>
      </w:pPr>
      <w:r>
        <w:t xml:space="preserve">Attach evidence such as screenshots, e-mails or logs. Allowed types: png, jpg, jpeg, pdf, txt, log, eml, msg. Each file is up to 10 MB.</w:t>
      </w:r>
    </w:p>
    <w:p>
      <w:pPr>
        <w:pStyle w:val="ListParagraph"/>
        <w:numPr>
          <w:ilvl w:val="0"/>
          <w:numId w:val="5"/>
        </w:numPr>
        <w:spacing w:after="60" w:line="288"/>
      </w:pPr>
      <w:r>
        <w:t xml:space="preserve">Choose </w:t>
      </w:r>
      <w:r>
        <w:rPr>
          <w:b/>
          <w:bCs/>
        </w:rPr>
        <w:t xml:space="preserve">Save draft</w:t>
      </w:r>
      <w:r>
        <w:t xml:space="preserve"> to finish later, or </w:t>
      </w:r>
      <w:r>
        <w:rPr>
          <w:b/>
          <w:bCs/>
        </w:rPr>
        <w:t xml:space="preserve">Submit</w:t>
      </w:r>
      <w:r>
        <w:t xml:space="preserve">. Write down the reference number (INC-date-code).</w:t>
      </w:r>
    </w:p>
    <w:p>
      <w:pPr>
        <w:pStyle w:val="ListParagraph"/>
        <w:numPr>
          <w:ilvl w:val="0"/>
          <w:numId w:val="5"/>
        </w:numPr>
        <w:spacing w:after="60" w:line="288"/>
      </w:pPr>
      <w:r>
        <w:t xml:space="preserve">Open </w:t>
      </w:r>
      <w:r>
        <w:rPr>
          <w:b/>
          <w:bCs/>
        </w:rPr>
        <w:t xml:space="preserve">Incidents</w:t>
      </w:r>
      <w:r>
        <w:t xml:space="preserve"> and select an incident to see its status and timeline.</w:t>
      </w:r>
    </w:p>
    <w:p>
      <w:pPr>
        <w:pStyle w:val="Heading3"/>
      </w:pPr>
      <w:r>
        <w:t xml:space="preserve">D. Administrator tasks</w:t>
      </w:r>
    </w:p>
    <w:p>
      <w:pPr>
        <w:keepNext/>
        <w:spacing w:after="60" w:before="120"/>
      </w:pPr>
      <w:r>
        <w:rPr>
          <w:b/>
          <w:bCs/>
          <w:color w:val="555555"/>
          <w:sz w:val="19"/>
          <w:szCs w:val="19"/>
        </w:rPr>
        <w:t xml:space="preserve">Table 6.4: User manual: administrators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Task</w:t>
            </w:r>
          </w:p>
        </w:tc>
        <w:tc>
          <w:tcPr>
            <w:tcW w:type="dxa" w:w="6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Review the queue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Incidents are in columns by status, highest priority first. The heat map compares severity with status.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 an incident</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the incident. In the manage panel choose an administrator and select Assign.</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Change status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 the manage panel choose the new status (Investigating, Escalated, Resolved or Closed) and write a note. The timeline updates.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View analytics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Read the training, quiz, phishing, incident and risk charts.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the audit log</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 Filter or search, then choose Export.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 users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Activate or deactivate an account, change a role or unlock sign-in.</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 content</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Content library. Choose Lessons, Quizzes, Phishing or Categories. Select New or Edit, then Save.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 quiz rules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settings. Set the pass score, time limit, attempts and question order.</w:t>
            </w:r>
          </w:p>
        </w:tc>
      </w:tr>
    </w:tbl>
    <w:p>
      <w:pPr>
        <w:spacing w:after="120"/>
      </w:pPr>
    </w:p>
    <w:p>
      <w:pPr>
        <w:pStyle w:val="Heading3"/>
      </w:pPr>
      <w:r>
        <w:t xml:space="preserve">E. Troubleshooting</w:t>
      </w:r>
    </w:p>
    <w:p>
      <w:pPr>
        <w:keepNext/>
        <w:spacing w:after="60" w:before="120"/>
      </w:pPr>
      <w:r>
        <w:rPr>
          <w:b/>
          <w:bCs/>
          <w:color w:val="555555"/>
          <w:sz w:val="19"/>
          <w:szCs w:val="19"/>
        </w:rPr>
        <w:t xml:space="preserve">Table 6.5: User manual: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Cannot log in</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the e-mail and password. After many wrong tries, wait one minute. An administrator unlocks a deactivated account.</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session ended</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 in again.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file is refused</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the type (png, jpg, jpeg, pdf, txt, log, eml, msg) and the size (under 10 MB).</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shows no attempts left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 administrator raises the attempt limit in Quiz settings.</w:t>
            </w:r>
          </w:p>
        </w:tc>
      </w:tr>
    </w:tbl>
    <w:p>
      <w:pPr>
        <w:spacing w:after="120"/>
      </w:pPr>
    </w:p>
    <w:p>
      <w:pPr>
        <w:pStyle w:val="Heading2"/>
      </w:pPr>
      <w:r>
        <w:t xml:space="preserve">6.3.2 Administrator guide (installation)</w:t>
      </w:r>
    </w:p>
    <w:p>
      <w:pPr>
        <w:pStyle w:val="ListParagraph"/>
        <w:numPr>
          <w:ilvl w:val="0"/>
          <w:numId w:val="6"/>
        </w:numPr>
        <w:spacing w:after="60" w:line="288"/>
      </w:pPr>
      <w:r>
        <w:t xml:space="preserve">Install Python 3.12 or newer and Node.js 20 or newer.</w:t>
      </w:r>
    </w:p>
    <w:p>
      <w:pPr>
        <w:pStyle w:val="ListParagraph"/>
        <w:numPr>
          <w:ilvl w:val="0"/>
          <w:numId w:val="6"/>
        </w:numPr>
        <w:spacing w:after="60" w:line="288"/>
      </w:pPr>
      <w:r>
        <w:t xml:space="preserve">Copy </w:t>
      </w:r>
      <w:r>
        <w:rPr>
          <w:rFonts w:ascii="Consolas" w:cs="Consolas" w:eastAsia="Consolas" w:hAnsi="Consolas"/>
          <w:sz w:val="20"/>
          <w:szCs w:val="20"/>
        </w:rPr>
        <w:t xml:space="preserve">.env.example</w:t>
      </w:r>
      <w:r>
        <w:t xml:space="preserve"> to </w:t>
      </w:r>
      <w:r>
        <w:rPr>
          <w:rFonts w:ascii="Consolas" w:cs="Consolas" w:eastAsia="Consolas" w:hAnsi="Consolas"/>
          <w:sz w:val="20"/>
          <w:szCs w:val="20"/>
        </w:rPr>
        <w:t xml:space="preserve">.env</w:t>
      </w:r>
      <w:r>
        <w:t xml:space="preserve">. Set </w:t>
      </w:r>
      <w:r>
        <w:rPr>
          <w:rFonts w:ascii="Consolas" w:cs="Consolas" w:eastAsia="Consolas" w:hAnsi="Consolas"/>
          <w:sz w:val="20"/>
          <w:szCs w:val="20"/>
        </w:rPr>
        <w:t xml:space="preserve">DJANGO_SECRET_KEY</w:t>
      </w:r>
      <w:r>
        <w:t xml:space="preserve">, </w:t>
      </w:r>
      <w:r>
        <w:rPr>
          <w:rFonts w:ascii="Consolas" w:cs="Consolas" w:eastAsia="Consolas" w:hAnsi="Consolas"/>
          <w:sz w:val="20"/>
          <w:szCs w:val="20"/>
        </w:rPr>
        <w:t xml:space="preserve">DJANGO_DEBUG=False</w:t>
      </w:r>
      <w:r>
        <w:t xml:space="preserve">, </w:t>
      </w:r>
      <w:r>
        <w:rPr>
          <w:rFonts w:ascii="Consolas" w:cs="Consolas" w:eastAsia="Consolas" w:hAnsi="Consolas"/>
          <w:sz w:val="20"/>
          <w:szCs w:val="20"/>
        </w:rPr>
        <w:t xml:space="preserve">DJANGO_ALLOWED_HOSTS</w:t>
      </w:r>
      <w:r>
        <w:t xml:space="preserve">, </w:t>
      </w:r>
      <w:r>
        <w:rPr>
          <w:rFonts w:ascii="Consolas" w:cs="Consolas" w:eastAsia="Consolas" w:hAnsi="Consolas"/>
          <w:sz w:val="20"/>
          <w:szCs w:val="20"/>
        </w:rPr>
        <w:t xml:space="preserve">CORS_ALLOWED_ORIGINS</w:t>
      </w:r>
      <w:r>
        <w:t xml:space="preserve"> and the database settings (</w:t>
      </w:r>
      <w:r>
        <w:rPr>
          <w:rFonts w:ascii="Consolas" w:cs="Consolas" w:eastAsia="Consolas" w:hAnsi="Consolas"/>
          <w:sz w:val="20"/>
          <w:szCs w:val="20"/>
        </w:rPr>
        <w:t xml:space="preserve">DB_ENGINE=mysql</w:t>
      </w:r>
      <w:r>
        <w:t xml:space="preserve"> for MySQL).</w:t>
      </w:r>
    </w:p>
    <w:p>
      <w:pPr>
        <w:pStyle w:val="ListParagraph"/>
        <w:numPr>
          <w:ilvl w:val="0"/>
          <w:numId w:val="6"/>
        </w:numPr>
        <w:spacing w:after="60" w:line="288"/>
      </w:pPr>
      <w:r>
        <w:t xml:space="preserve">In </w:t>
      </w:r>
      <w:r>
        <w:rPr>
          <w:rFonts w:ascii="Consolas" w:cs="Consolas" w:eastAsia="Consolas" w:hAnsi="Consolas"/>
          <w:sz w:val="20"/>
          <w:szCs w:val="20"/>
        </w:rPr>
        <w:t xml:space="preserve">backend/</w:t>
      </w:r>
      <w:r>
        <w:t xml:space="preserve">: make a virtual environment, run </w:t>
      </w:r>
      <w:r>
        <w:rPr>
          <w:rFonts w:ascii="Consolas" w:cs="Consolas" w:eastAsia="Consolas" w:hAnsi="Consolas"/>
          <w:sz w:val="20"/>
          <w:szCs w:val="20"/>
        </w:rPr>
        <w:t xml:space="preserve">pip install -r requirements.txt</w:t>
      </w:r>
      <w:r>
        <w:t xml:space="preserve"> and </w:t>
      </w:r>
      <w:r>
        <w:rPr>
          <w:rFonts w:ascii="Consolas" w:cs="Consolas" w:eastAsia="Consolas" w:hAnsi="Consolas"/>
          <w:sz w:val="20"/>
          <w:szCs w:val="20"/>
        </w:rPr>
        <w:t xml:space="preserve">python manage.py migrate</w:t>
      </w:r>
      <w:r>
        <w:t xml:space="preserve">. Make the first administrator with </w:t>
      </w:r>
      <w:r>
        <w:rPr>
          <w:rFonts w:ascii="Consolas" w:cs="Consolas" w:eastAsia="Consolas" w:hAnsi="Consolas"/>
          <w:sz w:val="20"/>
          <w:szCs w:val="20"/>
        </w:rPr>
        <w:t xml:space="preserve">python manage.py createsuperuser</w:t>
      </w:r>
      <w:r>
        <w:t xml:space="preserve">.</w:t>
      </w:r>
    </w:p>
    <w:p>
      <w:pPr>
        <w:pStyle w:val="ListParagraph"/>
        <w:numPr>
          <w:ilvl w:val="0"/>
          <w:numId w:val="6"/>
        </w:numPr>
        <w:spacing w:after="60" w:line="288"/>
      </w:pPr>
      <w:r>
        <w:t xml:space="preserve">Run the API behind a web server with HTTPS. Build the web app with </w:t>
      </w:r>
      <w:r>
        <w:rPr>
          <w:rFonts w:ascii="Consolas" w:cs="Consolas" w:eastAsia="Consolas" w:hAnsi="Consolas"/>
          <w:sz w:val="20"/>
          <w:szCs w:val="20"/>
        </w:rPr>
        <w:t xml:space="preserve">npm run build</w:t>
      </w:r>
      <w:r>
        <w:t xml:space="preserve"> and serve the result.</w:t>
      </w:r>
    </w:p>
    <w:p>
      <w:pPr>
        <w:pStyle w:val="ListParagraph"/>
        <w:numPr>
          <w:ilvl w:val="0"/>
          <w:numId w:val="6"/>
        </w:numPr>
        <w:spacing w:after="60" w:line="288"/>
      </w:pPr>
      <w:r>
        <w:t xml:space="preserve">Check the health page (</w:t>
      </w:r>
      <w:r>
        <w:rPr>
          <w:rFonts w:ascii="Consolas" w:cs="Consolas" w:eastAsia="Consolas" w:hAnsi="Consolas"/>
          <w:sz w:val="20"/>
          <w:szCs w:val="20"/>
        </w:rPr>
        <w:t xml:space="preserve">/health/</w:t>
      </w:r>
      <w:r>
        <w:t xml:space="preserve">) and the API documentation page (</w:t>
      </w:r>
      <w:r>
        <w:rPr>
          <w:rFonts w:ascii="Consolas" w:cs="Consolas" w:eastAsia="Consolas" w:hAnsi="Consolas"/>
          <w:sz w:val="20"/>
          <w:szCs w:val="20"/>
        </w:rPr>
        <w:t xml:space="preserve">/api/v1/docs/</w:t>
      </w:r>
      <w:r>
        <w:t xml:space="preserve">).</w:t>
      </w:r>
    </w:p>
    <w:p>
      <w:pPr>
        <w:pStyle w:val="ListParagraph"/>
        <w:numPr>
          <w:ilvl w:val="0"/>
          <w:numId w:val="6"/>
        </w:numPr>
        <w:spacing w:after="60" w:line="288"/>
      </w:pPr>
      <w:r>
        <w:t xml:space="preserve">Run </w:t>
      </w:r>
      <w:r>
        <w:rPr>
          <w:rFonts w:ascii="Consolas" w:cs="Consolas" w:eastAsia="Consolas" w:hAnsi="Consolas"/>
          <w:sz w:val="20"/>
          <w:szCs w:val="20"/>
        </w:rPr>
        <w:t xml:space="preserve">seed_demo</w:t>
      </w:r>
      <w:r>
        <w:t xml:space="preserve"> only on a training copy. It creates sample accounts with a known password.</w:t>
      </w:r>
    </w:p>
    <w:p>
      <w:pPr>
        <w:pStyle w:val="Heading1"/>
      </w:pPr>
      <w:r>
        <w:t xml:space="preserve">6.4 Conversion Plans</w:t>
      </w:r>
    </w:p>
    <w:p>
      <w:pPr>
        <w:pStyle w:val="Heading2"/>
      </w:pPr>
      <w:r>
        <w:t xml:space="preserve">6.4.1 Method</w:t>
      </w:r>
    </w:p>
    <w:p>
      <w:pPr>
        <w:spacing w:after="120" w:line="300"/>
      </w:pPr>
      <w:r>
        <w:t xml:space="preserve">The conversion method is a pilot followed by a phased roll-out. The old incident spreadsheet stays in use for the first month. Training and quizzes are new activities, so nothing is replaced. Only incident reporting changes an existing process, and the old spreadsheet is the safety net for it.</w:t>
      </w:r>
    </w:p>
    <w:p>
      <w:pPr>
        <w:pStyle w:val="Heading2"/>
      </w:pPr>
      <w:r>
        <w:t xml:space="preserve">6.4.2 Schedule</w:t>
      </w:r>
    </w:p>
    <w:p>
      <w:pPr>
        <w:keepNext/>
        <w:spacing w:after="60" w:before="120"/>
      </w:pPr>
      <w:r>
        <w:rPr>
          <w:b/>
          <w:bCs/>
          <w:color w:val="555555"/>
          <w:sz w:val="19"/>
          <w:szCs w:val="19"/>
        </w:rPr>
        <w:t xml:space="preserve">Table 6.6: Conversion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526"/>
        <w:gridCol w:w="1400"/>
      </w:tblGrid>
      <w:tr>
        <w:trPr>
          <w:tblHeader/>
        </w:trPr>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Stage</w:t>
            </w:r>
          </w:p>
        </w:tc>
        <w:tc>
          <w:tcPr>
            <w:tcW w:type="dxa" w:w="5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Activities</w:t>
            </w:r>
          </w:p>
        </w:tc>
        <w:tc>
          <w:tcPr>
            <w:tcW w:type="dxa" w:w="1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Time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Preparation</w:t>
            </w:r>
          </w:p>
        </w:tc>
        <w:tc>
          <w:tcPr>
            <w:tcW w:type="dxa" w:w="5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 up the server, HTTPS, administrator accounts. Load lessons, quizzes and simulations.</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week</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Data conversion</w:t>
            </w:r>
          </w:p>
        </w:tc>
        <w:tc>
          <w:tcPr>
            <w:tcW w:type="dxa" w:w="5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 staff accounts. Enter open incidents from the spreadsheet through the incident form. Write the original date in the description.</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week</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Pilot</w:t>
            </w:r>
          </w:p>
        </w:tc>
        <w:tc>
          <w:tcPr>
            <w:tcW w:type="dxa" w:w="5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department (about 10 users) uses every module. Feedback is collected and problems are fixed.</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weeks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Roll-out, phase 1</w:t>
            </w:r>
          </w:p>
        </w:tc>
        <w:tc>
          <w:tcPr>
            <w:tcW w:type="dxa" w:w="5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staff use training and quizzes.</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weeks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 Roll-out, phase 2</w:t>
            </w:r>
          </w:p>
        </w:tc>
        <w:tc>
          <w:tcPr>
            <w:tcW w:type="dxa" w:w="5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staff use the phishing lab and incident reporting. The old spreadsheet continues.</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weeks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Cut-over</w:t>
            </w:r>
          </w:p>
        </w:tc>
        <w:tc>
          <w:tcPr>
            <w:tcW w:type="dxa" w:w="5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spreadsheet is archived. CyberShield Hub is the official record.</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day</w:t>
            </w:r>
          </w:p>
        </w:tc>
      </w:tr>
    </w:tbl>
    <w:p>
      <w:pPr>
        <w:spacing w:after="120"/>
      </w:pPr>
    </w:p>
    <w:p>
      <w:pPr>
        <w:pStyle w:val="Heading2"/>
      </w:pPr>
      <w:r>
        <w:t xml:space="preserve">6.4.3 Training plan</w:t>
      </w:r>
    </w:p>
    <w:p>
      <w:pPr>
        <w:keepNext/>
        <w:spacing w:after="60" w:before="120"/>
      </w:pPr>
      <w:r>
        <w:rPr>
          <w:b/>
          <w:bCs/>
          <w:color w:val="555555"/>
          <w:sz w:val="19"/>
          <w:szCs w:val="19"/>
        </w:rPr>
        <w:t xml:space="preserve">Table 6.7: Training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2400"/>
        <w:gridCol w:w="1100"/>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Time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staff</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dashboard, lessons, quizzes, phishing lab, report an incident</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Demonstration and practice; user manual</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hour</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Install, settings, users and roles, content, SOC queue, assignment, status flow, timeline notes, analytics, audit log</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Technical workshop with practice incidents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day</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and what the numbers mean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Short briefing</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30 minutes</w:t>
            </w:r>
          </w:p>
        </w:tc>
      </w:tr>
    </w:tbl>
    <w:p>
      <w:pPr>
        <w:spacing w:after="120"/>
      </w:pPr>
    </w:p>
    <w:p>
      <w:pPr>
        <w:pStyle w:val="Heading1"/>
      </w:pPr>
      <w:r>
        <w:t xml:space="preserve">6.5 Post-Implementation Plan</w:t>
      </w:r>
    </w:p>
    <w:p>
      <w:pPr>
        <w:keepNext/>
        <w:spacing w:after="60" w:before="120"/>
      </w:pPr>
      <w:r>
        <w:rPr>
          <w:b/>
          <w:bCs/>
          <w:color w:val="555555"/>
          <w:sz w:val="19"/>
          <w:szCs w:val="19"/>
        </w:rPr>
        <w:t xml:space="preserve">Table 6.8: Post-implementation activities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500"/>
        <w:gridCol w:w="2226"/>
      </w:tblGrid>
      <w:tr>
        <w:trPr>
          <w:tblHeader/>
        </w:trPr>
        <w:tc>
          <w:tcPr>
            <w:tcW w:type="dxa" w:w="4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Activity</w:t>
            </w:r>
          </w:p>
        </w:tc>
        <w:tc>
          <w:tcPr>
            <w:tcW w:type="dxa" w:w="2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often</w:t>
            </w:r>
          </w:p>
        </w:tc>
        <w:tc>
          <w:tcPr>
            <w:tcW w:type="dxa" w:w="2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Backup of the database and media files; restore test</w:t>
            </w:r>
          </w:p>
        </w:tc>
        <w:tc>
          <w:tcPr>
            <w:tcW w:type="dxa" w:w="2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Backup daily; restore test every three months</w:t>
            </w:r>
          </w:p>
        </w:tc>
        <w:tc>
          <w:tcPr>
            <w:tcW w:type="dxa" w:w="2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updates for Python, Django, Node packages and the operating system</w:t>
            </w:r>
          </w:p>
        </w:tc>
        <w:tc>
          <w:tcPr>
            <w:tcW w:type="dxa" w:w="2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Monthly</w:t>
            </w:r>
          </w:p>
        </w:tc>
        <w:tc>
          <w:tcPr>
            <w:tcW w:type="dxa" w:w="2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Review of the audit log</w:t>
            </w:r>
          </w:p>
        </w:tc>
        <w:tc>
          <w:tcPr>
            <w:tcW w:type="dxa" w:w="2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Weekly</w:t>
            </w:r>
          </w:p>
        </w:tc>
        <w:tc>
          <w:tcPr>
            <w:tcW w:type="dxa" w:w="2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and updated lessons, quizzes and phishing scenarios</w:t>
            </w:r>
          </w:p>
        </w:tc>
        <w:tc>
          <w:tcPr>
            <w:tcW w:type="dxa" w:w="2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Monthly</w:t>
            </w:r>
          </w:p>
        </w:tc>
        <w:tc>
          <w:tcPr>
            <w:tcW w:type="dxa" w:w="2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Review of objectives, user satisfaction, response times, quiz and phishing results</w:t>
            </w:r>
          </w:p>
        </w:tc>
        <w:tc>
          <w:tcPr>
            <w:tcW w:type="dxa" w:w="2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months and 12 months after start</w:t>
            </w:r>
          </w:p>
        </w:tc>
        <w:tc>
          <w:tcPr>
            <w:tcW w:type="dxa" w:w="2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Project owner and supervisor</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Automatic tests before every change goes live</w:t>
            </w:r>
          </w:p>
        </w:tc>
        <w:tc>
          <w:tcPr>
            <w:tcW w:type="dxa" w:w="2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change</w:t>
            </w:r>
          </w:p>
        </w:tc>
        <w:tc>
          <w:tcPr>
            <w:tcW w:type="dxa" w:w="2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w:t>
            </w:r>
          </w:p>
        </w:tc>
      </w:tr>
    </w:tbl>
    <w:p>
      <w:pPr>
        <w:spacing w:after="120"/>
      </w:pPr>
    </w:p>
    <w:p>
      <w:pPr>
        <w:spacing w:after="120" w:line="300"/>
      </w:pPr>
      <w:r>
        <w:t xml:space="preserve">Measures for the review: the share of staff who finish lessons; the average quiz score and pass rate; phishing detection results; the number of incidents reported; the time from report to first assignment and to closure.</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6: Implementation and Post-Implementation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Implementation and Post-Implementation Plan</dc:title>
  <dc:creator>CyberShield Hub project</dc:creator>
  <cp:lastModifiedBy>Un-named</cp:lastModifiedBy>
  <cp:revision>1</cp:revision>
  <dcterms:created xsi:type="dcterms:W3CDTF">2026-10-15T08:14:02.557Z</dcterms:created>
  <dcterms:modified xsi:type="dcterms:W3CDTF">2026-10-15T08:14:02.557Z</dcterms:modified>
</cp:coreProperties>
</file>

<file path=docProps/custom.xml><?xml version="1.0" encoding="utf-8"?>
<Properties xmlns="http://schemas.openxmlformats.org/officeDocument/2006/custom-properties" xmlns:vt="http://schemas.openxmlformats.org/officeDocument/2006/docPropsVTypes"/>
</file>