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Aspectos que hicieron que el contrato se realizará con éxito.</w:t>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municipio abrió una invitación pública para que cualquier interesado pudiera presentar su propuesta. Aunque se recibió una única oferta, la de </w:t>
      </w:r>
      <w:r w:rsidDel="00000000" w:rsidR="00000000" w:rsidRPr="00000000">
        <w:rPr>
          <w:rFonts w:ascii="Times New Roman" w:cs="Times New Roman" w:eastAsia="Times New Roman" w:hAnsi="Times New Roman"/>
          <w:sz w:val="26"/>
          <w:szCs w:val="26"/>
          <w:rtl w:val="0"/>
        </w:rPr>
        <w:t xml:space="preserve">FUNMUNDO</w:t>
      </w:r>
      <w:r w:rsidDel="00000000" w:rsidR="00000000" w:rsidRPr="00000000">
        <w:rPr>
          <w:rFonts w:ascii="Times New Roman" w:cs="Times New Roman" w:eastAsia="Times New Roman" w:hAnsi="Times New Roman"/>
          <w:sz w:val="26"/>
          <w:szCs w:val="26"/>
          <w:rtl w:val="0"/>
        </w:rPr>
        <w:t xml:space="preserve">, no por eso se relajó la revisión. Por el contrario, se verificó cada documento, cada antecedente, cada requisito. La Secretaría de Planeación hizo su trabajo con rigurosidad, asegurándose de que quien fuera a quedar a cargo del cuidado de los adultos mayores realmente cumpliera con lo exigido. Esa revisión juiciosa fue la primera garantía de que las cosas arrancarían con el pie derecho.</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Sobre el contratista</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FUNMUNDO</w:t>
      </w:r>
      <w:r w:rsidDel="00000000" w:rsidR="00000000" w:rsidRPr="00000000">
        <w:rPr>
          <w:rFonts w:ascii="Times New Roman" w:cs="Times New Roman" w:eastAsia="Times New Roman" w:hAnsi="Times New Roman"/>
          <w:sz w:val="26"/>
          <w:szCs w:val="26"/>
          <w:rtl w:val="0"/>
        </w:rPr>
        <w:t xml:space="preserve"> no era un desconocido. Acreditó cinco contratos anteriores con el mismo municipio, todos con el mismo objeto: alimentar y cuidar a los adultos mayores de la Casa Santa Ana. Eso no solo demuestra experiencia, sino conocimiento del territorio, de la población y de lo que implica ejecutar este tipo de servicios. Además, presentó hojas de vida del personal propuesto con formación especializada en geriatría, primeros auxilios y manipulación de alimentos. </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Sobre la ejecución</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contrato se ejecutó en los 22 días pactados, sin prórrogas ni contratiempos. Se destinaron los recursos a cada uno de los componentes previstos: alimentación completa , cuidado personal, aseo, atención de enfermería y actividades recreativas. Al final, se firmó el acta de recibo final y el acta de liquidación, dejando constancia de que no quedan cuentas pendientes ni observaciones. Eso habla bien de ambas partes: del contratista, que cumplió; y del municipio, que supervisó de la mejor manera.</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