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Aspectos que hicieron que el contrato no se realizará con éxito.</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Pliegos.</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Desde el inicio, un oferente alertó que las llantas requeridas correspondían a referencias exclusivas de GOODYEAR. Eso, en lugar de abrir la convocatoria a múltiples marcas, la restringía de facto a un solo distribuidor. Así se vulnera el principio de pluralidad de oferentes.</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Errores técnicos. </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ficha técnica incluía una profundidad de llanta (26.2 mm) que, lo cual se advirtió que no existe en el mercado. Ese tipo de descuidos no solo genera desconfianza, sino que puede llevar a que los procesos queden desiertos o con ofertas que no se ajustan a la realidad.</w:t>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Condiciones logísticas</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exigió que el taller de montaje estuviera a máximo 10 km del parqueadero municipal, sin considerar que la maquinaria opera en zonas rurales de difícil acceso. Se desestimó la propuesta de permitir un carro taller móvil, que habría sido más práctico y eficiente para atender emergencias en sitio.</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 final, solo se presentó una propuesta. Más allá de que cumpliera requisitos, el hecho de que nadie más se haya interesado debería ser una señal de alerta: cuando los pliegos están bien diseñados y se escuchan las observaciones, suele llegar más de un oferente.</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proceso no fracasó por mala suerte, sino por falta de cuidado en el diseño de los pliegos, poca disposición a ajustar condiciones y una planificación que no tuvo en cuenta la realidad del municipio ni las alertas que se hicieron a tiempo.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