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1. Datos generales del proyecto.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6480"/>
        <w:tblGridChange w:id="0">
          <w:tblGrid>
            <w:gridCol w:w="252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estatal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proceso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Licitación pública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contrato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de contrato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(meses)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UNSPSC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72141107 - Servicio de construcción y reparación de puentes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general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CONSTRUCCIÓN DEL PUENTE VEHICULAR SOBRE LA QUEBRADA LA GUAYABAL, K7 + 100 VÍA </w:t>
            </w:r>
            <w:r w:rsidDel="00000000" w:rsidR="00000000" w:rsidRPr="00000000">
              <w:rPr>
                <w:rtl w:val="0"/>
              </w:rPr>
              <w:t xml:space="preserve">PIEDRAGORDA</w:t>
            </w:r>
            <w:r w:rsidDel="00000000" w:rsidR="00000000" w:rsidRPr="00000000">
              <w:rPr>
                <w:rtl w:val="0"/>
              </w:rPr>
              <w:t xml:space="preserve"> DEL MUNICIPIO DE BRICEÑO EN EL DEPARTAMENTO DE BOYACA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 de 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publicación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9/02/2018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presentación de ofertas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12/03/2018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cancelación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20/03/2018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2.692.697.950 COP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Dos mil seiscientos noventa y dos millones seiscientos noventa y siete mil novecientos cincuenta pesos colombianos.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Proceso cancelado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 del proceso de cancelación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 de la Entidad Estatal: Teniendo en cuenta visita técnica realizada el pasado 21 de febrero de 2018, por profesionales de la Subdirección Red Terciaria y Férrea al sitio donde se proyectó ejecutar la terminación del puente, se evidenciaron inconvenientes asociados a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estabilidad de la zona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que han afectado de manera importante la vía de ingreso al puente, al igual que se observaron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laderas y taludes adyacentes al puente erosionados</w:t>
            </w:r>
            <w:r w:rsidDel="00000000" w:rsidR="00000000" w:rsidRPr="00000000">
              <w:rPr>
                <w:rtl w:val="0"/>
              </w:rPr>
              <w:t xml:space="preserve"> y socavados que conllevarían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diseño de obras de protección y estabilización adicionales no presupuestadas</w:t>
            </w:r>
            <w:r w:rsidDel="00000000" w:rsidR="00000000" w:rsidRPr="00000000">
              <w:rPr>
                <w:rtl w:val="0"/>
              </w:rPr>
              <w:t xml:space="preserve"> en el proceso de contratación actual y a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reevaluación del alcance </w:t>
            </w:r>
            <w:r w:rsidDel="00000000" w:rsidR="00000000" w:rsidRPr="00000000">
              <w:rPr>
                <w:rtl w:val="0"/>
              </w:rPr>
              <w:t xml:space="preserve">de la obra actual. Es por esto, que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Subdirección Red Terciaria y Férrea determinó la suspensión definitiva de los actuales procesos de contratación, hasta tanto no se tengan los estudios y diseños que contemplen las obras de protección que garanticen la estabilidad de la vía y el puente</w:t>
            </w:r>
            <w:r w:rsidDel="00000000" w:rsidR="00000000" w:rsidRPr="00000000">
              <w:rPr>
                <w:rtl w:val="0"/>
              </w:rPr>
              <w:t xml:space="preserve">. Por lo anterior, la Entidad no hará pronunciamiento, respecto de las observaciones presentadas e invita a los interesados y veedores a revisar los procesos que se encuentran en trámite y aquellos que eventualmente sean publicados a través del SECOP con el fin de contar con su participación.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Tabla 2. </w:t>
      </w:r>
      <w:r w:rsidDel="00000000" w:rsidR="00000000" w:rsidRPr="00000000">
        <w:rPr>
          <w:rtl w:val="0"/>
        </w:rPr>
        <w:t xml:space="preserve">Información general de la empresa.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285"/>
        <w:tblGridChange w:id="0">
          <w:tblGrid>
            <w:gridCol w:w="2715"/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Misión y visión de la 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misión del INVIAS, es ejecutar políticas, estrategias, planes, programas y proyectos de infraestructura de la Red Vial carretera, férrea, fluvial y marítima, de acuerdo con los lineamientos dados por el Gobierno Nacional. Para el 2030 el INVIAS será reconocido por su liderazgo en la ejecución de infraestructura vial, con procesos de innovación tecnológica y un enfoque descentralizado; que favorece la articulación del transporte intermodal, la conectividad entre centros de producción y de consumo, para la generación de redes productivas y la integración regional y Territorial en el país.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 de recursos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Presupuesto de entidad nacional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¿Por qué se necesitaba el proyecto?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Porque: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Gobierno Nacional se comprometió a terminar el puente.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Ya existía una cimentación construida en 2015.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debía evaluar si esa estructura servía o necesitaba refuerzos.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 una vía clave de conectividad regional.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Mejorar accesibilidad, conectividad y tránsito.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Construcción del puente.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Revisar estudios existentes.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Diagnosticar la cimentación construida.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Hacer nuevos diseños si era necesario.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Proponer soluciones de refuerzo.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Construir la superestructura.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Hacer accesos y obras de protección.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Ensayos geotécnicos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Evaluación estructural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Revisión de diseños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Construcción de superestructura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Obras de acceso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Señalización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 de carga del puente.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la cimentación no servía: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9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contratista debía proponer soluciones técnicas.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 requeridas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3"/>
              <w:keepNext w:val="0"/>
              <w:keepLines w:val="0"/>
              <w:widowControl w:val="0"/>
              <w:numPr>
                <w:ilvl w:val="0"/>
                <w:numId w:val="8"/>
              </w:numPr>
              <w:spacing w:before="280" w:line="240" w:lineRule="auto"/>
              <w:ind w:left="720" w:hanging="360"/>
              <w:rPr>
                <w:b w:val="1"/>
                <w:bCs w:val="1"/>
                <w:sz w:val="26"/>
                <w:szCs w:val="26"/>
              </w:rPr>
            </w:pPr>
            <w:bookmarkStart w:colFirst="0" w:colLast="0" w:name="_rjv20nvab6kg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Garantías exigidas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Seriedad de la oferta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Cumplimiento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Calidad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Estabilidad de la obra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Style w:val="Heading3"/>
              <w:keepNext w:val="0"/>
              <w:keepLines w:val="0"/>
              <w:widowControl w:val="0"/>
              <w:numPr>
                <w:ilvl w:val="0"/>
                <w:numId w:val="8"/>
              </w:numPr>
              <w:spacing w:before="280" w:line="240" w:lineRule="auto"/>
              <w:ind w:left="720" w:hanging="360"/>
              <w:rPr>
                <w:b w:val="1"/>
                <w:bCs w:val="1"/>
                <w:sz w:val="26"/>
                <w:szCs w:val="26"/>
              </w:rPr>
            </w:pPr>
            <w:bookmarkStart w:colFirst="0" w:colLast="0" w:name="_syrar9dgcrwu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Condiciones del contrato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Plazo (6 meses)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Forma de pago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Tipo de contrato (precios unitarios)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Obligaciones del contratista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Style w:val="Heading3"/>
              <w:keepNext w:val="0"/>
              <w:keepLines w:val="0"/>
              <w:widowControl w:val="0"/>
              <w:numPr>
                <w:ilvl w:val="0"/>
                <w:numId w:val="8"/>
              </w:numPr>
              <w:spacing w:before="280" w:line="240" w:lineRule="auto"/>
              <w:ind w:left="720" w:hanging="360"/>
              <w:rPr>
                <w:b w:val="1"/>
                <w:bCs w:val="1"/>
                <w:sz w:val="26"/>
                <w:szCs w:val="26"/>
              </w:rPr>
            </w:pPr>
            <w:bookmarkStart w:colFirst="0" w:colLast="0" w:name="_cvg3r2s5ttwv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Causales de rechazo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cumplir experiencia mínima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presentar garantía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Oferta económica anormalmente baja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firmar documentos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Inhabilidades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Tabla 3. </w:t>
      </w:r>
      <w:r w:rsidDel="00000000" w:rsidR="00000000" w:rsidRPr="00000000">
        <w:rPr>
          <w:rtl w:val="0"/>
        </w:rPr>
        <w:t xml:space="preserve">Cronograma.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f48s0e0x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Cronograma del Proceso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2610"/>
        <w:gridCol w:w="855"/>
        <w:gridCol w:w="825"/>
        <w:gridCol w:w="1380"/>
        <w:gridCol w:w="1380"/>
        <w:gridCol w:w="1380"/>
        <w:tblGridChange w:id="0">
          <w:tblGrid>
            <w:gridCol w:w="600"/>
            <w:gridCol w:w="2610"/>
            <w:gridCol w:w="855"/>
            <w:gridCol w:w="825"/>
            <w:gridCol w:w="1380"/>
            <w:gridCol w:w="1380"/>
            <w:gridCol w:w="1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Zona Horaria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¿Se cumplió?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Publicación del Aviso (artículo 30 de la Ley 80 de 1993)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09/02/2018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8:00:00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highlight w:val="black"/>
              </w:rPr>
            </w:pPr>
            <w:r w:rsidDel="00000000" w:rsidR="00000000" w:rsidRPr="00000000">
              <w:rPr>
                <w:rtl w:val="0"/>
              </w:rPr>
              <w:t xml:space="preserve">UTC-05:00 (Bogotá, Lima, Quito)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Convocar a interesados a participar en una licitación pública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Publicación del aviso de convocatoria pública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09/02/2018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8:00:00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UTC-05:00 (Bogotá, Lima, Quito)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Publicación de estudios previos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09/02/2018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8:00:00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UTC-05:00 (Bogotá, Lima, Quito)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Soportar de forma técnica, jurídica y económica la licitación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Fecha de publicación del proyecto de pliego de condiciones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09/02/2018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3:14:51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UTC-05:00 (Bogotá, Lima, Quito)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Borrador antes del proyecto para que los interesados lo lean, hagan observaciones, señalen errores y propongan ajustes.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Plazo para presentar observaciones al proyecto de pliego de condiciones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23/02/2018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11:59:00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UTC-05:00 (Bogotá, Lima, Quito)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Respuesta a las observaciones al proyecto de pliego de condiciones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26/02/2018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8:00:00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UTC-05:00 (Bogotá, Lima, Quito)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Fecha prevista de publicación del pliego de condiciones definitivo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26/02/2018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8:01:00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UTC-05:00 (Bogotá, Lima, Quito)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Expedición y publicación acto administrativo de apertura del proceso de selección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26/02/2018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8:01:00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UTC-05:00 (Bogotá, Lima, Quito)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Audiencia de asignación de 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01/03/2018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10:00:00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UTC-05:00 (Bogotá, Lima, Quito)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Presentación de observaciones a los pliegos de condiciones definitivos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05/03/2018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12:00:00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UTC-05:00 (Bogotá, Lima, Quito)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Respuesta a las observaciones al pliego de condiciones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06/03/2018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7:00:00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UTC-05:00 (Bogotá, Lima, Quito)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Plazo máximo para expedir adendas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06/03/2018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7:00:00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UTC-05:00 (Bogotá, Lima, Quito)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Presentación de Ofertas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12/03/2018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9:00:00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UTC-05:00 (Bogotá, Lima, Quito)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Apertura de Ofertas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12/03/2018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9:01:00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UTC-05:00 (Bogotá, Lima, Quito)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Informe de presentación de Ofertas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12/03/2018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9:02:00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UTC-05:00 (Bogotá, Lima, Quito)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Publicación del informe de evaluación de las Ofertas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12/04/2018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6:00:00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UTC-05:00 (Bogotá, Lima, Quito)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Presentación de observaciones al informe de verificación o evaluación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19/04/2018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11:59:00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UTC-05:00 (Bogotá, Lima, Quito)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Audiencia de Adjudicación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24/04/2018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9:00:00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UTC-05:00 (Bogotá, Lima, Quito)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Publicación Acto Administrativo de adjudicación o Declaratoria de Desierto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27/04/2018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12:00:00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UTC-05:00 (Bogotá, Lima, Quito)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Firma del Contrato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30/04/2018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12:00:00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UTC-05:00 (Bogotá, Lima, Quito)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Entrega de las garantías de ejecución del contrato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30/04/2018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12:00:00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UTC-05:00 (Bogotá, Lima, Quito)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Tabla 4. </w:t>
      </w:r>
      <w:r w:rsidDel="00000000" w:rsidR="00000000" w:rsidRPr="00000000">
        <w:rPr>
          <w:rtl w:val="0"/>
        </w:rPr>
        <w:t xml:space="preserve">Riesgo alto en matriz de riesgos.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6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Inaptitud técnica estructural de la cimentación existente del puente.</w:t>
      </w:r>
    </w:p>
    <w:p w:rsidR="00000000" w:rsidDel="00000000" w:rsidP="00000000" w:rsidRDefault="00000000" w:rsidRPr="00000000" w14:paraId="000000F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90950" cy="335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una </w:t>
      </w:r>
      <w:r w:rsidDel="00000000" w:rsidR="00000000" w:rsidRPr="00000000">
        <w:rPr>
          <w:b w:val="1"/>
          <w:bCs w:val="1"/>
          <w:rtl w:val="0"/>
        </w:rPr>
        <w:t xml:space="preserve">visita técnica realizada el 21 de febrero de 2018</w:t>
      </w:r>
      <w:r w:rsidDel="00000000" w:rsidR="00000000" w:rsidRPr="00000000">
        <w:rPr>
          <w:rtl w:val="0"/>
        </w:rPr>
        <w:t xml:space="preserve">, se evidenciaron: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Problemas de estabilidad en la zona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Afectación importante de la vía de ingreso al puente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Laderas y taludes erosionados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Socavación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de obras adicionales de protección y estabilización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 NO presupuestadas en el proceso actual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El proceso NO se llevó a cabo porque: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Los estudios y diseños iniciales estaban incompletos o insuficientes.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se había evaluado correctamente la estabilidad geotécnica del sector.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alcance real de la obra era mayor al presupuestado.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Existía riesgo estructural y de estabilidad.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Lo anterior implica que: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El proyecto estaba mal dimensionado técnicamente.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El presupuesto no contemplaba obras necesarias.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Continuar el proceso habría generado sobrecostos y riesgos contractuales.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Por eso se suspendió definitivamente.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Subdirección de la Red Terciaria y Férrea determinó: Suspensión definitiva de los procesos de contratación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que: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realicen nuevos estudios.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elaboren nuevos diseños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contemplen obras de protección adicionales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garantice estabilidad de la vía y del puente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