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TALLER 3</w:t>
      </w:r>
    </w:p>
    <w:p w:rsidR="00000000" w:rsidDel="00000000" w:rsidP="00000000" w:rsidRDefault="00000000" w:rsidRPr="00000000" w14:paraId="00000002">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GERENCIA Y GESTIÓN DE PROYECTOS</w:t>
      </w:r>
    </w:p>
    <w:p w:rsidR="00000000" w:rsidDel="00000000" w:rsidP="00000000" w:rsidRDefault="00000000" w:rsidRPr="00000000" w14:paraId="00000008">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OSCAR FERNANDO CASTELLANOS DOMÍNGUEZ </w:t>
      </w:r>
    </w:p>
    <w:p w:rsidR="00000000" w:rsidDel="00000000" w:rsidP="00000000" w:rsidRDefault="00000000" w:rsidRPr="00000000" w14:paraId="0000000D">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DIEGO ALEJANDRO BAUTISTA GUTIÉRREZ</w:t>
      </w:r>
    </w:p>
    <w:p w:rsidR="00000000" w:rsidDel="00000000" w:rsidP="00000000" w:rsidRDefault="00000000" w:rsidRPr="00000000" w14:paraId="00000012">
      <w:pPr>
        <w:shd w:fill="ffffff" w:val="clear"/>
        <w:jc w:val="center"/>
        <w:rPr/>
      </w:pPr>
      <w:r w:rsidDel="00000000" w:rsidR="00000000" w:rsidRPr="00000000">
        <w:rPr>
          <w:rFonts w:ascii="Times New Roman" w:cs="Times New Roman" w:eastAsia="Times New Roman" w:hAnsi="Times New Roman"/>
          <w:b w:val="1"/>
          <w:bCs w:val="1"/>
          <w:color w:val="000000"/>
          <w:rtl w:val="0"/>
        </w:rPr>
        <w:t xml:space="preserve">BRAYAN DUVAY ORTIZ MARTINEZ</w:t>
      </w: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ANGEL JULIAN OTERO CARVAJAL</w:t>
      </w:r>
    </w:p>
    <w:p w:rsidR="00000000" w:rsidDel="00000000" w:rsidP="00000000" w:rsidRDefault="00000000" w:rsidRPr="00000000" w14:paraId="00000014">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UNIVERSIDAD NACIONAL DE COLOMBIA</w:t>
      </w:r>
    </w:p>
    <w:p w:rsidR="00000000" w:rsidDel="00000000" w:rsidP="00000000" w:rsidRDefault="00000000" w:rsidRPr="00000000" w14:paraId="0000001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SEDE BOGOTÁ</w:t>
      </w:r>
    </w:p>
    <w:p w:rsidR="00000000" w:rsidDel="00000000" w:rsidP="00000000" w:rsidRDefault="00000000" w:rsidRPr="00000000" w14:paraId="0000001A">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MARZO 26 DE 2026</w:t>
      </w:r>
    </w:p>
    <w:p w:rsidR="00000000" w:rsidDel="00000000" w:rsidP="00000000" w:rsidRDefault="00000000" w:rsidRPr="00000000" w14:paraId="0000001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Título</w:t>
      </w:r>
      <w:r w:rsidDel="00000000" w:rsidR="00000000" w:rsidRPr="00000000">
        <w:rPr>
          <w:rFonts w:ascii="Times New Roman" w:cs="Times New Roman" w:eastAsia="Times New Roman" w:hAnsi="Times New Roman"/>
          <w:rtl w:val="0"/>
        </w:rPr>
        <w:t xml:space="preserve">: How to conduct integrated risk assessment for chemical industrial park cyber-physical system: risk identification, limitations analysis, and future perspectives.</w:t>
      </w:r>
    </w:p>
    <w:p w:rsidR="00000000" w:rsidDel="00000000" w:rsidP="00000000" w:rsidRDefault="00000000" w:rsidRPr="00000000" w14:paraId="000000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Autores</w:t>
      </w:r>
      <w:r w:rsidDel="00000000" w:rsidR="00000000" w:rsidRPr="00000000">
        <w:rPr>
          <w:rFonts w:ascii="Times New Roman" w:cs="Times New Roman" w:eastAsia="Times New Roman" w:hAnsi="Times New Roman"/>
          <w:rtl w:val="0"/>
        </w:rPr>
        <w:t xml:space="preserve">: Yimeng Zhao, Guohua Chen, Genserik Reniers y Valerio Cozzani.</w:t>
      </w:r>
    </w:p>
    <w:p w:rsidR="00000000" w:rsidDel="00000000" w:rsidP="00000000" w:rsidRDefault="00000000" w:rsidRPr="00000000" w14:paraId="000000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Fecha</w:t>
      </w:r>
      <w:r w:rsidDel="00000000" w:rsidR="00000000" w:rsidRPr="00000000">
        <w:rPr>
          <w:rFonts w:ascii="Times New Roman" w:cs="Times New Roman" w:eastAsia="Times New Roman" w:hAnsi="Times New Roman"/>
          <w:rtl w:val="0"/>
        </w:rPr>
        <w:t xml:space="preserve">: Publicado en línea el 5 de marzo de 2026, correspondiente al volumen de la revista de 2026.</w:t>
      </w:r>
    </w:p>
    <w:p w:rsidR="00000000" w:rsidDel="00000000" w:rsidP="00000000" w:rsidRDefault="00000000" w:rsidRPr="00000000" w14:paraId="000000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Necesidad que ataca</w:t>
      </w:r>
      <w:r w:rsidDel="00000000" w:rsidR="00000000" w:rsidRPr="00000000">
        <w:rPr>
          <w:rFonts w:ascii="Times New Roman" w:cs="Times New Roman" w:eastAsia="Times New Roman" w:hAnsi="Times New Roman"/>
          <w:rtl w:val="0"/>
        </w:rPr>
        <w:t xml:space="preserve">: Con la transformación inteligente de la industria y la llegada de los sistemas ciber físicos (CIPCPS) a los parques industriales químicos, han surgido nuevos riesgos operativos. Los métodos de evaluación de riesgos tradicionales se centran únicamente en el espacio físico y descuidan los riesgos provenientes del ciberespacio tales como </w:t>
      </w:r>
      <w:r w:rsidDel="00000000" w:rsidR="00000000" w:rsidRPr="00000000">
        <w:rPr>
          <w:rFonts w:ascii="Times New Roman" w:cs="Times New Roman" w:eastAsia="Times New Roman" w:hAnsi="Times New Roman"/>
          <w:rtl w:val="0"/>
        </w:rPr>
        <w:t xml:space="preserve">hackeos</w:t>
      </w:r>
      <w:r w:rsidDel="00000000" w:rsidR="00000000" w:rsidRPr="00000000">
        <w:rPr>
          <w:rFonts w:ascii="Times New Roman" w:cs="Times New Roman" w:eastAsia="Times New Roman" w:hAnsi="Times New Roman"/>
          <w:rtl w:val="0"/>
        </w:rPr>
        <w:t xml:space="preserve">, malware, robo de datos (se toman como ejemplo los ataques tipo Stuxnet), y los relacionados a ciberseguridad funcional, como errores de software o fallos en sistemas digitales (Ejemplo: errores en algoritmos o comunicación), por lo que existe la necesidad imperiosa de identificar las amenazas emergentes y superar las limitaciones (como la falta de fusión de datos y la incapacidad de prever accidentes en cadena) de los modelos actuales.</w:t>
      </w:r>
    </w:p>
    <w:p w:rsidR="00000000" w:rsidDel="00000000" w:rsidP="00000000" w:rsidRDefault="00000000" w:rsidRPr="00000000" w14:paraId="000000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Solución desde IQ (Ingeniería Química)</w:t>
      </w:r>
      <w:r w:rsidDel="00000000" w:rsidR="00000000" w:rsidRPr="00000000">
        <w:rPr>
          <w:rFonts w:ascii="Times New Roman" w:cs="Times New Roman" w:eastAsia="Times New Roman" w:hAnsi="Times New Roman"/>
          <w:rtl w:val="0"/>
        </w:rPr>
        <w:t xml:space="preserve">: A partir del análisis de casos de accidentes históricos, el estudio clasifica detalladamente los tipos y factores de riesgo en el entorno de la ingeniería química y los procesos industriales. Se propone un marco evolutivo de riesgos integrados en tres fases específicas para las operaciones de planta (inducción Disturbio-Sistema, evolución Sistema-Accidente y retroalimentación Accidente-Sistema), asegurando una perspectiva técnica para prevenir accidentes físicos y químicos graves derivados de fallos o ataques cibernéticos.</w:t>
      </w:r>
    </w:p>
    <w:p w:rsidR="00000000" w:rsidDel="00000000" w:rsidP="00000000" w:rsidRDefault="00000000" w:rsidRPr="00000000" w14:paraId="000000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Aporte desde la gerencia</w:t>
      </w:r>
      <w:r w:rsidDel="00000000" w:rsidR="00000000" w:rsidRPr="00000000">
        <w:rPr>
          <w:rFonts w:ascii="Times New Roman" w:cs="Times New Roman" w:eastAsia="Times New Roman" w:hAnsi="Times New Roman"/>
          <w:rtl w:val="0"/>
        </w:rPr>
        <w:t xml:space="preserve">: El artículo provee a los administradores de los parques industriales un marco teórico robusto para ejecutar una gestión de riesgos integrada y holística. Esto facilita la transición hacia parques químicos inteligentes al cumplir con normativas de seguridad, permitiendo a la gerencia coordinar a múltiples niveles y mejorar significativamente la eficiencia operativa y la toma de decisiones gerenciales frente a amenazas ciberfísicas.</w:t>
      </w:r>
    </w:p>
    <w:p w:rsidR="00000000" w:rsidDel="00000000" w:rsidP="00000000" w:rsidRDefault="00000000" w:rsidRPr="00000000" w14:paraId="000000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Comentarios</w:t>
      </w:r>
      <w:r w:rsidDel="00000000" w:rsidR="00000000" w:rsidRPr="00000000">
        <w:rPr>
          <w:rFonts w:ascii="Times New Roman" w:cs="Times New Roman" w:eastAsia="Times New Roman" w:hAnsi="Times New Roman"/>
          <w:rtl w:val="0"/>
        </w:rPr>
        <w:t xml:space="preserve">: Este artículo resulta de gran relevancia para la Industria 4.0, ya que evidencia que la automatización y la conectividad en sectores de alto riesgo (como el químico) requieren un nuevo paradigma de seguridad donde la tecnología operativa y la informática se protejan de manera conjunta.</w:t>
      </w:r>
    </w:p>
    <w:p w:rsidR="00000000" w:rsidDel="00000000" w:rsidP="00000000" w:rsidRDefault="00000000" w:rsidRPr="00000000" w14:paraId="00000026">
      <w:pPr>
        <w:spacing w:line="278.00000000000006"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Título</w:t>
      </w:r>
      <w:r w:rsidDel="00000000" w:rsidR="00000000" w:rsidRPr="00000000">
        <w:rPr>
          <w:rFonts w:ascii="Times New Roman" w:cs="Times New Roman" w:eastAsia="Times New Roman" w:hAnsi="Times New Roman"/>
          <w:rtl w:val="0"/>
        </w:rPr>
        <w:t xml:space="preserve">: Green engineering of brown seaweed to assemble porous biomaterials for stormwater management.</w:t>
      </w:r>
    </w:p>
    <w:p w:rsidR="00000000" w:rsidDel="00000000" w:rsidP="00000000" w:rsidRDefault="00000000" w:rsidRPr="00000000" w14:paraId="000000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Autores</w:t>
      </w:r>
      <w:r w:rsidDel="00000000" w:rsidR="00000000" w:rsidRPr="00000000">
        <w:rPr>
          <w:rFonts w:ascii="Times New Roman" w:cs="Times New Roman" w:eastAsia="Times New Roman" w:hAnsi="Times New Roman"/>
          <w:rtl w:val="0"/>
        </w:rPr>
        <w:t xml:space="preserve">: Richa Sharma, Ana Barcot, I.A. Sofia Larsson, Lian Lundy y Linn Berglund.</w:t>
      </w:r>
    </w:p>
    <w:p w:rsidR="00000000" w:rsidDel="00000000" w:rsidP="00000000" w:rsidRDefault="00000000" w:rsidRPr="00000000" w14:paraId="0000002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Fecha</w:t>
      </w:r>
      <w:r w:rsidDel="00000000" w:rsidR="00000000" w:rsidRPr="00000000">
        <w:rPr>
          <w:rFonts w:ascii="Times New Roman" w:cs="Times New Roman" w:eastAsia="Times New Roman" w:hAnsi="Times New Roman"/>
          <w:rtl w:val="0"/>
        </w:rPr>
        <w:t xml:space="preserve">: Publicado en línea el 2 de febrero de 2026.</w:t>
      </w:r>
    </w:p>
    <w:p w:rsidR="00000000" w:rsidDel="00000000" w:rsidP="00000000" w:rsidRDefault="00000000" w:rsidRPr="00000000" w14:paraId="000000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Necesidad que ataca</w:t>
      </w:r>
      <w:r w:rsidDel="00000000" w:rsidR="00000000" w:rsidRPr="00000000">
        <w:rPr>
          <w:rFonts w:ascii="Times New Roman" w:cs="Times New Roman" w:eastAsia="Times New Roman" w:hAnsi="Times New Roman"/>
          <w:rtl w:val="0"/>
        </w:rPr>
        <w:t xml:space="preserve">: El cambio climático y el rápido proceso de urbanización han reducido la infiltración del suelo y aumentado la escorrentía superficial, exacerbando significativamente las inundaciones urbanas. Se requieren soluciones espaciales basadas en la naturaleza y materiales porosos ecológicos para la gestión del agua de lluvia, como alternativa a los materiales tradicionales (concreto o asfalto) que presentan problemas de impacto ambiental a lo largo de su ciclo de vida.</w:t>
      </w:r>
    </w:p>
    <w:p w:rsidR="00000000" w:rsidDel="00000000" w:rsidP="00000000" w:rsidRDefault="00000000" w:rsidRPr="00000000" w14:paraId="0000002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Solución desde IQ (Ingeniería Química)</w:t>
      </w:r>
      <w:r w:rsidDel="00000000" w:rsidR="00000000" w:rsidRPr="00000000">
        <w:rPr>
          <w:rFonts w:ascii="Times New Roman" w:cs="Times New Roman" w:eastAsia="Times New Roman" w:hAnsi="Times New Roman"/>
          <w:rtl w:val="0"/>
        </w:rPr>
        <w:t xml:space="preserve">: Mediante principios de ingeniería verde, se desarrolló un biomaterial poroso utilizando los estípites de algas pardas. El proceso técnico consistió en la fibrilación mecánica directa sin el uso de productos químicos tóxicos, utilizando un bajo consumo de energía (2 kWh/kg). Posteriormente, se optimizaron las técnicas de secado por congelación y el entrecruzamiento con </w:t>
      </w:r>
      <m:oMath>
        <m:r>
          <w:rPr>
            <w:rFonts w:ascii="Cambria Math" w:cs="Cambria Math" w:eastAsia="Cambria Math" w:hAnsi="Cambria Math"/>
          </w:rPr>
          <m:t xml:space="preserve">CaC</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2</m:t>
            </m:r>
          </m:sub>
        </m:sSub>
      </m:oMath>
      <w:r w:rsidDel="00000000" w:rsidR="00000000" w:rsidRPr="00000000">
        <w:rPr>
          <w:rFonts w:ascii="Times New Roman" w:cs="Times New Roman" w:eastAsia="Times New Roman" w:hAnsi="Times New Roman"/>
          <w:rtl w:val="0"/>
        </w:rPr>
        <w:t xml:space="preserve">, resultando en un material con una porosidad del 80% al 94% y capacidades de absorción masivas (4000% para aguas pluviales), conservando una gran integridad estructural.</w:t>
      </w:r>
    </w:p>
    <w:p w:rsidR="00000000" w:rsidDel="00000000" w:rsidP="00000000" w:rsidRDefault="00000000" w:rsidRPr="00000000" w14:paraId="000000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Aporte desde la gerencia</w:t>
      </w:r>
      <w:r w:rsidDel="00000000" w:rsidR="00000000" w:rsidRPr="00000000">
        <w:rPr>
          <w:rFonts w:ascii="Times New Roman" w:cs="Times New Roman" w:eastAsia="Times New Roman" w:hAnsi="Times New Roman"/>
          <w:rtl w:val="0"/>
        </w:rPr>
        <w:t xml:space="preserve">: Introduce un enfoque de economía circular muy valioso, logrando un 100% de rendimiento de la materia prima (utilizando subproductos de las algas) sin generar residuos tóxicos. Para la gerencia urbana y de proyectos, ofrece una solución altamente sustentable y escalable de infraestructura verde, reduciendo costos asociados a químicos y consumo energético en la manufactura.</w:t>
      </w:r>
    </w:p>
    <w:p w:rsidR="00000000" w:rsidDel="00000000" w:rsidP="00000000" w:rsidRDefault="00000000" w:rsidRPr="00000000" w14:paraId="0000002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Comentarios</w:t>
      </w:r>
      <w:r w:rsidDel="00000000" w:rsidR="00000000" w:rsidRPr="00000000">
        <w:rPr>
          <w:rFonts w:ascii="Times New Roman" w:cs="Times New Roman" w:eastAsia="Times New Roman" w:hAnsi="Times New Roman"/>
          <w:rtl w:val="0"/>
        </w:rPr>
        <w:t xml:space="preserve">: Un excelente ejemplo práctico del uso de biopolímeros del entorno marino aplicados a la infraestructura civil. Destaca no solo por su perfil ecológico, sino por el extraordinario rendimiento técnico en la gestión del agua urbana.</w:t>
      </w:r>
    </w:p>
    <w:p w:rsidR="00000000" w:rsidDel="00000000" w:rsidP="00000000" w:rsidRDefault="00000000" w:rsidRPr="00000000" w14:paraId="0000002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line="278.00000000000006"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Título</w:t>
      </w:r>
      <w:r w:rsidDel="00000000" w:rsidR="00000000" w:rsidRPr="00000000">
        <w:rPr>
          <w:rFonts w:ascii="Times New Roman" w:cs="Times New Roman" w:eastAsia="Times New Roman" w:hAnsi="Times New Roman"/>
          <w:rtl w:val="0"/>
        </w:rPr>
        <w:t xml:space="preserve">: Fostering chemical engineering competencies through competition teams: The UPM MotoStudent Electric experience.</w:t>
      </w:r>
    </w:p>
    <w:p w:rsidR="00000000" w:rsidDel="00000000" w:rsidP="00000000" w:rsidRDefault="00000000" w:rsidRPr="00000000" w14:paraId="000000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Autores</w:t>
      </w:r>
      <w:r w:rsidDel="00000000" w:rsidR="00000000" w:rsidRPr="00000000">
        <w:rPr>
          <w:rFonts w:ascii="Times New Roman" w:cs="Times New Roman" w:eastAsia="Times New Roman" w:hAnsi="Times New Roman"/>
          <w:rtl w:val="0"/>
        </w:rPr>
        <w:t xml:space="preserve">: Martín Nieto Bermejo, Alejandro García Zancajo y Antonio Nieto-Márquez.</w:t>
      </w:r>
    </w:p>
    <w:p w:rsidR="00000000" w:rsidDel="00000000" w:rsidP="00000000" w:rsidRDefault="00000000" w:rsidRPr="00000000" w14:paraId="000000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Fecha</w:t>
      </w:r>
      <w:r w:rsidDel="00000000" w:rsidR="00000000" w:rsidRPr="00000000">
        <w:rPr>
          <w:rFonts w:ascii="Times New Roman" w:cs="Times New Roman" w:eastAsia="Times New Roman" w:hAnsi="Times New Roman"/>
          <w:rtl w:val="0"/>
        </w:rPr>
        <w:t xml:space="preserve">: Publicado en línea el 19 de septiembre de 2025.</w:t>
      </w:r>
    </w:p>
    <w:p w:rsidR="00000000" w:rsidDel="00000000" w:rsidP="00000000" w:rsidRDefault="00000000" w:rsidRPr="00000000" w14:paraId="000000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Necesidad que ataca</w:t>
      </w:r>
      <w:r w:rsidDel="00000000" w:rsidR="00000000" w:rsidRPr="00000000">
        <w:rPr>
          <w:rFonts w:ascii="Times New Roman" w:cs="Times New Roman" w:eastAsia="Times New Roman" w:hAnsi="Times New Roman"/>
          <w:rtl w:val="0"/>
        </w:rPr>
        <w:t xml:space="preserve">: Aborda la difícil transición y la brecha existente entre el conocimiento teórico adquirido por los estudiantes de ingeniería y su aplicación práctica en el mundo profesional real. Además, ataca la falta de oportunidades para estudiantes de ingeniería química en equipos de competición de alto rendimiento, los cuales suelen estar dominados por áreas como la ingeniería mecánica o eléctrica.</w:t>
      </w:r>
    </w:p>
    <w:p w:rsidR="00000000" w:rsidDel="00000000" w:rsidP="00000000" w:rsidRDefault="00000000" w:rsidRPr="00000000" w14:paraId="0000003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Solución desde IQ (Ingeniería Química)</w:t>
      </w:r>
      <w:r w:rsidDel="00000000" w:rsidR="00000000" w:rsidRPr="00000000">
        <w:rPr>
          <w:rFonts w:ascii="Times New Roman" w:cs="Times New Roman" w:eastAsia="Times New Roman" w:hAnsi="Times New Roman"/>
          <w:rtl w:val="0"/>
        </w:rPr>
        <w:t xml:space="preserve">: Los estudiantes aplicaron teorías de transferencia de calor y masa, mecánica de fluidos y control de procesos para resolver la gestión térmica y refrigeración del motor eléctrico de una motocicleta de competición. Como soluciones técnicas se ejecutaron cuatro proyectos fundamentales: </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28"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diseño de un lecho de adsorción con hielo seco para enfriar aire</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28"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construcción de un radiador</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28"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desarrollo de un banco de pruebas con sistemas de control</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428"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(iv) caracterización de aceites dieléctricos para prevenir el fenómeno de la electroerosión.</w:t>
      </w:r>
    </w:p>
    <w:p w:rsidR="00000000" w:rsidDel="00000000" w:rsidP="00000000" w:rsidRDefault="00000000" w:rsidRPr="00000000" w14:paraId="0000003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Aporte desde la gerencia</w:t>
      </w:r>
      <w:r w:rsidDel="00000000" w:rsidR="00000000" w:rsidRPr="00000000">
        <w:rPr>
          <w:rFonts w:ascii="Times New Roman" w:cs="Times New Roman" w:eastAsia="Times New Roman" w:hAnsi="Times New Roman"/>
          <w:rtl w:val="0"/>
        </w:rPr>
        <w:t xml:space="preserve">: Expone a los estudiantes a un entorno real de gestión de proyectos, donde deben administrar presupuestos, cumplir plazos (18 meses de desarrollo) y dirigir equipos multidisciplinarios de trabajo. Fomenta el desarrollo de competencias directivas o habilidades blandas críticas para la gerencia moderna, tales como liderazgo, comunicación asertiva y gestión eficaz del tiempo.</w:t>
      </w:r>
    </w:p>
    <w:p w:rsidR="00000000" w:rsidDel="00000000" w:rsidP="00000000" w:rsidRDefault="00000000" w:rsidRPr="00000000" w14:paraId="0000003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Comentarios</w:t>
      </w:r>
      <w:r w:rsidDel="00000000" w:rsidR="00000000" w:rsidRPr="00000000">
        <w:rPr>
          <w:rFonts w:ascii="Times New Roman" w:cs="Times New Roman" w:eastAsia="Times New Roman" w:hAnsi="Times New Roman"/>
          <w:rtl w:val="0"/>
        </w:rPr>
        <w:t xml:space="preserve">: Es un caso de estudio brillante en educación académica. Demuestra cómo el aprendizaje activo lleva a los alumnos a los niveles más altos de la taxonomía de Bloom (evaluar y crear), dándoles una preparación profesional integral e invaluable para el mercado laboral moderno.</w:t>
      </w:r>
    </w:p>
    <w:p w:rsidR="00000000" w:rsidDel="00000000" w:rsidP="00000000" w:rsidRDefault="00000000" w:rsidRPr="00000000" w14:paraId="0000003B">
      <w:pPr>
        <w:jc w:val="both"/>
        <w:rPr>
          <w:rFonts w:ascii="Times New Roman" w:cs="Times New Roman" w:eastAsia="Times New Roman" w:hAnsi="Times New Roman"/>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left"/>
      <w:pPr>
        <w:ind w:left="1428" w:hanging="719.9999999999999"/>
      </w:pPr>
      <w:rPr/>
    </w:lvl>
    <w:lvl w:ilvl="1">
      <w:start w:val="1"/>
      <w:numFmt w:val="lowerLetter"/>
      <w:lvlText w:val="%2."/>
      <w:lvlJc w:val="left"/>
      <w:pPr>
        <w:ind w:left="1788" w:hanging="360"/>
      </w:pPr>
      <w:rPr/>
    </w:lvl>
    <w:lvl w:ilvl="2">
      <w:start w:val="1"/>
      <w:numFmt w:val="lowerRoman"/>
      <w:lvlText w:val="%3."/>
      <w:lvlJc w:val="right"/>
      <w:pPr>
        <w:ind w:left="2508" w:hanging="180"/>
      </w:pPr>
      <w:rPr/>
    </w:lvl>
    <w:lvl w:ilvl="3">
      <w:start w:val="1"/>
      <w:numFmt w:val="decimal"/>
      <w:lvlText w:val="%4."/>
      <w:lvlJc w:val="left"/>
      <w:pPr>
        <w:ind w:left="3228" w:hanging="360"/>
      </w:pPr>
      <w:rPr/>
    </w:lvl>
    <w:lvl w:ilvl="4">
      <w:start w:val="1"/>
      <w:numFmt w:val="lowerLetter"/>
      <w:lvlText w:val="%5."/>
      <w:lvlJc w:val="left"/>
      <w:pPr>
        <w:ind w:left="3948" w:hanging="360"/>
      </w:pPr>
      <w:rPr/>
    </w:lvl>
    <w:lvl w:ilvl="5">
      <w:start w:val="1"/>
      <w:numFmt w:val="lowerRoman"/>
      <w:lvlText w:val="%6."/>
      <w:lvlJc w:val="right"/>
      <w:pPr>
        <w:ind w:left="4668" w:hanging="180"/>
      </w:pPr>
      <w:rPr/>
    </w:lvl>
    <w:lvl w:ilvl="6">
      <w:start w:val="1"/>
      <w:numFmt w:val="decimal"/>
      <w:lvlText w:val="%7."/>
      <w:lvlJc w:val="left"/>
      <w:pPr>
        <w:ind w:left="5388" w:hanging="360"/>
      </w:pPr>
      <w:rPr/>
    </w:lvl>
    <w:lvl w:ilvl="7">
      <w:start w:val="1"/>
      <w:numFmt w:val="lowerLetter"/>
      <w:lvlText w:val="%8."/>
      <w:lvlJc w:val="left"/>
      <w:pPr>
        <w:ind w:left="6108" w:hanging="360"/>
      </w:pPr>
      <w:rPr/>
    </w:lvl>
    <w:lvl w:ilvl="8">
      <w:start w:val="1"/>
      <w:numFmt w:val="lowerRoman"/>
      <w:lvlText w:val="%9."/>
      <w:lvlJc w:val="right"/>
      <w:pPr>
        <w:ind w:left="6828"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D41B01"/>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D41B01"/>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D41B01"/>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D41B01"/>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D41B01"/>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D41B01"/>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D41B01"/>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D41B01"/>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D41B01"/>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D41B01"/>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D41B01"/>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D41B01"/>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D41B01"/>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D41B01"/>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D41B01"/>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D41B01"/>
    <w:rPr>
      <w:i w:val="1"/>
      <w:iCs w:val="1"/>
      <w:color w:val="404040" w:themeColor="text1" w:themeTint="0000BF"/>
    </w:rPr>
  </w:style>
  <w:style w:type="paragraph" w:styleId="Prrafodelista">
    <w:name w:val="List Paragraph"/>
    <w:basedOn w:val="Normal"/>
    <w:uiPriority w:val="34"/>
    <w:qFormat w:val="1"/>
    <w:rsid w:val="00D41B01"/>
    <w:pPr>
      <w:ind w:left="720"/>
      <w:contextualSpacing w:val="1"/>
    </w:pPr>
  </w:style>
  <w:style w:type="character" w:styleId="nfasisintenso">
    <w:name w:val="Intense Emphasis"/>
    <w:basedOn w:val="Fuentedeprrafopredeter"/>
    <w:uiPriority w:val="21"/>
    <w:qFormat w:val="1"/>
    <w:rsid w:val="00D41B01"/>
    <w:rPr>
      <w:i w:val="1"/>
      <w:iCs w:val="1"/>
      <w:color w:val="0f4761" w:themeColor="accent1" w:themeShade="0000BF"/>
    </w:rPr>
  </w:style>
  <w:style w:type="paragraph" w:styleId="Citadestacada">
    <w:name w:val="Intense Quote"/>
    <w:basedOn w:val="Normal"/>
    <w:next w:val="Normal"/>
    <w:link w:val="CitadestacadaCar"/>
    <w:uiPriority w:val="30"/>
    <w:qFormat w:val="1"/>
    <w:rsid w:val="00D41B0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D41B01"/>
    <w:rPr>
      <w:i w:val="1"/>
      <w:iCs w:val="1"/>
      <w:color w:val="0f4761" w:themeColor="accent1" w:themeShade="0000BF"/>
    </w:rPr>
  </w:style>
  <w:style w:type="character" w:styleId="Referenciaintensa">
    <w:name w:val="Intense Reference"/>
    <w:basedOn w:val="Fuentedeprrafopredeter"/>
    <w:uiPriority w:val="32"/>
    <w:qFormat w:val="1"/>
    <w:rsid w:val="00D41B01"/>
    <w:rPr>
      <w:b w:val="1"/>
      <w:bCs w:val="1"/>
      <w:smallCaps w:val="1"/>
      <w:color w:val="0f4761" w:themeColor="accent1" w:themeShade="0000BF"/>
      <w:spacing w:val="5"/>
    </w:rPr>
  </w:style>
  <w:style w:type="character" w:styleId="Textodelmarcadordeposicin">
    <w:name w:val="Placeholder Text"/>
    <w:basedOn w:val="Fuentedeprrafopredeter"/>
    <w:uiPriority w:val="99"/>
    <w:semiHidden w:val="1"/>
    <w:rsid w:val="00D41B01"/>
    <w:rPr>
      <w:color w:val="66666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mbriaMath-regular.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gnHP11GYLOW2Y3os0js+vUcJRQ==">CgMxLjA4AHIhMXV4QmU0Z0xkZjZSOUduT3lWd0s4VEd2TDB1cVBucFNB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2026-03-26T04:43:00Z</dcterms:created>
  <dc:creator>Angel Julian Otero Carvajal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0x0101009A2B0F3D589BE549B09981DF6AF253C7</vt:lpwstr>
  </property>
</Properties>
</file>