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Taller 3</w:t>
      </w:r>
    </w:p>
    <w:p w:rsidR="00000000" w:rsidDel="00000000" w:rsidP="00000000" w:rsidRDefault="00000000" w:rsidRPr="00000000" w14:paraId="00000002">
      <w:pPr>
        <w:ind w:lef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Gestión y Gerencia de proyectos</w:t>
      </w:r>
    </w:p>
    <w:p w:rsidR="00000000" w:rsidDel="00000000" w:rsidP="00000000" w:rsidRDefault="00000000" w:rsidRPr="00000000" w14:paraId="00000004">
      <w:pPr>
        <w:ind w:left="216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ind w:left="216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ind w:left="216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ind w:lef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Oscar Fernando Castellanos Rodriguez</w:t>
      </w:r>
    </w:p>
    <w:p w:rsidR="00000000" w:rsidDel="00000000" w:rsidP="00000000" w:rsidRDefault="00000000" w:rsidRPr="00000000" w14:paraId="00000009">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David Alejandro Martinez Ramirez</w:t>
      </w:r>
    </w:p>
    <w:p w:rsidR="00000000" w:rsidDel="00000000" w:rsidP="00000000" w:rsidRDefault="00000000" w:rsidRPr="00000000" w14:paraId="00000011">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Juan Diego Villamizar Toloza</w:t>
      </w:r>
    </w:p>
    <w:p w:rsidR="00000000" w:rsidDel="00000000" w:rsidP="00000000" w:rsidRDefault="00000000" w:rsidRPr="00000000" w14:paraId="00000012">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Miguel Fabian Duarte Diaz </w:t>
      </w:r>
    </w:p>
    <w:p w:rsidR="00000000" w:rsidDel="00000000" w:rsidP="00000000" w:rsidRDefault="00000000" w:rsidRPr="00000000" w14:paraId="00000013">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8">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D">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ind w:left="144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Universidad Nacional de Colombia</w:t>
      </w:r>
    </w:p>
    <w:p w:rsidR="00000000" w:rsidDel="00000000" w:rsidP="00000000" w:rsidRDefault="00000000" w:rsidRPr="00000000" w14:paraId="00000020">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Facultad de Ingeniería</w:t>
      </w:r>
    </w:p>
    <w:p w:rsidR="00000000" w:rsidDel="00000000" w:rsidP="00000000" w:rsidRDefault="00000000" w:rsidRPr="00000000" w14:paraId="00000021">
      <w:pPr>
        <w:ind w:left="1440" w:firstLine="72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ind w:left="1440" w:firstLine="72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ind w:left="0" w:firstLine="0"/>
        <w:jc w:val="left"/>
        <w:rPr>
          <w:b w:val="1"/>
          <w:bCs w:val="1"/>
        </w:rPr>
      </w:pPr>
      <w:r w:rsidDel="00000000" w:rsidR="00000000" w:rsidRPr="00000000">
        <w:rPr>
          <w:rtl w:val="0"/>
        </w:rPr>
      </w:r>
    </w:p>
    <w:p w:rsidR="00000000" w:rsidDel="00000000" w:rsidP="00000000" w:rsidRDefault="00000000" w:rsidRPr="00000000" w14:paraId="00000024">
      <w:pPr>
        <w:ind w:left="0" w:firstLine="0"/>
        <w:jc w:val="left"/>
        <w:rPr>
          <w:b w:val="1"/>
          <w:bCs w:val="1"/>
        </w:rPr>
      </w:pPr>
      <w:r w:rsidDel="00000000" w:rsidR="00000000" w:rsidRPr="00000000">
        <w:rPr>
          <w:rtl w:val="0"/>
        </w:rPr>
      </w:r>
    </w:p>
    <w:p w:rsidR="00000000" w:rsidDel="00000000" w:rsidP="00000000" w:rsidRDefault="00000000" w:rsidRPr="00000000" w14:paraId="00000025">
      <w:pPr>
        <w:ind w:left="0" w:firstLine="0"/>
        <w:jc w:val="left"/>
        <w:rPr>
          <w:b w:val="1"/>
          <w:bCs w:val="1"/>
        </w:rPr>
      </w:pPr>
      <w:r w:rsidDel="00000000" w:rsidR="00000000" w:rsidRPr="00000000">
        <w:rPr>
          <w:rtl w:val="0"/>
        </w:rPr>
      </w:r>
    </w:p>
    <w:p w:rsidR="00000000" w:rsidDel="00000000" w:rsidP="00000000" w:rsidRDefault="00000000" w:rsidRPr="00000000" w14:paraId="00000026">
      <w:pPr>
        <w:ind w:left="0" w:firstLine="0"/>
        <w:jc w:val="left"/>
        <w:rPr>
          <w:b w:val="1"/>
          <w:bCs w:val="1"/>
        </w:rPr>
      </w:pPr>
      <w:r w:rsidDel="00000000" w:rsidR="00000000" w:rsidRPr="00000000">
        <w:rPr>
          <w:rtl w:val="0"/>
        </w:rPr>
      </w:r>
    </w:p>
    <w:p w:rsidR="00000000" w:rsidDel="00000000" w:rsidP="00000000" w:rsidRDefault="00000000" w:rsidRPr="00000000" w14:paraId="00000027">
      <w:pPr>
        <w:ind w:left="0" w:firstLine="0"/>
        <w:jc w:val="left"/>
        <w:rPr>
          <w:b w:val="1"/>
          <w:bCs w:val="1"/>
        </w:rPr>
      </w:pPr>
      <w:r w:rsidDel="00000000" w:rsidR="00000000" w:rsidRPr="00000000">
        <w:rPr>
          <w:b w:val="1"/>
          <w:bCs w:val="1"/>
          <w:rtl w:val="0"/>
        </w:rPr>
        <w:t xml:space="preserve">Análisis </w:t>
      </w:r>
      <w:r w:rsidDel="00000000" w:rsidR="00000000" w:rsidRPr="00000000">
        <w:rPr>
          <w:b w:val="1"/>
          <w:bCs w:val="1"/>
          <w:rtl w:val="0"/>
        </w:rPr>
        <w:t xml:space="preserve">articulo</w:t>
      </w:r>
      <w:r w:rsidDel="00000000" w:rsidR="00000000" w:rsidRPr="00000000">
        <w:rPr>
          <w:b w:val="1"/>
          <w:bCs w:val="1"/>
          <w:rtl w:val="0"/>
        </w:rPr>
        <w:t xml:space="preserve"> "Digital and distributed project management in mechanical engineering studies – a case study":</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i77965jzuj53" w:id="0"/>
      <w:bookmarkEnd w:id="0"/>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29">
      <w:pPr>
        <w:spacing w:after="240" w:before="240" w:lineRule="auto"/>
        <w:rPr/>
      </w:pPr>
      <w:r w:rsidDel="00000000" w:rsidR="00000000" w:rsidRPr="00000000">
        <w:rPr>
          <w:rtl w:val="0"/>
        </w:rPr>
        <w:t xml:space="preserve">El artículo analiza cómo la pandemia de COVID-19 obligó a las universidades a adaptar sus métodos de enseñanza de gestión de proyectos de ingeniería mecánica, transformando los cursos presenciales en clases mediadas por tecnologia. Con el cierre de las universidades, los estudiantes de ingeniería mecánica tuvieron que aprender sobre gestión de proyectos en un entorno digital, lo que exigió la implementación de métodos ágiles, clásicos e híbridos mediante herramientas digitales. El artículo presenta una experiencia educativa aplicada en este contexto de transición digital.</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zaiwt0rx5h2z" w:id="1"/>
      <w:bookmarkEnd w:id="1"/>
      <w:r w:rsidDel="00000000" w:rsidR="00000000" w:rsidRPr="00000000">
        <w:rPr>
          <w:b w:val="1"/>
          <w:bCs w:val="1"/>
          <w:color w:val="000000"/>
          <w:sz w:val="22"/>
          <w:szCs w:val="22"/>
          <w:rtl w:val="0"/>
        </w:rPr>
        <w:t xml:space="preserve">Necesidad que Ataca</w:t>
      </w:r>
    </w:p>
    <w:p w:rsidR="00000000" w:rsidDel="00000000" w:rsidP="00000000" w:rsidRDefault="00000000" w:rsidRPr="00000000" w14:paraId="0000002B">
      <w:pPr>
        <w:spacing w:after="240" w:before="240" w:lineRule="auto"/>
        <w:rPr/>
      </w:pPr>
      <w:r w:rsidDel="00000000" w:rsidR="00000000" w:rsidRPr="00000000">
        <w:rPr>
          <w:rtl w:val="0"/>
        </w:rPr>
        <w:t xml:space="preserve">Con la pandemia, las universidades se vieron forzadas a cambiar rápidamente a un modelo de enseñanza digital, afectando la forma en que los estudiantes aprenden gestión de proyectos. Este cambio subraya la necesidad de adaptar las metodologías de enseñanza para permitir que los estudiantes adquieran las habilidades necesarias para gestionar proyectos en entornos distribuidos. Los métodos tradicionales de enseñanza no fueron suficientes para cubrir las nuevas necesidades y desafíos, lo que generó la necesidad de integrar tecnologías digitales y enfoques de trabajo colaborativo.</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r3i80r4lflk2" w:id="2"/>
      <w:bookmarkEnd w:id="2"/>
      <w:r w:rsidDel="00000000" w:rsidR="00000000" w:rsidRPr="00000000">
        <w:rPr>
          <w:b w:val="1"/>
          <w:bCs w:val="1"/>
          <w:color w:val="000000"/>
          <w:sz w:val="22"/>
          <w:szCs w:val="22"/>
          <w:rtl w:val="0"/>
        </w:rPr>
        <w:t xml:space="preserve">Solución de Ingeniería Mecanica</w:t>
      </w:r>
    </w:p>
    <w:p w:rsidR="00000000" w:rsidDel="00000000" w:rsidP="00000000" w:rsidRDefault="00000000" w:rsidRPr="00000000" w14:paraId="0000002D">
      <w:pPr>
        <w:spacing w:after="240" w:before="240" w:lineRule="auto"/>
        <w:rPr/>
      </w:pPr>
      <w:r w:rsidDel="00000000" w:rsidR="00000000" w:rsidRPr="00000000">
        <w:rPr>
          <w:rtl w:val="0"/>
        </w:rPr>
        <w:t xml:space="preserve">En el caso de la ingeniería mecánica, el artículo implementó tres enfoques de gestión de proyectos (clásico, ágil e híbrido) con herramientas como Projektron BCS y Moodle. En el enfoque clásico, los estudiantes trabajaron en simulaciones basadas en proyectos que integraban software de gestión de proyectos. En el enfoque ágil, se usó el método Scrum adaptado para educación (eduScrum), y en el enfoque híbrido, los estudiantes trabajaron en tesis de forma más autónoma con apoyo virtual. Estos métodos no solo fueron aplicados a proyectos académicos, sino que también ofrecieron a los estudiantes experiencias reales de trabajo en equipo, gestión de proyectos y toma de decisiones.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q86bpf351q3e" w:id="3"/>
      <w:bookmarkEnd w:id="3"/>
      <w:r w:rsidDel="00000000" w:rsidR="00000000" w:rsidRPr="00000000">
        <w:rPr>
          <w:b w:val="1"/>
          <w:bCs w:val="1"/>
          <w:color w:val="000000"/>
          <w:sz w:val="22"/>
          <w:szCs w:val="22"/>
          <w:rtl w:val="0"/>
        </w:rPr>
        <w:t xml:space="preserve">Aporte desde la Gerencia</w:t>
      </w:r>
    </w:p>
    <w:p w:rsidR="00000000" w:rsidDel="00000000" w:rsidP="00000000" w:rsidRDefault="00000000" w:rsidRPr="00000000" w14:paraId="0000002F">
      <w:pPr>
        <w:spacing w:after="240" w:before="240" w:lineRule="auto"/>
        <w:rPr/>
      </w:pPr>
      <w:r w:rsidDel="00000000" w:rsidR="00000000" w:rsidRPr="00000000">
        <w:rPr>
          <w:rtl w:val="0"/>
        </w:rPr>
        <w:t xml:space="preserve">El artículo proporciona un marco valioso para la gestión de proyectos en el contexto académico, lo cual tiene implicaciones directas para los gerentes de proyectos en la industria. Ofrece a los estudiantes la oportunidad de practicar la gestión de proyectos en un entorno virtual, desarrollando habilidades que serán fundamentales en su carrera profesional. Este enfoque prepara a los estudiantes para trabajar en equipos distribuidos y usar herramientas digitales, aspectos clave en la industria moderna. A nivel gerencial, la implementación de estos métodos podría mejorar la eficiencia operativa y la toma de decisiones en empresas que gestionan proyectos en entornos digitales o distribuidos.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jnua07ecs4ft" w:id="4"/>
      <w:bookmarkEnd w:id="4"/>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tzom4hf7h6kj" w:id="5"/>
      <w:bookmarkEnd w:id="5"/>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n7z4nenpfiir" w:id="6"/>
      <w:bookmarkEnd w:id="6"/>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l2pdcp26liyb" w:id="7"/>
      <w:bookmarkEnd w:id="7"/>
      <w:r w:rsidDel="00000000" w:rsidR="00000000" w:rsidRPr="00000000">
        <w:rPr>
          <w:b w:val="1"/>
          <w:bCs w:val="1"/>
          <w:color w:val="000000"/>
          <w:sz w:val="22"/>
          <w:szCs w:val="22"/>
          <w:rtl w:val="0"/>
        </w:rPr>
        <w:t xml:space="preserve">Conclusión</w:t>
      </w:r>
    </w:p>
    <w:p w:rsidR="00000000" w:rsidDel="00000000" w:rsidP="00000000" w:rsidRDefault="00000000" w:rsidRPr="00000000" w14:paraId="00000034">
      <w:pPr>
        <w:spacing w:after="240" w:before="240" w:lineRule="auto"/>
        <w:rPr/>
      </w:pPr>
      <w:r w:rsidDel="00000000" w:rsidR="00000000" w:rsidRPr="00000000">
        <w:rPr>
          <w:rtl w:val="0"/>
        </w:rPr>
        <w:t xml:space="preserve">Este artículo es relevante en el contexto actual, ya que destaca cómo las universidades adaptaron sus metodologías de enseñanza de gestión de proyectos ante la pandemia. Aunque el estudio es valioso en términos de adaptación educativa, el rigor del análisis podría mejorarse mediante una evaluación más sistemática de los resultados, y no solo una calificacion de la materia por parte de los estudiantes. Sería útil incluir más datos cuantitativos o estudios de caso que validen la efectividad de los métodos propuestos. No obstante, el artículo ofrece una buena base para futuras investigaciones y aplicaciones en la enseñanza de gestión de proyectos en entornos digitales.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Análisis del Artículo: "Integrating ESG factors into cost forecasting for sustainable project management: Empirical evidence from Kazakhstan"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1. Introducción</w:t>
      </w: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El artículo </w:t>
      </w:r>
      <w:r w:rsidDel="00000000" w:rsidR="00000000" w:rsidRPr="00000000">
        <w:rPr>
          <w:i w:val="1"/>
          <w:iCs w:val="1"/>
          <w:rtl w:val="0"/>
        </w:rPr>
        <w:t xml:space="preserve">"Integrating ESG factors into cost forecasting for sustainable project management: Empirical evidence from Kazakhstan",</w:t>
      </w:r>
      <w:r w:rsidDel="00000000" w:rsidR="00000000" w:rsidRPr="00000000">
        <w:rPr>
          <w:rtl w:val="0"/>
        </w:rPr>
        <w:t xml:space="preserve"> elaborado por los investigadores Meruyert Kussaiyn y Rajasekhara Mouly Potluri, representa una contribución de alto nivel publicada en la revista </w:t>
      </w:r>
      <w:r w:rsidDel="00000000" w:rsidR="00000000" w:rsidRPr="00000000">
        <w:rPr>
          <w:i w:val="1"/>
          <w:iCs w:val="1"/>
          <w:rtl w:val="0"/>
        </w:rPr>
        <w:t xml:space="preserve">World Development Sustainability</w:t>
      </w:r>
      <w:r w:rsidDel="00000000" w:rsidR="00000000" w:rsidRPr="00000000">
        <w:rPr>
          <w:rtl w:val="0"/>
        </w:rPr>
        <w:t xml:space="preserve"> (Elsevier). Este estudio explora la intersección entre la sostenibilidad, las finanzas y la dirección de proyectos en un mercado emergente como Kazajistán. Su enfoque se centra en analizar industrias de uso intensivo de capital, tales como la construcción, la minería, la infraestructura y la energía, evaluando cómo la sostenibilidad impacta los resultados de los proyectos a gran escala.</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2. La necesidad que ataca</w:t>
      </w: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La investigación aborda una deficiencia crítica y persistente en los modelos tradicionales de previsión de costes. Históricamente, la planificación financiera y de riesgos de los proyectos se ha centrado casi de forma exclusiva en variables técnicas, operativas o de mercado. En consecuencia, los factores Ambientales, Sociales y de Gobernanza (ASG o ESG, por sus siglas en inglés) han sido relegados a un plano puramente cualitativo o secundario. Esta omisión provoca una "ceguera" ante riesgos no técnicos, lo que frecuentemente se traduce en sobrecostes masivos y demoras imprevistas derivadas de problemas como: bloqueos de comunidades locales, retrasos en la obtención de licencias ambientales, o fallos de gobernanza y cumplimiento normativo.</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3. Cómo se resuelve mediante la ingeniería</w:t>
      </w: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Desde la perspectiva de la ingeniería de costos y la analítica de datos, este problema se resuelve sacando a los factores ESG del terreno cualitativo y traduciéndolos en impulsores numéricos matemáticos. El estudio demuestra que esto es posible mediante la aplicación de herramientas analíticas avanzadas, específicamente el aprendizaje automático (</w:t>
      </w:r>
      <w:r w:rsidDel="00000000" w:rsidR="00000000" w:rsidRPr="00000000">
        <w:rPr>
          <w:i w:val="1"/>
          <w:iCs w:val="1"/>
          <w:rtl w:val="0"/>
        </w:rPr>
        <w:t xml:space="preserve">Machine Learning</w:t>
      </w:r>
      <w:r w:rsidDel="00000000" w:rsidR="00000000" w:rsidRPr="00000000">
        <w:rPr>
          <w:rtl w:val="0"/>
        </w:rPr>
        <w:t xml:space="preserve">) y métodos estadísticos complejos como el Modelado de Ecuaciones Estructurales de Mínimos Cuadrados Parciales (PLS-SEM). El uso de esta ingeniería de datos permite modelar múltiples variables interrelacionadas, logrando que los riesgos de sostenibilidad sean cuantificables, medibles e integrables directamente en los algoritmos de presupuestación, superando las limitaciones de la estadística clásica.</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4. Qué aporte gerencial se realizó</w:t>
      </w:r>
      <w:r w:rsidDel="00000000" w:rsidR="00000000" w:rsidRPr="00000000">
        <w:rPr>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El principal aporte para la gerencia de proyectos es un cambio fundamental de paradigma: la sostenibilidad deja de ser vista como un mero requisito ético, un gasto de relaciones públicas o un trámite de cumplimiento, para convertirse en una herramienta clave de eficiencia financiera. El estudio provee a los gerentes de proyectos, directores financieros y tomadores de decisiones evidencia empírica (basada en la experiencia de 720 profesionales) de que integrar métricas ESG aumenta drásticamente la exactitud de los presupuestos y optimiza el cálculo de las reservas para contingencias. En resumen, dota a la gerencia de un marco validado para anticipar riesgos sistémicos y proteger la rentabilidad del proyecto desde sus fases iniciales de planificación.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5. Conclusiones</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En conclusión, el artículo es una investigación que ostenta un altísimo rigor metodológico y científico, avalado por sus exhaustivas pruebas de validez estadística y por haber superado el estricto proceso de revisión por pares de una revista de Cuartil 1 (Q1). Queda demostrado empíricamente que la integración profunda de los factores ESG en la previsión de costos es no solo viable, sino indispensable para las industrias de alto impacto. El estudio confirma que alinear la gestión de proyectos con los Objetivos de Desarrollo Sostenible (ODS) genera un beneficio dual: salvaguarda el entorno socioambiental y, al mismo tiempo, blinda la viabilidad financiera y el éxito operativo de los proyectos complejos.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Análisis artículo “Artificial intelligence tools for project management: A knowledge-based perspective”</w:t>
      </w:r>
    </w:p>
    <w:p w:rsidR="00000000" w:rsidDel="00000000" w:rsidP="00000000" w:rsidRDefault="00000000" w:rsidRPr="00000000" w14:paraId="00000042">
      <w:pPr>
        <w:spacing w:after="240" w:before="240" w:lineRule="auto"/>
        <w:rPr/>
      </w:pPr>
      <w:r w:rsidDel="00000000" w:rsidR="00000000" w:rsidRPr="00000000">
        <w:rPr>
          <w:rtl w:val="0"/>
        </w:rPr>
        <w:t xml:space="preserve">Introducción</w:t>
      </w:r>
    </w:p>
    <w:p w:rsidR="00000000" w:rsidDel="00000000" w:rsidP="00000000" w:rsidRDefault="00000000" w:rsidRPr="00000000" w14:paraId="00000043">
      <w:pPr>
        <w:spacing w:after="240" w:before="240" w:lineRule="auto"/>
        <w:rPr/>
      </w:pPr>
      <w:r w:rsidDel="00000000" w:rsidR="00000000" w:rsidRPr="00000000">
        <w:rPr>
          <w:rtl w:val="0"/>
        </w:rPr>
        <w:t xml:space="preserve"> El artículo analiza el papel de la inteligencia artificial en la gestión y gerencia de proyectos desde una perspectiva basada en el conocimiento. A través de una revisión sistemática de literatura, los autores estudian cómo distintas herramientas de IA pueden integrarse en la gestión de proyectos para mejorar el desempeño, la toma de decisiones y los resultados. El trabajo identifica áreas clave de la gestión de proyectos donde la IA tiene mayor potencial, entre ellas la gestión de integración, alcance, comunicación, riesgos y stakeholders, y además propone un marco conceptual para relacionar cada área con el tipo de herramienta de IA más adecuada.</w:t>
      </w:r>
    </w:p>
    <w:p w:rsidR="00000000" w:rsidDel="00000000" w:rsidP="00000000" w:rsidRDefault="00000000" w:rsidRPr="00000000" w14:paraId="00000044">
      <w:pPr>
        <w:spacing w:after="240" w:before="240" w:lineRule="auto"/>
        <w:rPr/>
      </w:pPr>
      <w:r w:rsidDel="00000000" w:rsidR="00000000" w:rsidRPr="00000000">
        <w:rPr>
          <w:rtl w:val="0"/>
        </w:rPr>
        <w:t xml:space="preserve">Necesidad que Ataca</w:t>
      </w:r>
    </w:p>
    <w:p w:rsidR="00000000" w:rsidDel="00000000" w:rsidP="00000000" w:rsidRDefault="00000000" w:rsidRPr="00000000" w14:paraId="00000045">
      <w:pPr>
        <w:spacing w:after="240" w:before="240" w:lineRule="auto"/>
        <w:rPr/>
      </w:pPr>
      <w:r w:rsidDel="00000000" w:rsidR="00000000" w:rsidRPr="00000000">
        <w:rPr>
          <w:rtl w:val="0"/>
        </w:rPr>
        <w:t xml:space="preserve"> El artículo parte de un problema importante: muchos proyectos siguen presentando fallas, sobrecostos, cambios de alcance y dificultades de ejecución, mientras que las organizaciones todavía no tienen claridad sobre cómo integrar la inteligencia artificial en sus procesos de gestión. Aunque la IA ofrece oportunidades para automatizar tareas, optimizar recursos y anticipar riesgos, persisten barreras como la incertidumbre sobre su uso, la falta de entrenamiento, la baja calidad de los datos, los problemas de privacidad, la resistencia al cambio y la desconfianza frente a los algoritmos. Por ello, el estudio busca llenar ese vacío proponiendo una forma estructurada de entender dónde y cómo aplicar la IA en project management.</w:t>
      </w:r>
    </w:p>
    <w:p w:rsidR="00000000" w:rsidDel="00000000" w:rsidP="00000000" w:rsidRDefault="00000000" w:rsidRPr="00000000" w14:paraId="00000046">
      <w:pPr>
        <w:spacing w:after="240" w:before="240" w:lineRule="auto"/>
        <w:rPr/>
      </w:pPr>
      <w:r w:rsidDel="00000000" w:rsidR="00000000" w:rsidRPr="00000000">
        <w:rPr>
          <w:rtl w:val="0"/>
        </w:rPr>
        <w:t xml:space="preserve">Solución de Ingeniería</w:t>
      </w:r>
    </w:p>
    <w:p w:rsidR="00000000" w:rsidDel="00000000" w:rsidP="00000000" w:rsidRDefault="00000000" w:rsidRPr="00000000" w14:paraId="00000047">
      <w:pPr>
        <w:spacing w:after="240" w:before="240" w:lineRule="auto"/>
        <w:rPr/>
      </w:pPr>
      <w:r w:rsidDel="00000000" w:rsidR="00000000" w:rsidRPr="00000000">
        <w:rPr>
          <w:rtl w:val="0"/>
        </w:rPr>
        <w:t xml:space="preserve"> La solución planteada por el artículo consiste en clasificar la gestión de proyectos según los tipos de conocimiento dominantes en cada área: conocimiento formal, conocimiento basado en datos y conocimiento tácito. A partir de esa clasificación, se establece qué tipo de inteligencia artificial resulta más conveniente en cada caso. El estudio identifica tres grandes tipos de herramientas: inteligencia artificial generativa, algoritmos de machine learning para optimización y herramientas de automatización. Por ejemplo, la IA generativa resulta útil en tareas asociadas con comunicación, stakeholders, alcance e integración; el machine learning tiene gran potencial en programación, costos, riesgos, calidad y asignación de recursos; y la automatización puede apoyar actividades repetitivas y estructuradas como compras, control y verificación. En lugar de proponer que la IA reemplace al gerente de proyecto, el artículo plantea que debe complementar el juicio humano según la naturaleza de cada tarea.</w:t>
      </w:r>
    </w:p>
    <w:p w:rsidR="00000000" w:rsidDel="00000000" w:rsidP="00000000" w:rsidRDefault="00000000" w:rsidRPr="00000000" w14:paraId="00000048">
      <w:pPr>
        <w:spacing w:after="240" w:before="240" w:lineRule="auto"/>
        <w:rPr/>
      </w:pPr>
      <w:r w:rsidDel="00000000" w:rsidR="00000000" w:rsidRPr="00000000">
        <w:rPr>
          <w:rtl w:val="0"/>
        </w:rPr>
        <w:t xml:space="preserve">Aporte desde la Gerencia</w:t>
      </w:r>
    </w:p>
    <w:p w:rsidR="00000000" w:rsidDel="00000000" w:rsidP="00000000" w:rsidRDefault="00000000" w:rsidRPr="00000000" w14:paraId="00000049">
      <w:pPr>
        <w:spacing w:after="240" w:before="240" w:lineRule="auto"/>
        <w:rPr/>
      </w:pPr>
      <w:r w:rsidDel="00000000" w:rsidR="00000000" w:rsidRPr="00000000">
        <w:rPr>
          <w:rtl w:val="0"/>
        </w:rPr>
        <w:t xml:space="preserve"> Desde la perspectiva gerencial, el artículo aporta una visión práctica para decidir cómo incorporar la inteligencia artificial en la dirección de proyectos. Su principal valor está en que no presenta la IA como una solución única para todo, sino como un conjunto de herramientas que deben alinearse con el tipo de conocimiento requerido en cada área de gestión. Esto permite a los gerentes identificar con mayor precisión dónde la IA puede aportar eficiencia, por ejemplo en pronósticos, análisis de riesgos, seguimiento del desempeño, automatización de reportes y apoyo a la toma de decisiones. Al mismo tiempo, el artículo resalta que existen dimensiones que siguen dependiendo fuertemente del criterio humano, como la interpretación contextual, la creatividad, la gestión de relaciones y el juicio estratégico. En ese sentido, su aporte gerencial es muy valioso porque promueve una adopción más realista, crítica y útil de la IA en las organizaciones.</w:t>
      </w:r>
    </w:p>
    <w:p w:rsidR="00000000" w:rsidDel="00000000" w:rsidP="00000000" w:rsidRDefault="00000000" w:rsidRPr="00000000" w14:paraId="0000004A">
      <w:pPr>
        <w:spacing w:after="240" w:before="240" w:lineRule="auto"/>
        <w:rPr/>
      </w:pPr>
      <w:r w:rsidDel="00000000" w:rsidR="00000000" w:rsidRPr="00000000">
        <w:rPr>
          <w:rtl w:val="0"/>
        </w:rPr>
        <w:t xml:space="preserve">Conclusión</w:t>
      </w:r>
    </w:p>
    <w:p w:rsidR="00000000" w:rsidDel="00000000" w:rsidP="00000000" w:rsidRDefault="00000000" w:rsidRPr="00000000" w14:paraId="0000004B">
      <w:pPr>
        <w:spacing w:after="240" w:before="240" w:lineRule="auto"/>
        <w:rPr/>
      </w:pPr>
      <w:r w:rsidDel="00000000" w:rsidR="00000000" w:rsidRPr="00000000">
        <w:rPr>
          <w:rtl w:val="0"/>
        </w:rPr>
        <w:t xml:space="preserve"> El artículo es relevante porque ofrece un análisis actualizado y estructurado sobre la integración de la inteligencia artificial en la gestión de proyectos. Su principal fortaleza es que organiza la discusión no solo en términos de beneficios, sino también de limitaciones, retos y tipos de conocimiento implicados. Además, al ser una revisión sistemática de literatura, brinda una base sólida para comprender el estado actual del tema y proponer futuras líneas de investigación. Como limitación, el propio estudio reconoce que la evolución de la IA es muy rápida, por lo que algunas herramientas o conclusiones pueden cambiar en poco tiempo y variar según el sector o tipo de proyecto. Aun así, el trabajo constituye una base importante para entender cómo la IA puede mejorar la gestión de proyectos sin desplazar completamente el papel del gerente, sino fortaleciendo su capacidad de análisis, control y decisión.</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ind w:left="0" w:firstLine="0"/>
        <w:jc w:val="left"/>
        <w:rPr>
          <w:b w:val="1"/>
          <w:bCs w:val="1"/>
        </w:rPr>
      </w:pPr>
      <w:r w:rsidDel="00000000" w:rsidR="00000000" w:rsidRPr="00000000">
        <w:rPr>
          <w:b w:val="1"/>
          <w:bCs w:val="1"/>
          <w:rtl w:val="0"/>
        </w:rPr>
        <w:t xml:space="preserve">Referencias</w:t>
      </w:r>
    </w:p>
    <w:p w:rsidR="00000000" w:rsidDel="00000000" w:rsidP="00000000" w:rsidRDefault="00000000" w:rsidRPr="00000000" w14:paraId="0000004F">
      <w:pPr>
        <w:spacing w:after="240" w:before="240" w:lineRule="auto"/>
        <w:rPr/>
      </w:pPr>
      <w:r w:rsidDel="00000000" w:rsidR="00000000" w:rsidRPr="00000000">
        <w:rPr>
          <w:rtl w:val="0"/>
        </w:rPr>
        <w:t xml:space="preserve">Stechert, C. (2021). Digital and distributed project management in mechanical engineering studies – a case study. </w:t>
      </w:r>
      <w:r w:rsidDel="00000000" w:rsidR="00000000" w:rsidRPr="00000000">
        <w:rPr>
          <w:i w:val="1"/>
          <w:iCs w:val="1"/>
          <w:rtl w:val="0"/>
        </w:rPr>
        <w:t xml:space="preserve">Procedia CIRP</w:t>
      </w:r>
      <w:r w:rsidDel="00000000" w:rsidR="00000000" w:rsidRPr="00000000">
        <w:rPr>
          <w:rtl w:val="0"/>
        </w:rPr>
        <w:t xml:space="preserve">, </w:t>
      </w:r>
      <w:r w:rsidDel="00000000" w:rsidR="00000000" w:rsidRPr="00000000">
        <w:rPr>
          <w:i w:val="1"/>
          <w:iCs w:val="1"/>
          <w:rtl w:val="0"/>
        </w:rPr>
        <w:t xml:space="preserve">100</w:t>
      </w:r>
      <w:r w:rsidDel="00000000" w:rsidR="00000000" w:rsidRPr="00000000">
        <w:rPr>
          <w:rtl w:val="0"/>
        </w:rPr>
        <w:t xml:space="preserve">, 500-505. https://doi.org/10.1016/j.procir.2021.05.110</w:t>
      </w:r>
    </w:p>
    <w:p w:rsidR="00000000" w:rsidDel="00000000" w:rsidP="00000000" w:rsidRDefault="00000000" w:rsidRPr="00000000" w14:paraId="00000050">
      <w:pPr>
        <w:ind w:left="0" w:firstLine="0"/>
        <w:jc w:val="left"/>
        <w:rPr/>
      </w:pPr>
      <w:r w:rsidDel="00000000" w:rsidR="00000000" w:rsidRPr="00000000">
        <w:rPr>
          <w:rtl w:val="0"/>
        </w:rPr>
        <w:t xml:space="preserve">Kussaiyn, M., &amp; Potluri, R. M. (2026). Integrating ESG factors into cost forecasting for sustainable project management: Empirical evidence from Kazakhstan. </w:t>
      </w:r>
      <w:r w:rsidDel="00000000" w:rsidR="00000000" w:rsidRPr="00000000">
        <w:rPr>
          <w:i w:val="1"/>
          <w:iCs w:val="1"/>
          <w:rtl w:val="0"/>
        </w:rPr>
        <w:t xml:space="preserve">World Development Sustainability</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100279. https://www.sciencedirect.com/science/article/pii/S2772655X26000121</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color w:val="1155cc"/>
          <w:u w:val="single"/>
        </w:rPr>
      </w:pPr>
      <w:r w:rsidDel="00000000" w:rsidR="00000000" w:rsidRPr="00000000">
        <w:rPr>
          <w:b w:val="1"/>
          <w:bCs w:val="1"/>
          <w:rtl w:val="0"/>
        </w:rPr>
        <w:t xml:space="preserve">Referencia</w:t>
        <w:br w:type="textWrapping"/>
      </w:r>
      <w:r w:rsidDel="00000000" w:rsidR="00000000" w:rsidRPr="00000000">
        <w:rPr>
          <w:rtl w:val="0"/>
        </w:rPr>
        <w:t xml:space="preserve"> Almeida, P. M., Fernandes, G., &amp; Santos, J. M. R. C. A. (2025). </w:t>
      </w:r>
      <w:r w:rsidDel="00000000" w:rsidR="00000000" w:rsidRPr="00000000">
        <w:rPr>
          <w:i w:val="1"/>
          <w:iCs w:val="1"/>
          <w:rtl w:val="0"/>
        </w:rPr>
        <w:t xml:space="preserve">Artificial intelligence tools for project management: A knowledge-based perspective</w:t>
      </w:r>
      <w:r w:rsidDel="00000000" w:rsidR="00000000" w:rsidRPr="00000000">
        <w:rPr>
          <w:rtl w:val="0"/>
        </w:rPr>
        <w:t xml:space="preserve">. </w:t>
      </w:r>
      <w:r w:rsidDel="00000000" w:rsidR="00000000" w:rsidRPr="00000000">
        <w:rPr>
          <w:i w:val="1"/>
          <w:iCs w:val="1"/>
          <w:rtl w:val="0"/>
        </w:rPr>
        <w:t xml:space="preserve">Project Leadership and Society, 6</w:t>
      </w:r>
      <w:r w:rsidDel="00000000" w:rsidR="00000000" w:rsidRPr="00000000">
        <w:rPr>
          <w:rtl w:val="0"/>
        </w:rPr>
        <w:t xml:space="preserve">, 100196.</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https://doi.org/10.1016/j.plas.2025.100196</w:t>
        </w:r>
      </w:hyperlink>
      <w:r w:rsidDel="00000000" w:rsidR="00000000" w:rsidRPr="00000000">
        <w:rPr>
          <w:rtl w:val="0"/>
        </w:rPr>
      </w:r>
    </w:p>
    <w:p w:rsidR="00000000" w:rsidDel="00000000" w:rsidP="00000000" w:rsidRDefault="00000000" w:rsidRPr="00000000" w14:paraId="00000053">
      <w:pPr>
        <w:ind w:left="0" w:firstLine="0"/>
        <w:jc w:val="left"/>
        <w:rPr/>
      </w:pPr>
      <w:r w:rsidDel="00000000" w:rsidR="00000000" w:rsidRPr="00000000">
        <w:rPr>
          <w:rtl w:val="0"/>
        </w:rPr>
      </w:r>
    </w:p>
    <w:p w:rsidR="00000000" w:rsidDel="00000000" w:rsidP="00000000" w:rsidRDefault="00000000" w:rsidRPr="00000000" w14:paraId="00000054">
      <w:pPr>
        <w:ind w:left="0" w:firstLine="0"/>
        <w:jc w:val="left"/>
        <w:rPr/>
      </w:pPr>
      <w:r w:rsidDel="00000000" w:rsidR="00000000" w:rsidRPr="00000000">
        <w:rPr>
          <w:rtl w:val="0"/>
        </w:rPr>
      </w:r>
    </w:p>
    <w:p w:rsidR="00000000" w:rsidDel="00000000" w:rsidP="00000000" w:rsidRDefault="00000000" w:rsidRPr="00000000" w14:paraId="00000055">
      <w:pPr>
        <w:ind w:left="0" w:firstLine="0"/>
        <w:jc w:val="left"/>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16/j.plas.2025.100196" TargetMode="External"/><Relationship Id="rId7" Type="http://schemas.openxmlformats.org/officeDocument/2006/relationships/hyperlink" Target="https://doi.org/10.1016/j.plas.2025.100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