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Universidad Nacional de Colombia</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Sede-Bogotá</w:t>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Facultad de Ingeniería </w:t>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2026-2</w:t>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both"/>
        <w:rPr>
          <w:b w:val="1"/>
          <w:bCs w:val="1"/>
          <w:sz w:val="24"/>
          <w:szCs w:val="24"/>
        </w:rPr>
      </w:pPr>
      <w:r w:rsidDel="00000000" w:rsidR="00000000" w:rsidRPr="00000000">
        <w:rPr>
          <w:b w:val="1"/>
          <w:bCs w:val="1"/>
          <w:sz w:val="24"/>
          <w:szCs w:val="24"/>
          <w:rtl w:val="0"/>
        </w:rPr>
        <w:t xml:space="preserve">Materia: Gerencia y Gestión de Proyectos </w:t>
      </w:r>
    </w:p>
    <w:p w:rsidR="00000000" w:rsidDel="00000000" w:rsidP="00000000" w:rsidRDefault="00000000" w:rsidRPr="00000000" w14:paraId="00000007">
      <w:pPr>
        <w:jc w:val="both"/>
        <w:rPr>
          <w:sz w:val="24"/>
          <w:szCs w:val="24"/>
        </w:rPr>
      </w:pPr>
      <w:r w:rsidDel="00000000" w:rsidR="00000000" w:rsidRPr="00000000">
        <w:rPr>
          <w:b w:val="1"/>
          <w:bCs w:val="1"/>
          <w:sz w:val="24"/>
          <w:szCs w:val="24"/>
          <w:rtl w:val="0"/>
        </w:rPr>
        <w:t xml:space="preserve">Profesor: Oscar</w:t>
      </w:r>
      <w:r w:rsidDel="00000000" w:rsidR="00000000" w:rsidRPr="00000000">
        <w:rPr>
          <w:sz w:val="24"/>
          <w:szCs w:val="24"/>
          <w:rtl w:val="0"/>
        </w:rPr>
        <w:t xml:space="preserve"> Fernando Castellanos Domínguez</w:t>
      </w:r>
    </w:p>
    <w:p w:rsidR="00000000" w:rsidDel="00000000" w:rsidP="00000000" w:rsidRDefault="00000000" w:rsidRPr="00000000" w14:paraId="00000008">
      <w:pPr>
        <w:rPr>
          <w:sz w:val="24"/>
          <w:szCs w:val="24"/>
        </w:rPr>
      </w:pPr>
      <w:r w:rsidDel="00000000" w:rsidR="00000000" w:rsidRPr="00000000">
        <w:rPr>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9">
      <w:pPr>
        <w:ind w:left="720" w:firstLine="0"/>
        <w:rPr>
          <w:sz w:val="24"/>
          <w:szCs w:val="24"/>
        </w:rPr>
      </w:pPr>
      <w:r w:rsidDel="00000000" w:rsidR="00000000" w:rsidRPr="00000000">
        <w:rPr>
          <w:rtl w:val="0"/>
        </w:rPr>
      </w:r>
    </w:p>
    <w:p w:rsidR="00000000" w:rsidDel="00000000" w:rsidP="00000000" w:rsidRDefault="00000000" w:rsidRPr="00000000" w14:paraId="0000000A">
      <w:pPr>
        <w:numPr>
          <w:ilvl w:val="0"/>
          <w:numId w:val="10"/>
        </w:numPr>
        <w:ind w:left="720" w:hanging="360"/>
        <w:rPr>
          <w:sz w:val="24"/>
          <w:szCs w:val="24"/>
        </w:rPr>
      </w:pPr>
      <w:r w:rsidDel="00000000" w:rsidR="00000000" w:rsidRPr="00000000">
        <w:rPr>
          <w:sz w:val="24"/>
          <w:szCs w:val="24"/>
          <w:rtl w:val="0"/>
        </w:rPr>
        <w:t xml:space="preserve">Brajhan Alexis Piamba Anacona</w:t>
      </w:r>
    </w:p>
    <w:p w:rsidR="00000000" w:rsidDel="00000000" w:rsidP="00000000" w:rsidRDefault="00000000" w:rsidRPr="00000000" w14:paraId="0000000B">
      <w:pPr>
        <w:numPr>
          <w:ilvl w:val="0"/>
          <w:numId w:val="10"/>
        </w:numPr>
        <w:ind w:left="720" w:hanging="360"/>
        <w:rPr>
          <w:sz w:val="24"/>
          <w:szCs w:val="24"/>
        </w:rPr>
      </w:pPr>
      <w:r w:rsidDel="00000000" w:rsidR="00000000" w:rsidRPr="00000000">
        <w:rPr>
          <w:sz w:val="24"/>
          <w:szCs w:val="24"/>
          <w:rtl w:val="0"/>
        </w:rPr>
        <w:t xml:space="preserve">Daniel Santiago Ramirez Albornoz</w:t>
      </w:r>
    </w:p>
    <w:p w:rsidR="00000000" w:rsidDel="00000000" w:rsidP="00000000" w:rsidRDefault="00000000" w:rsidRPr="00000000" w14:paraId="0000000C">
      <w:pPr>
        <w:numPr>
          <w:ilvl w:val="0"/>
          <w:numId w:val="10"/>
        </w:numPr>
        <w:ind w:left="720" w:hanging="360"/>
        <w:rPr>
          <w:sz w:val="24"/>
          <w:szCs w:val="24"/>
        </w:rPr>
      </w:pPr>
      <w:r w:rsidDel="00000000" w:rsidR="00000000" w:rsidRPr="00000000">
        <w:rPr>
          <w:sz w:val="24"/>
          <w:szCs w:val="24"/>
          <w:rtl w:val="0"/>
        </w:rPr>
        <w:t xml:space="preserve">Angela Maria Sanchez Cordoba</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jc w:val="center"/>
        <w:rPr>
          <w:b w:val="1"/>
          <w:bCs w:val="1"/>
          <w:sz w:val="24"/>
          <w:szCs w:val="24"/>
        </w:rPr>
      </w:pPr>
      <w:r w:rsidDel="00000000" w:rsidR="00000000" w:rsidRPr="00000000">
        <w:rPr>
          <w:b w:val="1"/>
          <w:bCs w:val="1"/>
          <w:sz w:val="24"/>
          <w:szCs w:val="24"/>
          <w:rtl w:val="0"/>
        </w:rPr>
        <w:t xml:space="preserve">Taller Nº3. Rigor en el Desarrollo de K en GGP</w:t>
      </w:r>
    </w:p>
    <w:p w:rsidR="00000000" w:rsidDel="00000000" w:rsidP="00000000" w:rsidRDefault="00000000" w:rsidRPr="00000000" w14:paraId="0000000F">
      <w:pPr>
        <w:jc w:val="center"/>
        <w:rPr>
          <w:b w:val="1"/>
          <w:bCs w:val="1"/>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Artículo 1: </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b w:val="1"/>
          <w:bCs w:val="1"/>
          <w:sz w:val="24"/>
          <w:szCs w:val="24"/>
          <w:rtl w:val="0"/>
        </w:rPr>
        <w:t xml:space="preserve">Nombre del artículo:</w:t>
      </w:r>
      <w:r w:rsidDel="00000000" w:rsidR="00000000" w:rsidRPr="00000000">
        <w:rPr>
          <w:sz w:val="24"/>
          <w:szCs w:val="24"/>
          <w:rtl w:val="0"/>
        </w:rPr>
        <w:t xml:space="preserve"> “Estadística Aplicada a la Ingeniería Agrícola y a las Ciencias Agropecuarias, su contribución en la docencia, investigación y transferencia de conocimiento. “</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Revista: </w:t>
      </w:r>
      <w:r w:rsidDel="00000000" w:rsidR="00000000" w:rsidRPr="00000000">
        <w:rPr>
          <w:sz w:val="24"/>
          <w:szCs w:val="24"/>
          <w:rtl w:val="0"/>
        </w:rPr>
        <w:t xml:space="preserve">Ciencias Técnicas Agropecuarias versión On-line ISSN 2017-0054</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b w:val="1"/>
          <w:bCs w:val="1"/>
          <w:sz w:val="24"/>
          <w:szCs w:val="24"/>
          <w:rtl w:val="0"/>
        </w:rPr>
        <w:t xml:space="preserve">Año: </w:t>
      </w:r>
      <w:r w:rsidDel="00000000" w:rsidR="00000000" w:rsidRPr="00000000">
        <w:rPr>
          <w:sz w:val="24"/>
          <w:szCs w:val="24"/>
          <w:rtl w:val="0"/>
        </w:rPr>
        <w:t xml:space="preserve">2013</w:t>
      </w:r>
    </w:p>
    <w:p w:rsidR="00000000" w:rsidDel="00000000" w:rsidP="00000000" w:rsidRDefault="00000000" w:rsidRPr="00000000" w14:paraId="00000017">
      <w:pPr>
        <w:pStyle w:val="Heading2"/>
        <w:keepNext w:val="0"/>
        <w:keepLines w:val="0"/>
        <w:shd w:fill="ffffff" w:val="clear"/>
        <w:spacing w:after="240" w:before="480" w:line="349.09090909090907" w:lineRule="auto"/>
        <w:jc w:val="both"/>
        <w:rPr>
          <w:b w:val="1"/>
          <w:bCs w:val="1"/>
          <w:color w:val="0f1115"/>
          <w:sz w:val="24"/>
          <w:szCs w:val="24"/>
        </w:rPr>
      </w:pPr>
      <w:bookmarkStart w:colFirst="0" w:colLast="0" w:name="_heading=h.o6cbxysvduqc" w:id="0"/>
      <w:bookmarkEnd w:id="0"/>
      <w:r w:rsidDel="00000000" w:rsidR="00000000" w:rsidRPr="00000000">
        <w:rPr>
          <w:b w:val="1"/>
          <w:bCs w:val="1"/>
          <w:color w:val="0f1115"/>
          <w:sz w:val="24"/>
          <w:szCs w:val="24"/>
          <w:rtl w:val="0"/>
        </w:rPr>
        <w:t xml:space="preserve">1. Descripción del artículo científico</w:t>
      </w:r>
    </w:p>
    <w:p w:rsidR="00000000" w:rsidDel="00000000" w:rsidP="00000000" w:rsidRDefault="00000000" w:rsidRPr="00000000" w14:paraId="00000018">
      <w:pPr>
        <w:shd w:fill="ffffff" w:val="clear"/>
        <w:spacing w:after="240" w:before="240" w:lineRule="auto"/>
        <w:jc w:val="both"/>
        <w:rPr>
          <w:color w:val="0f1115"/>
          <w:sz w:val="24"/>
          <w:szCs w:val="24"/>
        </w:rPr>
      </w:pPr>
      <w:r w:rsidDel="00000000" w:rsidR="00000000" w:rsidRPr="00000000">
        <w:rPr>
          <w:color w:val="0f1115"/>
          <w:sz w:val="24"/>
          <w:szCs w:val="24"/>
          <w:highlight w:val="white"/>
          <w:rtl w:val="0"/>
        </w:rPr>
        <w:t xml:space="preserve">El artículo presenta un trabajo de sistematización de experiencias en el ámbito de la enseñanza de la estadística aplicada al sector agrario e ingeniería agrícola, con un fuerte énfasis en la cooperación internacional (Cuba-Argentina-España), la innovación docente y la transferencia de conocimiento. Los resultados ya han sido implementados en pre y posgrado y tienen alto potencial de escalabilidad en Iberoamérica.</w:t>
      </w:r>
      <w:r w:rsidDel="00000000" w:rsidR="00000000" w:rsidRPr="00000000">
        <w:rPr>
          <w:color w:val="0f1115"/>
          <w:sz w:val="24"/>
          <w:szCs w:val="24"/>
          <w:rtl w:val="0"/>
        </w:rPr>
        <w:t xml:space="preserve"> </w:t>
      </w:r>
    </w:p>
    <w:p w:rsidR="00000000" w:rsidDel="00000000" w:rsidP="00000000" w:rsidRDefault="00000000" w:rsidRPr="00000000" w14:paraId="00000019">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Además describe más de 20 años de trabajo colaborativo entre grupos de expertos en biometría de Argentina, Cuba y España, enfocados en mejorar el proceso de enseñanza-aprendizaje de la estadística, así como en desarrollar modelos y herramientas estadísticas aplicadas a la investigación agropecuaria e ingeniería agrícola.</w:t>
      </w:r>
    </w:p>
    <w:p w:rsidR="00000000" w:rsidDel="00000000" w:rsidP="00000000" w:rsidRDefault="00000000" w:rsidRPr="00000000" w14:paraId="0000001A">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01B">
      <w:pPr>
        <w:shd w:fill="ffffff" w:val="clear"/>
        <w:spacing w:after="240" w:before="240" w:lineRule="auto"/>
        <w:jc w:val="both"/>
        <w:rPr>
          <w:b w:val="1"/>
          <w:bCs w:val="1"/>
          <w:color w:val="0f1115"/>
          <w:sz w:val="24"/>
          <w:szCs w:val="24"/>
        </w:rPr>
      </w:pPr>
      <w:r w:rsidDel="00000000" w:rsidR="00000000" w:rsidRPr="00000000">
        <w:rPr>
          <w:b w:val="1"/>
          <w:bCs w:val="1"/>
          <w:color w:val="0f1115"/>
          <w:sz w:val="24"/>
          <w:szCs w:val="24"/>
          <w:rtl w:val="0"/>
        </w:rPr>
        <w:t xml:space="preserve">2. Rigor del artículo</w:t>
      </w:r>
    </w:p>
    <w:p w:rsidR="00000000" w:rsidDel="00000000" w:rsidP="00000000" w:rsidRDefault="00000000" w:rsidRPr="00000000" w14:paraId="0000001C">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El artículo presenta un rigor metodológico aceptable para un trabajo de divulgación y sistematización de experiencias. Sin embargo, se identifican los siguientes aspectos:</w:t>
      </w:r>
    </w:p>
    <w:p w:rsidR="00000000" w:rsidDel="00000000" w:rsidP="00000000" w:rsidRDefault="00000000" w:rsidRPr="00000000" w14:paraId="0000001D">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Fortalezas:</w:t>
      </w:r>
    </w:p>
    <w:p w:rsidR="00000000" w:rsidDel="00000000" w:rsidP="00000000" w:rsidRDefault="00000000" w:rsidRPr="00000000" w14:paraId="0000001E">
      <w:pPr>
        <w:numPr>
          <w:ilvl w:val="0"/>
          <w:numId w:val="6"/>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Respaldo en proyectos de investigación concretos (ej. Proyecto MES-MINAGRI, FOAR 2006-2009, CAPES Brasil).</w:t>
      </w:r>
    </w:p>
    <w:p w:rsidR="00000000" w:rsidDel="00000000" w:rsidP="00000000" w:rsidRDefault="00000000" w:rsidRPr="00000000" w14:paraId="0000001F">
      <w:pPr>
        <w:numPr>
          <w:ilvl w:val="0"/>
          <w:numId w:val="6"/>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Referencias bibliográficas actualizadas y de visibilidad (Revista Cubana de Ciencia Agrícola, RCTA, etc.).</w:t>
      </w:r>
    </w:p>
    <w:p w:rsidR="00000000" w:rsidDel="00000000" w:rsidP="00000000" w:rsidRDefault="00000000" w:rsidRPr="00000000" w14:paraId="00000020">
      <w:pPr>
        <w:numPr>
          <w:ilvl w:val="0"/>
          <w:numId w:val="6"/>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Participación de múltiples instituciones y revisión por pares implícita en las publicaciones citadas.</w:t>
      </w:r>
    </w:p>
    <w:p w:rsidR="00000000" w:rsidDel="00000000" w:rsidP="00000000" w:rsidRDefault="00000000" w:rsidRPr="00000000" w14:paraId="00000021">
      <w:pPr>
        <w:numPr>
          <w:ilvl w:val="0"/>
          <w:numId w:val="6"/>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Resultados cuantificables (20 tesis de maestría, cursos en 6 países, desarrollo de software ANSOST 1.0).</w:t>
      </w:r>
    </w:p>
    <w:p w:rsidR="00000000" w:rsidDel="00000000" w:rsidP="00000000" w:rsidRDefault="00000000" w:rsidRPr="00000000" w14:paraId="00000022">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Debilidades:</w:t>
      </w:r>
    </w:p>
    <w:p w:rsidR="00000000" w:rsidDel="00000000" w:rsidP="00000000" w:rsidRDefault="00000000" w:rsidRPr="00000000" w14:paraId="00000023">
      <w:pPr>
        <w:numPr>
          <w:ilvl w:val="0"/>
          <w:numId w:val="7"/>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No se especifica la metodología de investigación utilizada (ej. estudio de caso, investigación-acción, etc.).</w:t>
      </w:r>
    </w:p>
    <w:p w:rsidR="00000000" w:rsidDel="00000000" w:rsidP="00000000" w:rsidRDefault="00000000" w:rsidRPr="00000000" w14:paraId="00000024">
      <w:pPr>
        <w:numPr>
          <w:ilvl w:val="0"/>
          <w:numId w:val="7"/>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Falta de indicadores de impacto medibles (ej. número de investigadores formados, artículos indexados, patentes).</w:t>
      </w:r>
    </w:p>
    <w:p w:rsidR="00000000" w:rsidDel="00000000" w:rsidP="00000000" w:rsidRDefault="00000000" w:rsidRPr="00000000" w14:paraId="00000025">
      <w:pPr>
        <w:numPr>
          <w:ilvl w:val="0"/>
          <w:numId w:val="7"/>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No se detalla el proceso de validación de los modelos estadísticos ni de los softwares desarrollados.</w:t>
      </w:r>
    </w:p>
    <w:p w:rsidR="00000000" w:rsidDel="00000000" w:rsidP="00000000" w:rsidRDefault="00000000" w:rsidRPr="00000000" w14:paraId="00000026">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En conclusión, el rigor es medio-alto en cuanto a la trayectoria y respaldo institucional, pero bajo en términos de formalización metodológica explícita en el artículo.</w:t>
      </w:r>
    </w:p>
    <w:p w:rsidR="00000000" w:rsidDel="00000000" w:rsidP="00000000" w:rsidRDefault="00000000" w:rsidRPr="00000000" w14:paraId="00000027">
      <w:pPr>
        <w:pStyle w:val="Heading2"/>
        <w:keepNext w:val="0"/>
        <w:keepLines w:val="0"/>
        <w:shd w:fill="ffffff" w:val="clear"/>
        <w:spacing w:after="240" w:before="480" w:line="349.09090909090907" w:lineRule="auto"/>
        <w:jc w:val="both"/>
        <w:rPr>
          <w:b w:val="1"/>
          <w:bCs w:val="1"/>
          <w:color w:val="0f1115"/>
          <w:sz w:val="24"/>
          <w:szCs w:val="24"/>
        </w:rPr>
      </w:pPr>
      <w:bookmarkStart w:colFirst="0" w:colLast="0" w:name="_heading=h.j7jresma6y1" w:id="1"/>
      <w:bookmarkEnd w:id="1"/>
      <w:r w:rsidDel="00000000" w:rsidR="00000000" w:rsidRPr="00000000">
        <w:rPr>
          <w:b w:val="1"/>
          <w:bCs w:val="1"/>
          <w:color w:val="0f1115"/>
          <w:sz w:val="24"/>
          <w:szCs w:val="24"/>
          <w:rtl w:val="0"/>
        </w:rPr>
        <w:t xml:space="preserve">3. Planteamiento del problema</w:t>
      </w:r>
    </w:p>
    <w:p w:rsidR="00000000" w:rsidDel="00000000" w:rsidP="00000000" w:rsidRDefault="00000000" w:rsidRPr="00000000" w14:paraId="00000028">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Problema central:</w:t>
        <w:br w:type="textWrapping"/>
        <w:t xml:space="preserve">Existe una dificultad generalizada en el aprendizaje y aplicación de herramientas estadísticas en estudiantes, docentes e investigadores del sector agropecuario e ingeniería agrícola, lo que limita la calidad y eficiencia de las investigaciones científicas y la toma de decisiones en sistemas productivos.</w:t>
      </w:r>
    </w:p>
    <w:p w:rsidR="00000000" w:rsidDel="00000000" w:rsidP="00000000" w:rsidRDefault="00000000" w:rsidRPr="00000000" w14:paraId="00000029">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Problemas específicos derivados:</w:t>
      </w:r>
    </w:p>
    <w:p w:rsidR="00000000" w:rsidDel="00000000" w:rsidP="00000000" w:rsidRDefault="00000000" w:rsidRPr="00000000" w14:paraId="0000002A">
      <w:pPr>
        <w:numPr>
          <w:ilvl w:val="0"/>
          <w:numId w:val="16"/>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Falta de actualización en métodos estadísticos de avanzada.</w:t>
      </w:r>
    </w:p>
    <w:p w:rsidR="00000000" w:rsidDel="00000000" w:rsidP="00000000" w:rsidRDefault="00000000" w:rsidRPr="00000000" w14:paraId="0000002B">
      <w:pPr>
        <w:numPr>
          <w:ilvl w:val="0"/>
          <w:numId w:val="16"/>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Escasa integración de la estadística en los currículos de pre y posgrado.</w:t>
      </w:r>
    </w:p>
    <w:p w:rsidR="00000000" w:rsidDel="00000000" w:rsidP="00000000" w:rsidRDefault="00000000" w:rsidRPr="00000000" w14:paraId="0000002C">
      <w:pPr>
        <w:numPr>
          <w:ilvl w:val="0"/>
          <w:numId w:val="16"/>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Necesidad de software especializado y adaptado a contextos agrarios.</w:t>
      </w:r>
    </w:p>
    <w:p w:rsidR="00000000" w:rsidDel="00000000" w:rsidP="00000000" w:rsidRDefault="00000000" w:rsidRPr="00000000" w14:paraId="0000002D">
      <w:pPr>
        <w:numPr>
          <w:ilvl w:val="0"/>
          <w:numId w:val="16"/>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Insuficiente capacitación continua de los profesionales.</w:t>
      </w:r>
    </w:p>
    <w:p w:rsidR="00000000" w:rsidDel="00000000" w:rsidP="00000000" w:rsidRDefault="00000000" w:rsidRPr="00000000" w14:paraId="0000002E">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Contexto:</w:t>
        <w:br w:type="textWrapping"/>
        <w:t xml:space="preserve">El problema se manifiesta en universidades y centros de investigación de Iberoamérica, particularmente en Cuba, Argentina y España, donde los grupos de biometría han trabajado durante más de dos décadas para mitigarlo.</w:t>
      </w:r>
    </w:p>
    <w:p w:rsidR="00000000" w:rsidDel="00000000" w:rsidP="00000000" w:rsidRDefault="00000000" w:rsidRPr="00000000" w14:paraId="0000002F">
      <w:pPr>
        <w:pStyle w:val="Heading2"/>
        <w:keepNext w:val="0"/>
        <w:keepLines w:val="0"/>
        <w:shd w:fill="ffffff" w:val="clear"/>
        <w:spacing w:after="240" w:before="480" w:line="349.09090909090907" w:lineRule="auto"/>
        <w:jc w:val="both"/>
        <w:rPr>
          <w:b w:val="1"/>
          <w:bCs w:val="1"/>
          <w:color w:val="0f1115"/>
          <w:sz w:val="24"/>
          <w:szCs w:val="24"/>
        </w:rPr>
      </w:pPr>
      <w:bookmarkStart w:colFirst="0" w:colLast="0" w:name="_heading=h.k248biswql5a" w:id="2"/>
      <w:bookmarkEnd w:id="2"/>
      <w:r w:rsidDel="00000000" w:rsidR="00000000" w:rsidRPr="00000000">
        <w:rPr>
          <w:b w:val="1"/>
          <w:bCs w:val="1"/>
          <w:color w:val="0f1115"/>
          <w:sz w:val="24"/>
          <w:szCs w:val="24"/>
          <w:rtl w:val="0"/>
        </w:rPr>
        <w:t xml:space="preserve">4. Enfoque desde el punto de vista de ingeniería agrícola</w:t>
      </w:r>
    </w:p>
    <w:p w:rsidR="00000000" w:rsidDel="00000000" w:rsidP="00000000" w:rsidRDefault="00000000" w:rsidRPr="00000000" w14:paraId="00000030">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El artículo aborda la ingeniería agrícola desde múltiples ángulos:</w:t>
      </w:r>
    </w:p>
    <w:p w:rsidR="00000000" w:rsidDel="00000000" w:rsidP="00000000" w:rsidRDefault="00000000" w:rsidRPr="00000000" w14:paraId="00000031">
      <w:pPr>
        <w:numPr>
          <w:ilvl w:val="0"/>
          <w:numId w:val="1"/>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Modelación estadístico-matemática aplicada a:</w:t>
      </w:r>
    </w:p>
    <w:p w:rsidR="00000000" w:rsidDel="00000000" w:rsidP="00000000" w:rsidRDefault="00000000" w:rsidRPr="00000000" w14:paraId="00000032">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Crecimiento animal y vegetal.</w:t>
      </w:r>
    </w:p>
    <w:p w:rsidR="00000000" w:rsidDel="00000000" w:rsidP="00000000" w:rsidRDefault="00000000" w:rsidRPr="00000000" w14:paraId="00000033">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Evaluación genética de ganado.</w:t>
      </w:r>
    </w:p>
    <w:p w:rsidR="00000000" w:rsidDel="00000000" w:rsidP="00000000" w:rsidRDefault="00000000" w:rsidRPr="00000000" w14:paraId="00000034">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Estudios ecológico-estadísticos de plagas.</w:t>
      </w:r>
    </w:p>
    <w:p w:rsidR="00000000" w:rsidDel="00000000" w:rsidP="00000000" w:rsidRDefault="00000000" w:rsidRPr="00000000" w14:paraId="00000035">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color w:val="0f1115"/>
          <w:sz w:val="24"/>
          <w:szCs w:val="24"/>
          <w:rtl w:val="0"/>
        </w:rPr>
        <w:t xml:space="preserve">Sostenibilidad socioeconómica en sistemas agrícolas y pecuarios.</w:t>
      </w:r>
    </w:p>
    <w:p w:rsidR="00000000" w:rsidDel="00000000" w:rsidP="00000000" w:rsidRDefault="00000000" w:rsidRPr="00000000" w14:paraId="00000036">
      <w:pPr>
        <w:numPr>
          <w:ilvl w:val="0"/>
          <w:numId w:val="1"/>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Desarrollo de software especializado como ANSOST 1.0, orientado al análisis de sostenibilidad en el sector agrícola.</w:t>
      </w:r>
    </w:p>
    <w:p w:rsidR="00000000" w:rsidDel="00000000" w:rsidP="00000000" w:rsidRDefault="00000000" w:rsidRPr="00000000" w14:paraId="00000037">
      <w:pPr>
        <w:numPr>
          <w:ilvl w:val="0"/>
          <w:numId w:val="1"/>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Aplicación en empresas agrícolas y pecuarias para optimización de decisiones productivas.</w:t>
      </w:r>
    </w:p>
    <w:p w:rsidR="00000000" w:rsidDel="00000000" w:rsidP="00000000" w:rsidRDefault="00000000" w:rsidRPr="00000000" w14:paraId="00000038">
      <w:pPr>
        <w:numPr>
          <w:ilvl w:val="0"/>
          <w:numId w:val="1"/>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Formación de ingenieros agrícolas mediante cursos de posgrado en estadística aplicada y modelos matemáticos.</w:t>
      </w:r>
    </w:p>
    <w:p w:rsidR="00000000" w:rsidDel="00000000" w:rsidP="00000000" w:rsidRDefault="00000000" w:rsidRPr="00000000" w14:paraId="00000039">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El enfoque es claramente aplicado y orientado a la solución de problemas reales del sector, utilizando la estadística como herramienta transversal para la ingeniería agrícola.</w:t>
      </w:r>
    </w:p>
    <w:p w:rsidR="00000000" w:rsidDel="00000000" w:rsidP="00000000" w:rsidRDefault="00000000" w:rsidRPr="00000000" w14:paraId="0000003A">
      <w:pPr>
        <w:pStyle w:val="Heading2"/>
        <w:keepNext w:val="0"/>
        <w:keepLines w:val="0"/>
        <w:shd w:fill="ffffff" w:val="clear"/>
        <w:spacing w:after="240" w:before="480" w:line="349.09090909090907" w:lineRule="auto"/>
        <w:jc w:val="both"/>
        <w:rPr>
          <w:b w:val="1"/>
          <w:bCs w:val="1"/>
          <w:color w:val="0f1115"/>
          <w:sz w:val="24"/>
          <w:szCs w:val="24"/>
        </w:rPr>
      </w:pPr>
      <w:bookmarkStart w:colFirst="0" w:colLast="0" w:name="_heading=h.ky7e7osiq896" w:id="3"/>
      <w:bookmarkEnd w:id="3"/>
      <w:r w:rsidDel="00000000" w:rsidR="00000000" w:rsidRPr="00000000">
        <w:rPr>
          <w:b w:val="1"/>
          <w:bCs w:val="1"/>
          <w:color w:val="0f1115"/>
          <w:sz w:val="24"/>
          <w:szCs w:val="24"/>
          <w:rtl w:val="0"/>
        </w:rPr>
        <w:t xml:space="preserve">5. Integración con la gerencia de proyectos</w:t>
      </w:r>
    </w:p>
    <w:p w:rsidR="00000000" w:rsidDel="00000000" w:rsidP="00000000" w:rsidRDefault="00000000" w:rsidRPr="00000000" w14:paraId="0000003B">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En el artículo permiten identificar una sólida integración con la gerencia de proyectos, evidenciada en:</w:t>
      </w:r>
    </w:p>
    <w:p w:rsidR="00000000" w:rsidDel="00000000" w:rsidP="00000000" w:rsidRDefault="00000000" w:rsidRPr="00000000" w14:paraId="0000003C">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a) Estructura de gobernanza:</w:t>
      </w:r>
    </w:p>
    <w:p w:rsidR="00000000" w:rsidDel="00000000" w:rsidP="00000000" w:rsidRDefault="00000000" w:rsidRPr="00000000" w14:paraId="0000003D">
      <w:pPr>
        <w:numPr>
          <w:ilvl w:val="0"/>
          <w:numId w:val="2"/>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Alianza entre universidades y centros de investigación de tres países.</w:t>
      </w:r>
    </w:p>
    <w:p w:rsidR="00000000" w:rsidDel="00000000" w:rsidP="00000000" w:rsidRDefault="00000000" w:rsidRPr="00000000" w14:paraId="0000003E">
      <w:pPr>
        <w:numPr>
          <w:ilvl w:val="0"/>
          <w:numId w:val="2"/>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Comités académicos y grupos de biometría consolidados.</w:t>
      </w:r>
    </w:p>
    <w:p w:rsidR="00000000" w:rsidDel="00000000" w:rsidP="00000000" w:rsidRDefault="00000000" w:rsidRPr="00000000" w14:paraId="0000003F">
      <w:pPr>
        <w:numPr>
          <w:ilvl w:val="0"/>
          <w:numId w:val="2"/>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Participación en tribunales de grados científicos.</w:t>
      </w:r>
    </w:p>
    <w:p w:rsidR="00000000" w:rsidDel="00000000" w:rsidP="00000000" w:rsidRDefault="00000000" w:rsidRPr="00000000" w14:paraId="00000040">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b) Diversidad de fuentes de financiamiento:</w:t>
      </w:r>
    </w:p>
    <w:p w:rsidR="00000000" w:rsidDel="00000000" w:rsidP="00000000" w:rsidRDefault="00000000" w:rsidRPr="00000000" w14:paraId="00000041">
      <w:pPr>
        <w:numPr>
          <w:ilvl w:val="0"/>
          <w:numId w:val="17"/>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Proyectos nacionales (MES-MINAGRI, CAPES).</w:t>
      </w:r>
    </w:p>
    <w:p w:rsidR="00000000" w:rsidDel="00000000" w:rsidP="00000000" w:rsidRDefault="00000000" w:rsidRPr="00000000" w14:paraId="00000042">
      <w:pPr>
        <w:numPr>
          <w:ilvl w:val="0"/>
          <w:numId w:val="17"/>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Cooperación internacional (FOAR 2006-2009).</w:t>
      </w:r>
    </w:p>
    <w:p w:rsidR="00000000" w:rsidDel="00000000" w:rsidP="00000000" w:rsidRDefault="00000000" w:rsidRPr="00000000" w14:paraId="00000043">
      <w:pPr>
        <w:numPr>
          <w:ilvl w:val="0"/>
          <w:numId w:val="17"/>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Convocatorias como PIC (Programa de Cooperación Interuniversitaria).</w:t>
      </w:r>
    </w:p>
    <w:p w:rsidR="00000000" w:rsidDel="00000000" w:rsidP="00000000" w:rsidRDefault="00000000" w:rsidRPr="00000000" w14:paraId="00000044">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c) Orientación a resultados:</w:t>
      </w:r>
    </w:p>
    <w:p w:rsidR="00000000" w:rsidDel="00000000" w:rsidP="00000000" w:rsidRDefault="00000000" w:rsidRPr="00000000" w14:paraId="00000045">
      <w:pPr>
        <w:numPr>
          <w:ilvl w:val="0"/>
          <w:numId w:val="9"/>
        </w:numPr>
        <w:shd w:fill="ffffff" w:val="clear"/>
        <w:spacing w:after="0" w:afterAutospacing="0" w:before="240" w:lineRule="auto"/>
        <w:ind w:left="720" w:hanging="360"/>
        <w:rPr>
          <w:rFonts w:ascii="Arial" w:cs="Arial" w:eastAsia="Arial" w:hAnsi="Arial"/>
        </w:rPr>
      </w:pPr>
      <w:r w:rsidDel="00000000" w:rsidR="00000000" w:rsidRPr="00000000">
        <w:rPr>
          <w:color w:val="0f1115"/>
          <w:sz w:val="24"/>
          <w:szCs w:val="24"/>
          <w:rtl w:val="0"/>
        </w:rPr>
        <w:t xml:space="preserve">Producción científica (artículos, manuales).</w:t>
      </w:r>
    </w:p>
    <w:p w:rsidR="00000000" w:rsidDel="00000000" w:rsidP="00000000" w:rsidRDefault="00000000" w:rsidRPr="00000000" w14:paraId="00000046">
      <w:pPr>
        <w:numPr>
          <w:ilvl w:val="0"/>
          <w:numId w:val="9"/>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Formación de capital humano (20 tesis de maestría, diplomados).</w:t>
      </w:r>
    </w:p>
    <w:p w:rsidR="00000000" w:rsidDel="00000000" w:rsidP="00000000" w:rsidRDefault="00000000" w:rsidRPr="00000000" w14:paraId="00000047">
      <w:pPr>
        <w:numPr>
          <w:ilvl w:val="0"/>
          <w:numId w:val="9"/>
        </w:numPr>
        <w:shd w:fill="ffffff" w:val="clear"/>
        <w:spacing w:after="0" w:afterAutospacing="0" w:before="0" w:beforeAutospacing="0" w:lineRule="auto"/>
        <w:ind w:left="720" w:hanging="360"/>
        <w:rPr>
          <w:rFonts w:ascii="Arial" w:cs="Arial" w:eastAsia="Arial" w:hAnsi="Arial"/>
        </w:rPr>
      </w:pPr>
      <w:r w:rsidDel="00000000" w:rsidR="00000000" w:rsidRPr="00000000">
        <w:rPr>
          <w:color w:val="0f1115"/>
          <w:sz w:val="24"/>
          <w:szCs w:val="24"/>
          <w:rtl w:val="0"/>
        </w:rPr>
        <w:t xml:space="preserve">Herramientas tecnológicas (ANSOST 1.0).</w:t>
      </w:r>
    </w:p>
    <w:p w:rsidR="00000000" w:rsidDel="00000000" w:rsidP="00000000" w:rsidRDefault="00000000" w:rsidRPr="00000000" w14:paraId="00000048">
      <w:pPr>
        <w:numPr>
          <w:ilvl w:val="0"/>
          <w:numId w:val="9"/>
        </w:numPr>
        <w:shd w:fill="ffffff" w:val="clear"/>
        <w:spacing w:after="240" w:before="0" w:beforeAutospacing="0" w:lineRule="auto"/>
        <w:ind w:left="720" w:hanging="360"/>
        <w:rPr>
          <w:rFonts w:ascii="Arial" w:cs="Arial" w:eastAsia="Arial" w:hAnsi="Arial"/>
        </w:rPr>
      </w:pPr>
      <w:r w:rsidDel="00000000" w:rsidR="00000000" w:rsidRPr="00000000">
        <w:rPr>
          <w:color w:val="0f1115"/>
          <w:sz w:val="24"/>
          <w:szCs w:val="24"/>
          <w:rtl w:val="0"/>
        </w:rPr>
        <w:t xml:space="preserve">Capacitación continua (cursos en 6 países).</w:t>
      </w:r>
    </w:p>
    <w:p w:rsidR="00000000" w:rsidDel="00000000" w:rsidP="00000000" w:rsidRDefault="00000000" w:rsidRPr="00000000" w14:paraId="00000049">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d) Gestión del conocimiento:</w:t>
      </w:r>
    </w:p>
    <w:p w:rsidR="00000000" w:rsidDel="00000000" w:rsidP="00000000" w:rsidRDefault="00000000" w:rsidRPr="00000000" w14:paraId="0000004A">
      <w:pPr>
        <w:numPr>
          <w:ilvl w:val="0"/>
          <w:numId w:val="3"/>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Transferencia de conocimientos entre países (Cuba-Argentina-España).</w:t>
      </w:r>
    </w:p>
    <w:p w:rsidR="00000000" w:rsidDel="00000000" w:rsidP="00000000" w:rsidRDefault="00000000" w:rsidRPr="00000000" w14:paraId="0000004B">
      <w:pPr>
        <w:numPr>
          <w:ilvl w:val="0"/>
          <w:numId w:val="3"/>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Creación de bancos de problemas y manuales (ej. Pereyra et al., 2004).</w:t>
      </w:r>
    </w:p>
    <w:p w:rsidR="00000000" w:rsidDel="00000000" w:rsidP="00000000" w:rsidRDefault="00000000" w:rsidRPr="00000000" w14:paraId="0000004C">
      <w:pPr>
        <w:numPr>
          <w:ilvl w:val="0"/>
          <w:numId w:val="3"/>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Propuesta de red iberoamericana de expertos en biometría.</w:t>
      </w:r>
    </w:p>
    <w:p w:rsidR="00000000" w:rsidDel="00000000" w:rsidP="00000000" w:rsidRDefault="00000000" w:rsidRPr="00000000" w14:paraId="0000004D">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Debilidad identificada (documento Word):</w:t>
        <w:br w:type="textWrapping"/>
        <w:t xml:space="preserve">No se detalla un plan de sostenibilidad para el mantenimiento y actualización de los desarrollos tecnológicos (software, bancos de problemas) una vez finalizados los proyectos.</w:t>
      </w:r>
    </w:p>
    <w:p w:rsidR="00000000" w:rsidDel="00000000" w:rsidP="00000000" w:rsidRDefault="00000000" w:rsidRPr="00000000" w14:paraId="0000004E">
      <w:pPr>
        <w:pStyle w:val="Heading2"/>
        <w:keepNext w:val="0"/>
        <w:keepLines w:val="0"/>
        <w:shd w:fill="ffffff" w:val="clear"/>
        <w:spacing w:after="240" w:before="480" w:line="349.09090909090907" w:lineRule="auto"/>
        <w:jc w:val="both"/>
        <w:rPr>
          <w:b w:val="1"/>
          <w:bCs w:val="1"/>
          <w:color w:val="0f1115"/>
          <w:sz w:val="24"/>
          <w:szCs w:val="24"/>
        </w:rPr>
      </w:pPr>
      <w:bookmarkStart w:colFirst="0" w:colLast="0" w:name="_heading=h.mcxuaib4kaf6" w:id="4"/>
      <w:bookmarkEnd w:id="4"/>
      <w:r w:rsidDel="00000000" w:rsidR="00000000" w:rsidRPr="00000000">
        <w:rPr>
          <w:b w:val="1"/>
          <w:bCs w:val="1"/>
          <w:color w:val="0f1115"/>
          <w:sz w:val="24"/>
          <w:szCs w:val="24"/>
          <w:rtl w:val="0"/>
        </w:rPr>
        <w:t xml:space="preserve">6. Rigurosidad científica del artículo</w:t>
      </w:r>
    </w:p>
    <w:p w:rsidR="00000000" w:rsidDel="00000000" w:rsidP="00000000" w:rsidRDefault="00000000" w:rsidRPr="00000000" w14:paraId="0000004F">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Desde el punto de vista científico, el artículo presenta:</w:t>
      </w:r>
    </w:p>
    <w:p w:rsidR="00000000" w:rsidDel="00000000" w:rsidP="00000000" w:rsidRDefault="00000000" w:rsidRPr="00000000" w14:paraId="00000050">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Aspectos rigurosos:</w:t>
      </w:r>
    </w:p>
    <w:p w:rsidR="00000000" w:rsidDel="00000000" w:rsidP="00000000" w:rsidRDefault="00000000" w:rsidRPr="00000000" w14:paraId="00000051">
      <w:pPr>
        <w:numPr>
          <w:ilvl w:val="0"/>
          <w:numId w:val="8"/>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Uso de referencias actualizadas y de visibilidad.</w:t>
      </w:r>
    </w:p>
    <w:p w:rsidR="00000000" w:rsidDel="00000000" w:rsidP="00000000" w:rsidRDefault="00000000" w:rsidRPr="00000000" w14:paraId="00000052">
      <w:pPr>
        <w:numPr>
          <w:ilvl w:val="0"/>
          <w:numId w:val="8"/>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Descripción de proyectos concretos con resultados publicados.</w:t>
      </w:r>
    </w:p>
    <w:p w:rsidR="00000000" w:rsidDel="00000000" w:rsidP="00000000" w:rsidRDefault="00000000" w:rsidRPr="00000000" w14:paraId="00000053">
      <w:pPr>
        <w:numPr>
          <w:ilvl w:val="0"/>
          <w:numId w:val="8"/>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Participación de múltiples instituciones y revisión por pares implícita.</w:t>
      </w:r>
    </w:p>
    <w:p w:rsidR="00000000" w:rsidDel="00000000" w:rsidP="00000000" w:rsidRDefault="00000000" w:rsidRPr="00000000" w14:paraId="00000054">
      <w:pPr>
        <w:numPr>
          <w:ilvl w:val="0"/>
          <w:numId w:val="8"/>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Aplicación de modelos estadísticos avanzados (regresiones aleatorias, BLUP, análisis multivariado, etc.).</w:t>
      </w:r>
    </w:p>
    <w:p w:rsidR="00000000" w:rsidDel="00000000" w:rsidP="00000000" w:rsidRDefault="00000000" w:rsidRPr="00000000" w14:paraId="00000055">
      <w:pPr>
        <w:numPr>
          <w:ilvl w:val="0"/>
          <w:numId w:val="8"/>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Resultados validados en contextos reales (empresas agrícolas, estudios de sostenibilidad).</w:t>
      </w:r>
    </w:p>
    <w:p w:rsidR="00000000" w:rsidDel="00000000" w:rsidP="00000000" w:rsidRDefault="00000000" w:rsidRPr="00000000" w14:paraId="00000056">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Limitaciones en la rigurosidad:</w:t>
      </w:r>
    </w:p>
    <w:p w:rsidR="00000000" w:rsidDel="00000000" w:rsidP="00000000" w:rsidRDefault="00000000" w:rsidRPr="00000000" w14:paraId="00000057">
      <w:pPr>
        <w:numPr>
          <w:ilvl w:val="0"/>
          <w:numId w:val="18"/>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No se incluye una sección de metodología explícita.</w:t>
      </w:r>
    </w:p>
    <w:p w:rsidR="00000000" w:rsidDel="00000000" w:rsidP="00000000" w:rsidRDefault="00000000" w:rsidRPr="00000000" w14:paraId="00000058">
      <w:pPr>
        <w:numPr>
          <w:ilvl w:val="0"/>
          <w:numId w:val="18"/>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No se presentan datos cuantitativos de impacto (ej. mejora en tasas de aprobación, número de publicaciones indexadas, etc.).</w:t>
      </w:r>
    </w:p>
    <w:p w:rsidR="00000000" w:rsidDel="00000000" w:rsidP="00000000" w:rsidRDefault="00000000" w:rsidRPr="00000000" w14:paraId="00000059">
      <w:pPr>
        <w:numPr>
          <w:ilvl w:val="0"/>
          <w:numId w:val="18"/>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No se mencionan limitaciones del estudio ni sesgos potenciales.</w:t>
      </w:r>
    </w:p>
    <w:p w:rsidR="00000000" w:rsidDel="00000000" w:rsidP="00000000" w:rsidRDefault="00000000" w:rsidRPr="00000000" w14:paraId="0000005A">
      <w:pPr>
        <w:numPr>
          <w:ilvl w:val="0"/>
          <w:numId w:val="18"/>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El artículo es más una sistematización de experiencias que un estudio experimental o cuasi-experimental.</w:t>
      </w:r>
    </w:p>
    <w:p w:rsidR="00000000" w:rsidDel="00000000" w:rsidP="00000000" w:rsidRDefault="00000000" w:rsidRPr="00000000" w14:paraId="0000005B">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Calificación global:</w:t>
        <w:br w:type="textWrapping"/>
        <w:t xml:space="preserve">Rigurosidad media-alta en cuanto a trayectoria y respaldo empírico, pero baja en formalismo metodológico estándar para artículos de investigación pura.</w:t>
      </w:r>
    </w:p>
    <w:p w:rsidR="00000000" w:rsidDel="00000000" w:rsidP="00000000" w:rsidRDefault="00000000" w:rsidRPr="00000000" w14:paraId="0000005C">
      <w:pPr>
        <w:pStyle w:val="Heading2"/>
        <w:keepNext w:val="0"/>
        <w:keepLines w:val="0"/>
        <w:shd w:fill="ffffff" w:val="clear"/>
        <w:spacing w:after="240" w:before="480" w:line="349.09090909090907" w:lineRule="auto"/>
        <w:jc w:val="both"/>
        <w:rPr>
          <w:b w:val="1"/>
          <w:bCs w:val="1"/>
          <w:color w:val="0f1115"/>
          <w:sz w:val="24"/>
          <w:szCs w:val="24"/>
        </w:rPr>
      </w:pPr>
      <w:bookmarkStart w:colFirst="0" w:colLast="0" w:name="_heading=h.7mqw05490sbr" w:id="5"/>
      <w:bookmarkEnd w:id="5"/>
      <w:r w:rsidDel="00000000" w:rsidR="00000000" w:rsidRPr="00000000">
        <w:rPr>
          <w:b w:val="1"/>
          <w:bCs w:val="1"/>
          <w:color w:val="0f1115"/>
          <w:sz w:val="24"/>
          <w:szCs w:val="24"/>
          <w:rtl w:val="0"/>
        </w:rPr>
        <w:t xml:space="preserve">7. Conclusiones </w:t>
      </w:r>
    </w:p>
    <w:p w:rsidR="00000000" w:rsidDel="00000000" w:rsidP="00000000" w:rsidRDefault="00000000" w:rsidRPr="00000000" w14:paraId="0000005D">
      <w:pPr>
        <w:numPr>
          <w:ilvl w:val="0"/>
          <w:numId w:val="5"/>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La introducción de métodos estadísticos de avanzada en la formación de pre y posgrado y en proyectos de investigación permite saltos cualitativos en la educación superior y eleva la calidad de las investigaciones científicas.</w:t>
      </w:r>
    </w:p>
    <w:p w:rsidR="00000000" w:rsidDel="00000000" w:rsidP="00000000" w:rsidRDefault="00000000" w:rsidRPr="00000000" w14:paraId="0000005E">
      <w:pPr>
        <w:numPr>
          <w:ilvl w:val="0"/>
          <w:numId w:val="11"/>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El caso es exitoso de cooperación Sur-Sur y Norte-Sur.</w:t>
      </w:r>
    </w:p>
    <w:p w:rsidR="00000000" w:rsidDel="00000000" w:rsidP="00000000" w:rsidRDefault="00000000" w:rsidRPr="00000000" w14:paraId="0000005F">
      <w:pPr>
        <w:numPr>
          <w:ilvl w:val="0"/>
          <w:numId w:val="11"/>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Se presenta una estructura de gobernanza sólida, diversidad de fuentes de financiamiento y clara orientación a resultados.</w:t>
      </w:r>
    </w:p>
    <w:p w:rsidR="00000000" w:rsidDel="00000000" w:rsidP="00000000" w:rsidRDefault="00000000" w:rsidRPr="00000000" w14:paraId="00000060">
      <w:pPr>
        <w:numPr>
          <w:ilvl w:val="0"/>
          <w:numId w:val="11"/>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La combinación de investigación aplicada, cooperación internacional e innovación docente ha generado capacidades instaladas que trascienden los ciclos de proyectos individuales.</w:t>
      </w:r>
    </w:p>
    <w:p w:rsidR="00000000" w:rsidDel="00000000" w:rsidP="00000000" w:rsidRDefault="00000000" w:rsidRPr="00000000" w14:paraId="00000061">
      <w:pPr>
        <w:shd w:fill="ffffff" w:val="clear"/>
        <w:spacing w:after="240" w:before="240" w:lineRule="auto"/>
        <w:jc w:val="both"/>
        <w:rPr>
          <w:b w:val="1"/>
          <w:bCs w:val="1"/>
          <w:color w:val="0f1115"/>
          <w:sz w:val="24"/>
          <w:szCs w:val="24"/>
        </w:rPr>
      </w:pPr>
      <w:r w:rsidDel="00000000" w:rsidR="00000000" w:rsidRPr="00000000">
        <w:rPr>
          <w:b w:val="1"/>
          <w:bCs w:val="1"/>
          <w:color w:val="0f1115"/>
          <w:sz w:val="24"/>
          <w:szCs w:val="24"/>
          <w:rtl w:val="0"/>
        </w:rPr>
        <w:t xml:space="preserve">Riesgos identificados:</w:t>
      </w:r>
    </w:p>
    <w:p w:rsidR="00000000" w:rsidDel="00000000" w:rsidP="00000000" w:rsidRDefault="00000000" w:rsidRPr="00000000" w14:paraId="00000062">
      <w:pPr>
        <w:numPr>
          <w:ilvl w:val="0"/>
          <w:numId w:val="12"/>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Sostenibilidad de desarrollos tecnológicos.</w:t>
      </w:r>
    </w:p>
    <w:p w:rsidR="00000000" w:rsidDel="00000000" w:rsidP="00000000" w:rsidRDefault="00000000" w:rsidRPr="00000000" w14:paraId="00000063">
      <w:pPr>
        <w:numPr>
          <w:ilvl w:val="0"/>
          <w:numId w:val="12"/>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Continuidad del financiamiento.</w:t>
      </w:r>
    </w:p>
    <w:p w:rsidR="00000000" w:rsidDel="00000000" w:rsidP="00000000" w:rsidRDefault="00000000" w:rsidRPr="00000000" w14:paraId="00000064">
      <w:pPr>
        <w:numPr>
          <w:ilvl w:val="0"/>
          <w:numId w:val="12"/>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Necesidad de actualización constante frente a avances en ciencia de datos.</w:t>
      </w:r>
    </w:p>
    <w:p w:rsidR="00000000" w:rsidDel="00000000" w:rsidP="00000000" w:rsidRDefault="00000000" w:rsidRPr="00000000" w14:paraId="00000065">
      <w:pPr>
        <w:shd w:fill="ffffff" w:val="clear"/>
        <w:spacing w:after="240" w:before="240" w:lineRule="auto"/>
        <w:jc w:val="both"/>
        <w:rPr>
          <w:b w:val="1"/>
          <w:bCs w:val="1"/>
          <w:color w:val="0f1115"/>
          <w:sz w:val="24"/>
          <w:szCs w:val="24"/>
        </w:rPr>
      </w:pPr>
      <w:r w:rsidDel="00000000" w:rsidR="00000000" w:rsidRPr="00000000">
        <w:rPr>
          <w:b w:val="1"/>
          <w:bCs w:val="1"/>
          <w:color w:val="0f1115"/>
          <w:sz w:val="24"/>
          <w:szCs w:val="24"/>
          <w:rtl w:val="0"/>
        </w:rPr>
        <w:t xml:space="preserve">Recomendaciones:</w:t>
      </w:r>
    </w:p>
    <w:p w:rsidR="00000000" w:rsidDel="00000000" w:rsidP="00000000" w:rsidRDefault="00000000" w:rsidRPr="00000000" w14:paraId="00000066">
      <w:pPr>
        <w:numPr>
          <w:ilvl w:val="0"/>
          <w:numId w:val="13"/>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Formalizar la red de biometría con acuerdos de cooperación específicos que incluyan planes de sostenibilidad.</w:t>
      </w:r>
    </w:p>
    <w:p w:rsidR="00000000" w:rsidDel="00000000" w:rsidP="00000000" w:rsidRDefault="00000000" w:rsidRPr="00000000" w14:paraId="00000067">
      <w:pPr>
        <w:numPr>
          <w:ilvl w:val="0"/>
          <w:numId w:val="13"/>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Desarrollar un repositorio colaborativo de casos, datos y software con estándares de calidad y actualización.</w:t>
      </w:r>
    </w:p>
    <w:p w:rsidR="00000000" w:rsidDel="00000000" w:rsidP="00000000" w:rsidRDefault="00000000" w:rsidRPr="00000000" w14:paraId="00000068">
      <w:pPr>
        <w:numPr>
          <w:ilvl w:val="0"/>
          <w:numId w:val="13"/>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Ampliar la estrategia de visibilidad hacia publicaciones en revistas de alto impacto y participación en convocatorias internacionales.</w:t>
      </w:r>
    </w:p>
    <w:p w:rsidR="00000000" w:rsidDel="00000000" w:rsidP="00000000" w:rsidRDefault="00000000" w:rsidRPr="00000000" w14:paraId="00000069">
      <w:pPr>
        <w:jc w:val="both"/>
        <w:rPr>
          <w:b w:val="1"/>
          <w:bCs w:val="1"/>
          <w:sz w:val="24"/>
          <w:szCs w:val="24"/>
        </w:rPr>
      </w:pPr>
      <w:r w:rsidDel="00000000" w:rsidR="00000000" w:rsidRPr="00000000">
        <w:rPr>
          <w:rtl w:val="0"/>
        </w:rPr>
      </w:r>
    </w:p>
    <w:p w:rsidR="00000000" w:rsidDel="00000000" w:rsidP="00000000" w:rsidRDefault="00000000" w:rsidRPr="00000000" w14:paraId="0000006A">
      <w:pPr>
        <w:shd w:fill="ffffff" w:val="clear"/>
        <w:ind w:left="720" w:firstLine="0"/>
        <w:jc w:val="both"/>
        <w:rPr>
          <w:color w:val="0f1115"/>
          <w:sz w:val="24"/>
          <w:szCs w:val="24"/>
          <w:highlight w:val="white"/>
        </w:rPr>
      </w:pPr>
      <w:r w:rsidDel="00000000" w:rsidR="00000000" w:rsidRPr="00000000">
        <w:rPr>
          <w:rtl w:val="0"/>
        </w:rPr>
      </w:r>
    </w:p>
    <w:p w:rsidR="00000000" w:rsidDel="00000000" w:rsidP="00000000" w:rsidRDefault="00000000" w:rsidRPr="00000000" w14:paraId="0000006B">
      <w:pPr>
        <w:shd w:fill="ffffff" w:val="clear"/>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6C">
      <w:pPr>
        <w:spacing w:line="276" w:lineRule="auto"/>
        <w:jc w:val="center"/>
        <w:rPr>
          <w:b w:val="1"/>
          <w:bCs w:val="1"/>
          <w:sz w:val="24"/>
          <w:szCs w:val="24"/>
        </w:rPr>
      </w:pPr>
      <w:r w:rsidDel="00000000" w:rsidR="00000000" w:rsidRPr="00000000">
        <w:rPr>
          <w:b w:val="1"/>
          <w:bCs w:val="1"/>
          <w:sz w:val="24"/>
          <w:szCs w:val="24"/>
          <w:rtl w:val="0"/>
        </w:rPr>
        <w:t xml:space="preserve">Artículo 2</w:t>
      </w:r>
    </w:p>
    <w:p w:rsidR="00000000" w:rsidDel="00000000" w:rsidP="00000000" w:rsidRDefault="00000000" w:rsidRPr="00000000" w14:paraId="0000006D">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6E">
      <w:pPr>
        <w:spacing w:line="276" w:lineRule="auto"/>
        <w:rPr>
          <w:sz w:val="24"/>
          <w:szCs w:val="24"/>
        </w:rPr>
      </w:pPr>
      <w:r w:rsidDel="00000000" w:rsidR="00000000" w:rsidRPr="00000000">
        <w:rPr>
          <w:b w:val="1"/>
          <w:bCs w:val="1"/>
          <w:sz w:val="24"/>
          <w:szCs w:val="24"/>
          <w:rtl w:val="0"/>
        </w:rPr>
        <w:t xml:space="preserve">Nombre del Artículo: </w:t>
      </w:r>
      <w:r w:rsidDel="00000000" w:rsidR="00000000" w:rsidRPr="00000000">
        <w:rPr>
          <w:sz w:val="24"/>
          <w:szCs w:val="24"/>
          <w:rtl w:val="0"/>
        </w:rPr>
        <w:t xml:space="preserve">A systematic literature review on business‑IT misalignment</w:t>
      </w:r>
    </w:p>
    <w:p w:rsidR="00000000" w:rsidDel="00000000" w:rsidP="00000000" w:rsidRDefault="00000000" w:rsidRPr="00000000" w14:paraId="0000006F">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70">
      <w:pPr>
        <w:spacing w:line="276" w:lineRule="auto"/>
        <w:rPr>
          <w:sz w:val="24"/>
          <w:szCs w:val="24"/>
        </w:rPr>
      </w:pPr>
      <w:r w:rsidDel="00000000" w:rsidR="00000000" w:rsidRPr="00000000">
        <w:rPr>
          <w:b w:val="1"/>
          <w:bCs w:val="1"/>
          <w:sz w:val="24"/>
          <w:szCs w:val="24"/>
          <w:rtl w:val="0"/>
        </w:rPr>
        <w:t xml:space="preserve">Revista: </w:t>
      </w:r>
      <w:r w:rsidDel="00000000" w:rsidR="00000000" w:rsidRPr="00000000">
        <w:rPr>
          <w:sz w:val="24"/>
          <w:szCs w:val="24"/>
          <w:rtl w:val="0"/>
        </w:rPr>
        <w:t xml:space="preserve">Information Systems and e-Business Management</w:t>
      </w:r>
    </w:p>
    <w:p w:rsidR="00000000" w:rsidDel="00000000" w:rsidP="00000000" w:rsidRDefault="00000000" w:rsidRPr="00000000" w14:paraId="00000071">
      <w:pPr>
        <w:spacing w:line="276" w:lineRule="auto"/>
        <w:rPr>
          <w:sz w:val="24"/>
          <w:szCs w:val="24"/>
        </w:rPr>
      </w:pPr>
      <w:r w:rsidDel="00000000" w:rsidR="00000000" w:rsidRPr="00000000">
        <w:rPr>
          <w:rtl w:val="0"/>
        </w:rPr>
      </w:r>
    </w:p>
    <w:p w:rsidR="00000000" w:rsidDel="00000000" w:rsidP="00000000" w:rsidRDefault="00000000" w:rsidRPr="00000000" w14:paraId="00000072">
      <w:pPr>
        <w:spacing w:line="276" w:lineRule="auto"/>
        <w:rPr>
          <w:sz w:val="24"/>
          <w:szCs w:val="24"/>
        </w:rPr>
      </w:pPr>
      <w:r w:rsidDel="00000000" w:rsidR="00000000" w:rsidRPr="00000000">
        <w:rPr>
          <w:b w:val="1"/>
          <w:bCs w:val="1"/>
          <w:sz w:val="24"/>
          <w:szCs w:val="24"/>
          <w:rtl w:val="0"/>
        </w:rPr>
        <w:t xml:space="preserve">Año: </w:t>
      </w:r>
      <w:r w:rsidDel="00000000" w:rsidR="00000000" w:rsidRPr="00000000">
        <w:rPr>
          <w:sz w:val="24"/>
          <w:szCs w:val="24"/>
          <w:rtl w:val="0"/>
        </w:rPr>
        <w:t xml:space="preserve">2024</w:t>
      </w:r>
    </w:p>
    <w:p w:rsidR="00000000" w:rsidDel="00000000" w:rsidP="00000000" w:rsidRDefault="00000000" w:rsidRPr="00000000" w14:paraId="00000073">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74">
      <w:pPr>
        <w:spacing w:line="276" w:lineRule="auto"/>
        <w:rPr>
          <w:b w:val="1"/>
          <w:bCs w:val="1"/>
          <w:sz w:val="24"/>
          <w:szCs w:val="24"/>
        </w:rPr>
      </w:pPr>
      <w:r w:rsidDel="00000000" w:rsidR="00000000" w:rsidRPr="00000000">
        <w:rPr>
          <w:b w:val="1"/>
          <w:bCs w:val="1"/>
          <w:sz w:val="24"/>
          <w:szCs w:val="24"/>
          <w:rtl w:val="0"/>
        </w:rPr>
        <w:t xml:space="preserve">“Gestión del conocimiento de seguridad de procesos en la industria química”.</w:t>
      </w:r>
    </w:p>
    <w:p w:rsidR="00000000" w:rsidDel="00000000" w:rsidP="00000000" w:rsidRDefault="00000000" w:rsidRPr="00000000" w14:paraId="00000075">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76">
      <w:pPr>
        <w:spacing w:line="276" w:lineRule="auto"/>
        <w:rPr>
          <w:b w:val="1"/>
          <w:bCs w:val="1"/>
          <w:sz w:val="24"/>
          <w:szCs w:val="24"/>
        </w:rPr>
      </w:pPr>
      <w:r w:rsidDel="00000000" w:rsidR="00000000" w:rsidRPr="00000000">
        <w:rPr>
          <w:b w:val="1"/>
          <w:bCs w:val="1"/>
          <w:sz w:val="24"/>
          <w:szCs w:val="24"/>
          <w:rtl w:val="0"/>
        </w:rPr>
        <w:t xml:space="preserve">Descripción:</w:t>
      </w:r>
    </w:p>
    <w:p w:rsidR="00000000" w:rsidDel="00000000" w:rsidP="00000000" w:rsidRDefault="00000000" w:rsidRPr="00000000" w14:paraId="00000077">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78">
      <w:pPr>
        <w:spacing w:line="276" w:lineRule="auto"/>
        <w:jc w:val="both"/>
        <w:rPr>
          <w:sz w:val="24"/>
          <w:szCs w:val="24"/>
        </w:rPr>
      </w:pPr>
      <w:r w:rsidDel="00000000" w:rsidR="00000000" w:rsidRPr="00000000">
        <w:rPr>
          <w:sz w:val="24"/>
          <w:szCs w:val="24"/>
          <w:rtl w:val="0"/>
        </w:rPr>
        <w:t xml:space="preserve">El artículo aborda un problema crítico en la gerencia de proyectos químicos: la pérdida de "memoria organizacional". La investigación se centra en cómo el conocimiento técnico y las lecciones aprendidas se pierden cuando un proyecto pasa de la fase de diseño a la de operación, o cuando los ingenieros expertos se jubilan. El autor propone que la seguridad de una planta no depende solo de la tecnología, sino de un sistema de gestión del conocimiento  que convierta la experiencia individual (conocimiento tácito) en protocolos institucionales (conocimiento explícito). Para demostrarlo, el estudio analiza accidentes históricos bajo una nueva óptica: no como fallas mecánicas, sino como fallas en la transferencia de conocimiento dentro de la organización.</w:t>
      </w:r>
    </w:p>
    <w:p w:rsidR="00000000" w:rsidDel="00000000" w:rsidP="00000000" w:rsidRDefault="00000000" w:rsidRPr="00000000" w14:paraId="00000079">
      <w:pPr>
        <w:spacing w:line="276" w:lineRule="auto"/>
        <w:jc w:val="both"/>
        <w:rPr>
          <w:sz w:val="24"/>
          <w:szCs w:val="24"/>
        </w:rPr>
      </w:pPr>
      <w:r w:rsidDel="00000000" w:rsidR="00000000" w:rsidRPr="00000000">
        <w:rPr>
          <w:rtl w:val="0"/>
        </w:rPr>
      </w:r>
    </w:p>
    <w:p w:rsidR="00000000" w:rsidDel="00000000" w:rsidP="00000000" w:rsidRDefault="00000000" w:rsidRPr="00000000" w14:paraId="0000007A">
      <w:pPr>
        <w:spacing w:line="276" w:lineRule="auto"/>
        <w:jc w:val="both"/>
        <w:rPr>
          <w:sz w:val="24"/>
          <w:szCs w:val="24"/>
        </w:rPr>
      </w:pPr>
      <w:r w:rsidDel="00000000" w:rsidR="00000000" w:rsidRPr="00000000">
        <w:rPr>
          <w:rtl w:val="0"/>
        </w:rPr>
      </w:r>
    </w:p>
    <w:p w:rsidR="00000000" w:rsidDel="00000000" w:rsidP="00000000" w:rsidRDefault="00000000" w:rsidRPr="00000000" w14:paraId="0000007B">
      <w:pPr>
        <w:spacing w:line="276" w:lineRule="auto"/>
        <w:jc w:val="both"/>
        <w:rPr>
          <w:b w:val="1"/>
          <w:bCs w:val="1"/>
          <w:sz w:val="24"/>
          <w:szCs w:val="24"/>
        </w:rPr>
      </w:pPr>
      <w:r w:rsidDel="00000000" w:rsidR="00000000" w:rsidRPr="00000000">
        <w:rPr>
          <w:b w:val="1"/>
          <w:bCs w:val="1"/>
          <w:sz w:val="24"/>
          <w:szCs w:val="24"/>
          <w:rtl w:val="0"/>
        </w:rPr>
        <w:t xml:space="preserve">Rigor:</w:t>
      </w:r>
    </w:p>
    <w:p w:rsidR="00000000" w:rsidDel="00000000" w:rsidP="00000000" w:rsidRDefault="00000000" w:rsidRPr="00000000" w14:paraId="0000007C">
      <w:pPr>
        <w:spacing w:after="240" w:before="240" w:line="276" w:lineRule="auto"/>
        <w:jc w:val="both"/>
        <w:rPr>
          <w:sz w:val="24"/>
          <w:szCs w:val="24"/>
        </w:rPr>
      </w:pPr>
      <w:r w:rsidDel="00000000" w:rsidR="00000000" w:rsidRPr="00000000">
        <w:rPr>
          <w:b w:val="1"/>
          <w:bCs w:val="1"/>
          <w:sz w:val="24"/>
          <w:szCs w:val="24"/>
          <w:rtl w:val="0"/>
        </w:rPr>
        <w:t xml:space="preserve">solidez teórica</w:t>
      </w:r>
      <w:r w:rsidDel="00000000" w:rsidR="00000000" w:rsidRPr="00000000">
        <w:rPr>
          <w:sz w:val="24"/>
          <w:szCs w:val="24"/>
          <w:rtl w:val="0"/>
        </w:rPr>
        <w:t xml:space="preserve">. El autor no inventa conceptos desde cero, sino que fundamenta toda su estructura en modelos de gestión del conocimiento universalmente validados, como la jerarquía DIKW (Datos, Información, Conocimiento y Sabiduría) y el modelo SECI de Nonaka y Takeuchi. Al utilizar estos marcos de referencia, el artículo asegura que sus propuestas están alineadas con la ciencia de la administración moderna y no son simples sugerencias empíricas.</w:t>
      </w:r>
    </w:p>
    <w:p w:rsidR="00000000" w:rsidDel="00000000" w:rsidP="00000000" w:rsidRDefault="00000000" w:rsidRPr="00000000" w14:paraId="0000007D">
      <w:pPr>
        <w:spacing w:after="240" w:before="240" w:line="276" w:lineRule="auto"/>
        <w:jc w:val="both"/>
        <w:rPr>
          <w:sz w:val="24"/>
          <w:szCs w:val="24"/>
        </w:rPr>
      </w:pPr>
      <w:r w:rsidDel="00000000" w:rsidR="00000000" w:rsidRPr="00000000">
        <w:rPr>
          <w:sz w:val="24"/>
          <w:szCs w:val="24"/>
          <w:rtl w:val="0"/>
        </w:rPr>
        <w:t xml:space="preserve">Otro aspecto fundamental es el </w:t>
      </w:r>
      <w:r w:rsidDel="00000000" w:rsidR="00000000" w:rsidRPr="00000000">
        <w:rPr>
          <w:b w:val="1"/>
          <w:bCs w:val="1"/>
          <w:sz w:val="24"/>
          <w:szCs w:val="24"/>
          <w:rtl w:val="0"/>
        </w:rPr>
        <w:t xml:space="preserve">rigor en el análisis de datos históricos</w:t>
      </w:r>
      <w:r w:rsidDel="00000000" w:rsidR="00000000" w:rsidRPr="00000000">
        <w:rPr>
          <w:sz w:val="24"/>
          <w:szCs w:val="24"/>
          <w:rtl w:val="0"/>
        </w:rPr>
        <w:t xml:space="preserve">. El autor no se limita a una revisión superficial, sino que realiza un "mapeo de evidencias" detallado de desastres industriales icónicos, como los de Bhopal y Texas City. El rigor aquí radica en la sistematicidad: el autor descompone cada evento para identificar exactamente en qué etapa del ciclo de vida del proyecto falló el flujo de información. Esta metodología de revisión sistemática permite que las conclusiones sean verificables y que el modelo propuesto tenga una base real en la prevención de riesgos.</w:t>
      </w:r>
    </w:p>
    <w:p w:rsidR="00000000" w:rsidDel="00000000" w:rsidP="00000000" w:rsidRDefault="00000000" w:rsidRPr="00000000" w14:paraId="0000007E">
      <w:pPr>
        <w:spacing w:after="240" w:before="240" w:line="276" w:lineRule="auto"/>
        <w:jc w:val="both"/>
        <w:rPr>
          <w:sz w:val="24"/>
          <w:szCs w:val="24"/>
        </w:rPr>
      </w:pPr>
      <w:r w:rsidDel="00000000" w:rsidR="00000000" w:rsidRPr="00000000">
        <w:rPr>
          <w:sz w:val="24"/>
          <w:szCs w:val="24"/>
          <w:rtl w:val="0"/>
        </w:rPr>
        <w:t xml:space="preserve">Por último, el artículo presenta un </w:t>
      </w:r>
      <w:r w:rsidDel="00000000" w:rsidR="00000000" w:rsidRPr="00000000">
        <w:rPr>
          <w:b w:val="1"/>
          <w:bCs w:val="1"/>
          <w:sz w:val="24"/>
          <w:szCs w:val="24"/>
          <w:rtl w:val="0"/>
        </w:rPr>
        <w:t xml:space="preserve">alto rigor analítico al proponer un Marco de Trabajo integral</w:t>
      </w:r>
      <w:r w:rsidDel="00000000" w:rsidR="00000000" w:rsidRPr="00000000">
        <w:rPr>
          <w:sz w:val="24"/>
          <w:szCs w:val="24"/>
          <w:rtl w:val="0"/>
        </w:rPr>
        <w:t xml:space="preserve">. A diferencia de otros textos que solo describen el problema, este estudio desarrolla una estructura lógica que combina herramientas tecnológicas (software de gestión) con factores humanos (cultura organizacional). La coherencia entre el diagnóstico del problema y la solución propuesta demuestra un proceso de pensamiento crítico y estructurado.</w:t>
      </w:r>
    </w:p>
    <w:p w:rsidR="00000000" w:rsidDel="00000000" w:rsidP="00000000" w:rsidRDefault="00000000" w:rsidRPr="00000000" w14:paraId="0000007F">
      <w:pPr>
        <w:shd w:fill="ffffff" w:val="clear"/>
        <w:spacing w:after="240" w:before="240" w:lineRule="auto"/>
        <w:jc w:val="both"/>
        <w:rPr>
          <w:b w:val="1"/>
          <w:bCs w:val="1"/>
          <w:color w:val="0f1115"/>
          <w:sz w:val="24"/>
          <w:szCs w:val="24"/>
        </w:rPr>
      </w:pPr>
      <w:r w:rsidDel="00000000" w:rsidR="00000000" w:rsidRPr="00000000">
        <w:rPr>
          <w:b w:val="1"/>
          <w:bCs w:val="1"/>
          <w:color w:val="0f1115"/>
          <w:sz w:val="24"/>
          <w:szCs w:val="24"/>
          <w:rtl w:val="0"/>
        </w:rPr>
        <w:t xml:space="preserve">Planteamiento del problema:</w:t>
      </w:r>
    </w:p>
    <w:p w:rsidR="00000000" w:rsidDel="00000000" w:rsidP="00000000" w:rsidRDefault="00000000" w:rsidRPr="00000000" w14:paraId="00000080">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El artículo aborda el problema de la desalineación entre las tecnologías de la información (TI) y los objetivos estratégicos del negocio, conocido como business-IT misalignment. Este fenómeno se presenta cuando las soluciones tecnológicas implementadas no responden adecuadamente a las necesidades organizacionales, generando ineficiencias, sobrecostos y fallos en los proyectos. El enfoque general del estudio es una revisión sistemática de la literatura, mediante la cual los autores analizan investigaciones previas para identificar causas, consecuencias y tendencias en este problema, proponiendo una comprensión integral que permita mejorar la alineación estratégica en entornos empresariales cada vez más digitalizados.</w:t>
      </w:r>
    </w:p>
    <w:p w:rsidR="00000000" w:rsidDel="00000000" w:rsidP="00000000" w:rsidRDefault="00000000" w:rsidRPr="00000000" w14:paraId="00000081">
      <w:pPr>
        <w:shd w:fill="ffffff" w:val="clear"/>
        <w:spacing w:after="240" w:before="240" w:lineRule="auto"/>
        <w:jc w:val="both"/>
        <w:rPr>
          <w:b w:val="1"/>
          <w:bCs w:val="1"/>
          <w:color w:val="0f1115"/>
          <w:sz w:val="24"/>
          <w:szCs w:val="24"/>
        </w:rPr>
      </w:pPr>
      <w:r w:rsidDel="00000000" w:rsidR="00000000" w:rsidRPr="00000000">
        <w:rPr>
          <w:b w:val="1"/>
          <w:bCs w:val="1"/>
          <w:color w:val="0f1115"/>
          <w:sz w:val="24"/>
          <w:szCs w:val="24"/>
          <w:rtl w:val="0"/>
        </w:rPr>
        <w:t xml:space="preserve">Enfoque desde el punto de ingeniería de sistemas:</w:t>
      </w:r>
    </w:p>
    <w:p w:rsidR="00000000" w:rsidDel="00000000" w:rsidP="00000000" w:rsidRDefault="00000000" w:rsidRPr="00000000" w14:paraId="00000082">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Desde la perspectiva de la ingeniería de sistemas, el artículo se centra en la importancia de diseñar, implementar y gestionar sistemas de información que estén alineados con los requerimientos del entorno organizacional. Se destaca que los sistemas no deben concebirse únicamente como soluciones técnicas, sino como componentes integrales que interactúan con procesos, personas y objetivos estratégicos. En este sentido, la ingeniería de sistemas se presenta como una disciplina clave para asegurar la coherencia entre arquitectura tecnológica, gestión de datos y necesidades del negocio, incorporando metodologías que permitan modelar, analizar y optimizar dicha alineación.</w:t>
      </w:r>
    </w:p>
    <w:p w:rsidR="00000000" w:rsidDel="00000000" w:rsidP="00000000" w:rsidRDefault="00000000" w:rsidRPr="00000000" w14:paraId="00000083">
      <w:pPr>
        <w:shd w:fill="ffffff" w:val="clear"/>
        <w:spacing w:after="240" w:before="240" w:lineRule="auto"/>
        <w:jc w:val="both"/>
        <w:rPr>
          <w:b w:val="1"/>
          <w:bCs w:val="1"/>
          <w:color w:val="0f1115"/>
          <w:sz w:val="24"/>
          <w:szCs w:val="24"/>
        </w:rPr>
      </w:pPr>
      <w:r w:rsidDel="00000000" w:rsidR="00000000" w:rsidRPr="00000000">
        <w:rPr>
          <w:b w:val="1"/>
          <w:bCs w:val="1"/>
          <w:color w:val="0f1115"/>
          <w:sz w:val="24"/>
          <w:szCs w:val="24"/>
          <w:rtl w:val="0"/>
        </w:rPr>
        <w:t xml:space="preserve">Integración con la gerencia de proyectos:</w:t>
      </w:r>
    </w:p>
    <w:p w:rsidR="00000000" w:rsidDel="00000000" w:rsidP="00000000" w:rsidRDefault="00000000" w:rsidRPr="00000000" w14:paraId="00000084">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El artículo establece una relación directa entre la desalineación TI-negocio y el fracaso en la gestión de proyectos, especialmente en el ámbito de proyectos tecnológicos. La falta de alineación impacta negativamente en variables críticas como el alcance, el tiempo y el costo, lo cual coincide con los principios fundamentales de la gerencia de proyectos. En este contexto, se resalta la necesidad de integrar prácticas de gestión de proyectos con estrategias de TI, promoviendo una comunicación efectiva entre stakeholders, una adecuada definición de requerimientos y una supervisión constante del valor generado por los sistemas implementados. De esta manera, la gerencia de proyectos se convierte en un mecanismo clave para garantizar que las iniciativas tecnológicas contribuyan al logro de los objetivos organizacionales.</w:t>
      </w:r>
    </w:p>
    <w:p w:rsidR="00000000" w:rsidDel="00000000" w:rsidP="00000000" w:rsidRDefault="00000000" w:rsidRPr="00000000" w14:paraId="00000085">
      <w:pPr>
        <w:shd w:fill="ffffff" w:val="clear"/>
        <w:spacing w:after="240" w:before="240" w:lineRule="auto"/>
        <w:jc w:val="both"/>
        <w:rPr>
          <w:b w:val="1"/>
          <w:bCs w:val="1"/>
          <w:color w:val="0f1115"/>
          <w:sz w:val="24"/>
          <w:szCs w:val="24"/>
        </w:rPr>
      </w:pPr>
      <w:r w:rsidDel="00000000" w:rsidR="00000000" w:rsidRPr="00000000">
        <w:rPr>
          <w:b w:val="1"/>
          <w:bCs w:val="1"/>
          <w:color w:val="0f1115"/>
          <w:sz w:val="24"/>
          <w:szCs w:val="24"/>
          <w:rtl w:val="0"/>
        </w:rPr>
        <w:t xml:space="preserve">Rigurosidad científica del artículo:</w:t>
      </w:r>
    </w:p>
    <w:p w:rsidR="00000000" w:rsidDel="00000000" w:rsidP="00000000" w:rsidRDefault="00000000" w:rsidRPr="00000000" w14:paraId="00000086">
      <w:pPr>
        <w:shd w:fill="ffffff" w:val="clear"/>
        <w:spacing w:after="240" w:before="240" w:lineRule="auto"/>
        <w:jc w:val="both"/>
        <w:rPr>
          <w:b w:val="1"/>
          <w:bCs w:val="1"/>
          <w:color w:val="0f1115"/>
          <w:sz w:val="24"/>
          <w:szCs w:val="24"/>
        </w:rPr>
      </w:pPr>
      <w:r w:rsidDel="00000000" w:rsidR="00000000" w:rsidRPr="00000000">
        <w:rPr>
          <w:color w:val="0f1115"/>
          <w:sz w:val="24"/>
          <w:szCs w:val="24"/>
          <w:rtl w:val="0"/>
        </w:rPr>
        <w:t xml:space="preserve">El artículo presenta un alto nivel de rigurosidad científica al emplear la metodología de revisión sistemática de literatura, la cual implica la identificación, selección y análisis estructurado de múltiples estudios previos. Este enfoque permite minimizar sesgos y garantizar la validez de los hallazgos, al basarse en evidencia acumulada en el campo de los sistemas de información. Además, al estar publicado en una revista indexada de alto impacto como Information Systems and e-Business Management (Springer), se asegura que el trabajo ha pasado por un proceso de revisión por pares, lo que respalda su calidad académica, consistencia metodológica y relevancia dentro de la comunidad científica.</w:t>
      </w:r>
      <w:r w:rsidDel="00000000" w:rsidR="00000000" w:rsidRPr="00000000">
        <w:rPr>
          <w:rtl w:val="0"/>
        </w:rPr>
      </w:r>
    </w:p>
    <w:p w:rsidR="00000000" w:rsidDel="00000000" w:rsidP="00000000" w:rsidRDefault="00000000" w:rsidRPr="00000000" w14:paraId="00000087">
      <w:pPr>
        <w:shd w:fill="ffffff" w:val="clear"/>
        <w:spacing w:after="240" w:before="240" w:lineRule="auto"/>
        <w:jc w:val="both"/>
        <w:rPr>
          <w:b w:val="1"/>
          <w:bCs w:val="1"/>
          <w:color w:val="0f1115"/>
          <w:sz w:val="24"/>
          <w:szCs w:val="24"/>
        </w:rPr>
      </w:pPr>
      <w:r w:rsidDel="00000000" w:rsidR="00000000" w:rsidRPr="00000000">
        <w:rPr>
          <w:b w:val="1"/>
          <w:bCs w:val="1"/>
          <w:color w:val="0f1115"/>
          <w:sz w:val="24"/>
          <w:szCs w:val="24"/>
          <w:rtl w:val="0"/>
        </w:rPr>
        <w:t xml:space="preserve">Conclusiones:</w:t>
      </w:r>
    </w:p>
    <w:p w:rsidR="00000000" w:rsidDel="00000000" w:rsidP="00000000" w:rsidRDefault="00000000" w:rsidRPr="00000000" w14:paraId="00000088">
      <w:pPr>
        <w:numPr>
          <w:ilvl w:val="0"/>
          <w:numId w:val="14"/>
        </w:numPr>
        <w:shd w:fill="ffffff" w:val="clear"/>
        <w:spacing w:after="0" w:afterAutospacing="0" w:before="240" w:lineRule="auto"/>
        <w:ind w:left="720" w:hanging="360"/>
        <w:jc w:val="both"/>
        <w:rPr>
          <w:color w:val="0f1115"/>
          <w:sz w:val="24"/>
          <w:szCs w:val="24"/>
        </w:rPr>
      </w:pPr>
      <w:r w:rsidDel="00000000" w:rsidR="00000000" w:rsidRPr="00000000">
        <w:rPr>
          <w:color w:val="0f1115"/>
          <w:sz w:val="24"/>
          <w:szCs w:val="24"/>
          <w:rtl w:val="0"/>
        </w:rPr>
        <w:t xml:space="preserve">El principal aporte del artículo radica en ofrecer una visión integral y estructurada del problema de la desalineación entre TI y negocio, destacando su impacto en el éxito de los proyectos y en el desempeño organizacional.</w:t>
      </w:r>
    </w:p>
    <w:p w:rsidR="00000000" w:rsidDel="00000000" w:rsidP="00000000" w:rsidRDefault="00000000" w:rsidRPr="00000000" w14:paraId="00000089">
      <w:pPr>
        <w:numPr>
          <w:ilvl w:val="0"/>
          <w:numId w:val="14"/>
        </w:numPr>
        <w:shd w:fill="ffffff" w:val="clear"/>
        <w:spacing w:after="0" w:afterAutospacing="0" w:before="0" w:beforeAutospacing="0" w:lineRule="auto"/>
        <w:ind w:left="720" w:hanging="360"/>
        <w:jc w:val="both"/>
        <w:rPr>
          <w:color w:val="0f1115"/>
          <w:sz w:val="24"/>
          <w:szCs w:val="24"/>
          <w:u w:val="none"/>
        </w:rPr>
      </w:pPr>
      <w:r w:rsidDel="00000000" w:rsidR="00000000" w:rsidRPr="00000000">
        <w:rPr>
          <w:color w:val="0f1115"/>
          <w:sz w:val="24"/>
          <w:szCs w:val="24"/>
          <w:rtl w:val="0"/>
        </w:rPr>
        <w:t xml:space="preserve">Su valor se encuentra en la sistematización del conocimiento existente, lo que permite identificar patrones, vacíos de investigación y oportunidades de mejora en la gestión de sistemas de información.</w:t>
      </w:r>
    </w:p>
    <w:p w:rsidR="00000000" w:rsidDel="00000000" w:rsidP="00000000" w:rsidRDefault="00000000" w:rsidRPr="00000000" w14:paraId="0000008A">
      <w:pPr>
        <w:numPr>
          <w:ilvl w:val="0"/>
          <w:numId w:val="14"/>
        </w:numPr>
        <w:shd w:fill="ffffff" w:val="clear"/>
        <w:spacing w:after="240" w:before="0" w:beforeAutospacing="0" w:lineRule="auto"/>
        <w:ind w:left="720" w:hanging="360"/>
        <w:jc w:val="both"/>
        <w:rPr>
          <w:color w:val="0f1115"/>
          <w:sz w:val="24"/>
          <w:szCs w:val="24"/>
          <w:u w:val="none"/>
        </w:rPr>
      </w:pPr>
      <w:r w:rsidDel="00000000" w:rsidR="00000000" w:rsidRPr="00000000">
        <w:rPr>
          <w:color w:val="0f1115"/>
          <w:sz w:val="24"/>
          <w:szCs w:val="24"/>
          <w:rtl w:val="0"/>
        </w:rPr>
        <w:t xml:space="preserve">El estudio refuerza la importancia de integrar la ingeniería de sistemas con la gerencia de proyectos, posicionando esta relación como un factor crítico para el desarrollo efectivo de soluciones tecnológicas en entornos empresariales complejos y dinámicos.</w:t>
      </w:r>
    </w:p>
    <w:p w:rsidR="00000000" w:rsidDel="00000000" w:rsidP="00000000" w:rsidRDefault="00000000" w:rsidRPr="00000000" w14:paraId="0000008B">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08C">
      <w:pPr>
        <w:shd w:fill="ffffff" w:val="clear"/>
        <w:spacing w:after="240" w:before="240" w:lineRule="auto"/>
        <w:jc w:val="center"/>
        <w:rPr>
          <w:b w:val="1"/>
          <w:bCs w:val="1"/>
          <w:color w:val="0f1115"/>
          <w:sz w:val="24"/>
          <w:szCs w:val="24"/>
        </w:rPr>
      </w:pPr>
      <w:r w:rsidDel="00000000" w:rsidR="00000000" w:rsidRPr="00000000">
        <w:rPr>
          <w:b w:val="1"/>
          <w:bCs w:val="1"/>
          <w:color w:val="0f1115"/>
          <w:sz w:val="24"/>
          <w:szCs w:val="24"/>
          <w:rtl w:val="0"/>
        </w:rPr>
        <w:t xml:space="preserve">Artículo 3</w:t>
      </w:r>
    </w:p>
    <w:p w:rsidR="00000000" w:rsidDel="00000000" w:rsidP="00000000" w:rsidRDefault="00000000" w:rsidRPr="00000000" w14:paraId="0000008D">
      <w:pPr>
        <w:shd w:fill="ffffff" w:val="clear"/>
        <w:spacing w:after="240" w:before="240" w:lineRule="auto"/>
        <w:jc w:val="both"/>
        <w:rPr>
          <w:color w:val="0f1115"/>
          <w:sz w:val="24"/>
          <w:szCs w:val="24"/>
        </w:rPr>
      </w:pPr>
      <w:r w:rsidDel="00000000" w:rsidR="00000000" w:rsidRPr="00000000">
        <w:rPr>
          <w:b w:val="1"/>
          <w:bCs w:val="1"/>
          <w:color w:val="0f1115"/>
          <w:sz w:val="24"/>
          <w:szCs w:val="24"/>
          <w:rtl w:val="0"/>
        </w:rPr>
        <w:t xml:space="preserve">Nombre del Artículo: </w:t>
      </w:r>
      <w:r w:rsidDel="00000000" w:rsidR="00000000" w:rsidRPr="00000000">
        <w:rPr>
          <w:color w:val="0f1115"/>
          <w:sz w:val="24"/>
          <w:szCs w:val="24"/>
          <w:rtl w:val="0"/>
        </w:rPr>
        <w:t xml:space="preserve">Exploring the project manager and project management in agricultural operations: a review</w:t>
      </w:r>
    </w:p>
    <w:p w:rsidR="00000000" w:rsidDel="00000000" w:rsidP="00000000" w:rsidRDefault="00000000" w:rsidRPr="00000000" w14:paraId="0000008E">
      <w:pPr>
        <w:shd w:fill="ffffff" w:val="clear"/>
        <w:spacing w:after="240" w:before="240" w:lineRule="auto"/>
        <w:jc w:val="both"/>
        <w:rPr>
          <w:color w:val="0f1115"/>
          <w:sz w:val="24"/>
          <w:szCs w:val="24"/>
        </w:rPr>
      </w:pPr>
      <w:r w:rsidDel="00000000" w:rsidR="00000000" w:rsidRPr="00000000">
        <w:rPr>
          <w:b w:val="1"/>
          <w:bCs w:val="1"/>
          <w:color w:val="0f1115"/>
          <w:sz w:val="24"/>
          <w:szCs w:val="24"/>
          <w:rtl w:val="0"/>
        </w:rPr>
        <w:t xml:space="preserve">Revista: </w:t>
      </w:r>
      <w:r w:rsidDel="00000000" w:rsidR="00000000" w:rsidRPr="00000000">
        <w:rPr>
          <w:color w:val="0f1115"/>
          <w:sz w:val="24"/>
          <w:szCs w:val="24"/>
          <w:rtl w:val="0"/>
        </w:rPr>
        <w:t xml:space="preserve">International Journal of Sustainable Agricultural Management and Informatics (indexada en Scopus)</w:t>
      </w:r>
    </w:p>
    <w:p w:rsidR="00000000" w:rsidDel="00000000" w:rsidP="00000000" w:rsidRDefault="00000000" w:rsidRPr="00000000" w14:paraId="0000008F">
      <w:pPr>
        <w:shd w:fill="ffffff" w:val="clear"/>
        <w:spacing w:after="240" w:before="240" w:lineRule="auto"/>
        <w:jc w:val="both"/>
        <w:rPr>
          <w:color w:val="0f1115"/>
          <w:sz w:val="24"/>
          <w:szCs w:val="24"/>
        </w:rPr>
      </w:pPr>
      <w:r w:rsidDel="00000000" w:rsidR="00000000" w:rsidRPr="00000000">
        <w:rPr>
          <w:b w:val="1"/>
          <w:bCs w:val="1"/>
          <w:color w:val="0f1115"/>
          <w:sz w:val="24"/>
          <w:szCs w:val="24"/>
          <w:rtl w:val="0"/>
        </w:rPr>
        <w:t xml:space="preserve">Año: </w:t>
      </w:r>
      <w:r w:rsidDel="00000000" w:rsidR="00000000" w:rsidRPr="00000000">
        <w:rPr>
          <w:color w:val="0f1115"/>
          <w:sz w:val="24"/>
          <w:szCs w:val="24"/>
          <w:rtl w:val="0"/>
        </w:rPr>
        <w:t xml:space="preserve">2023</w:t>
      </w:r>
    </w:p>
    <w:p w:rsidR="00000000" w:rsidDel="00000000" w:rsidP="00000000" w:rsidRDefault="00000000" w:rsidRPr="00000000" w14:paraId="00000090">
      <w:pPr>
        <w:shd w:fill="ffffff" w:val="clear"/>
        <w:spacing w:after="240" w:before="240" w:lineRule="auto"/>
        <w:jc w:val="both"/>
        <w:rPr>
          <w:color w:val="0f1115"/>
          <w:sz w:val="24"/>
          <w:szCs w:val="24"/>
        </w:rPr>
      </w:pPr>
      <w:r w:rsidDel="00000000" w:rsidR="00000000" w:rsidRPr="00000000">
        <w:rPr>
          <w:b w:val="1"/>
          <w:bCs w:val="1"/>
          <w:color w:val="0f1115"/>
          <w:sz w:val="24"/>
          <w:szCs w:val="24"/>
          <w:rtl w:val="0"/>
        </w:rPr>
        <w:t xml:space="preserve">Autores: </w:t>
      </w:r>
      <w:r w:rsidDel="00000000" w:rsidR="00000000" w:rsidRPr="00000000">
        <w:rPr>
          <w:color w:val="0f1115"/>
          <w:sz w:val="24"/>
          <w:szCs w:val="24"/>
          <w:rtl w:val="0"/>
        </w:rPr>
        <w:t xml:space="preserve">Caio Senna do Amaral, Fernando Tobal Berssaneti</w:t>
      </w:r>
    </w:p>
    <w:p w:rsidR="00000000" w:rsidDel="00000000" w:rsidP="00000000" w:rsidRDefault="00000000" w:rsidRPr="00000000" w14:paraId="00000091">
      <w:pPr>
        <w:shd w:fill="ffffff" w:val="clear"/>
        <w:spacing w:after="240" w:before="240" w:lineRule="auto"/>
        <w:jc w:val="both"/>
        <w:rPr>
          <w:b w:val="1"/>
          <w:bCs w:val="1"/>
          <w:color w:val="0f1115"/>
          <w:sz w:val="24"/>
          <w:szCs w:val="24"/>
        </w:rPr>
      </w:pPr>
      <w:r w:rsidDel="00000000" w:rsidR="00000000" w:rsidRPr="00000000">
        <w:rPr>
          <w:b w:val="1"/>
          <w:bCs w:val="1"/>
          <w:color w:val="0f1115"/>
          <w:sz w:val="24"/>
          <w:szCs w:val="24"/>
          <w:rtl w:val="0"/>
        </w:rPr>
        <w:t xml:space="preserve">Descripción: </w:t>
      </w:r>
    </w:p>
    <w:p w:rsidR="00000000" w:rsidDel="00000000" w:rsidP="00000000" w:rsidRDefault="00000000" w:rsidRPr="00000000" w14:paraId="00000092">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El artículo realiza una revisión sistemática del estado del arte sobre la aplicación de la gestión de proyectos en el sector agrícola, abordando específicamente el rol del project manager dentro de las operaciones agrícolas. A través del análisis de literatura científica, el estudio examina cómo los proyectos se implementan en contextos agrícolas, incluyendo procesos productivos, cadenas de suministro y sistemas agroindustriales. El texto destaca que, aunque la agricultura moderna ha incorporado herramientas tecnológicas y metodologías de optimización, la gestión de proyectos aún no se aplica de manera estructurada ni estandarizada. Asimismo, identifica tendencias emergentes como la digitalización, la agricultura inteligente (smart farming) y la integración de tecnologías que requieren enfoques más formales de gestión. En general, el artículo busca comprender el nivel de desarrollo del project management dentro del sector agrícola y evidenciar sus brechas frente a otros sectores industriales.</w:t>
      </w:r>
    </w:p>
    <w:p w:rsidR="00000000" w:rsidDel="00000000" w:rsidP="00000000" w:rsidRDefault="00000000" w:rsidRPr="00000000" w14:paraId="00000093">
      <w:pPr>
        <w:shd w:fill="ffffff" w:val="clear"/>
        <w:spacing w:after="240" w:before="240" w:lineRule="auto"/>
        <w:jc w:val="both"/>
        <w:rPr>
          <w:b w:val="1"/>
          <w:bCs w:val="1"/>
          <w:color w:val="0f1115"/>
          <w:sz w:val="24"/>
          <w:szCs w:val="24"/>
        </w:rPr>
      </w:pPr>
      <w:r w:rsidDel="00000000" w:rsidR="00000000" w:rsidRPr="00000000">
        <w:rPr>
          <w:b w:val="1"/>
          <w:bCs w:val="1"/>
          <w:color w:val="0f1115"/>
          <w:sz w:val="24"/>
          <w:szCs w:val="24"/>
          <w:rtl w:val="0"/>
        </w:rPr>
        <w:t xml:space="preserve">Rigor: </w:t>
      </w:r>
    </w:p>
    <w:p w:rsidR="00000000" w:rsidDel="00000000" w:rsidP="00000000" w:rsidRDefault="00000000" w:rsidRPr="00000000" w14:paraId="00000094">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El artículo presenta un rigor científico alto al basarse en una revisión sistemática de literatura complementada con análisis bibliométrico y de redes. Este tipo de rigor se caracteriza por la aplicación de metodologías estructuradas para la selección, análisis y clasificación de información científica, lo cual permite reducir sesgos y aumentar la validez de los resultados. La incorporación de herramientas como el análisis de redes de coautoría y palabras clave fortalece el componente cuantitativo del estudio, permitiendo identificar patrones, tendencias y relaciones entre investigaciones. En este sentido, el rigor no solo es metodológico, sino también analítico, ya que el artículo no se limita a describir la literatura, sino que la interpreta y organiza de manera sistemática.</w:t>
      </w:r>
    </w:p>
    <w:p w:rsidR="00000000" w:rsidDel="00000000" w:rsidP="00000000" w:rsidRDefault="00000000" w:rsidRPr="00000000" w14:paraId="00000095">
      <w:pPr>
        <w:shd w:fill="ffffff" w:val="clear"/>
        <w:spacing w:after="240" w:before="240" w:lineRule="auto"/>
        <w:jc w:val="both"/>
        <w:rPr>
          <w:b w:val="1"/>
          <w:bCs w:val="1"/>
          <w:color w:val="0f1115"/>
          <w:sz w:val="24"/>
          <w:szCs w:val="24"/>
        </w:rPr>
      </w:pPr>
      <w:r w:rsidDel="00000000" w:rsidR="00000000" w:rsidRPr="00000000">
        <w:rPr>
          <w:b w:val="1"/>
          <w:bCs w:val="1"/>
          <w:color w:val="0f1115"/>
          <w:sz w:val="24"/>
          <w:szCs w:val="24"/>
          <w:rtl w:val="0"/>
        </w:rPr>
        <w:t xml:space="preserve">Planteamiento del problema:</w:t>
      </w:r>
    </w:p>
    <w:p w:rsidR="00000000" w:rsidDel="00000000" w:rsidP="00000000" w:rsidRDefault="00000000" w:rsidRPr="00000000" w14:paraId="00000096">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El problema central del artículo radica en la falta de formalización y madurez en la aplicación de la gestión de proyectos dentro del sector agrícola. A pesar de que la agricultura moderna enfrenta desafíos complejos como la variabilidad climática, la optimización de recursos, la sostenibilidad y la integración tecnológica, no existe una adopción generalizada de metodologías formales de project management como las utilizadas en sectores industriales o tecnológicos. El artículo plantea que esta ausencia limita la eficiencia, la planificación estratégica y el éxito de los proyectos agrícolas. Por tanto, el estudio busca responder a la necesidad de comprender cómo se está aplicando actualmente la gestión de proyectos en agricultura y cuáles son las brechas existentes en su implementación.</w:t>
      </w:r>
    </w:p>
    <w:p w:rsidR="00000000" w:rsidDel="00000000" w:rsidP="00000000" w:rsidRDefault="00000000" w:rsidRPr="00000000" w14:paraId="00000097">
      <w:pPr>
        <w:shd w:fill="ffffff" w:val="clear"/>
        <w:spacing w:after="240" w:before="240" w:lineRule="auto"/>
        <w:jc w:val="both"/>
        <w:rPr>
          <w:b w:val="1"/>
          <w:bCs w:val="1"/>
          <w:color w:val="0f1115"/>
          <w:sz w:val="24"/>
          <w:szCs w:val="24"/>
        </w:rPr>
      </w:pPr>
      <w:r w:rsidDel="00000000" w:rsidR="00000000" w:rsidRPr="00000000">
        <w:rPr>
          <w:b w:val="1"/>
          <w:bCs w:val="1"/>
          <w:color w:val="0f1115"/>
          <w:sz w:val="24"/>
          <w:szCs w:val="24"/>
          <w:rtl w:val="0"/>
        </w:rPr>
        <w:t xml:space="preserve">Enfoque desde la ingeniería agrícola:</w:t>
      </w:r>
    </w:p>
    <w:p w:rsidR="00000000" w:rsidDel="00000000" w:rsidP="00000000" w:rsidRDefault="00000000" w:rsidRPr="00000000" w14:paraId="00000098">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Desde la perspectiva de la ingeniería agrícola, el artículo aborda los sistemas productivos como sistemas complejos que requieren planificación, optimización y control. Se analizan procesos como la producción agrícola, la logística, la gestión de recursos (agua, suelo, maquinaria) y la cadena de suministro, todos ellos elementos típicos de la ingeniería aplicada al sector agrícola. El enfoque ingenieril se evidencia en la consideración de variables técnicas, operativas y sistémicas, así como en la necesidad de integrar herramientas de modelación, automatización y tecnologías emergentes. Sin embargo, el artículo resalta que, aunque existen avances técnicos importantes, estos no siempre están acompañados de una gestión estructurada de proyectos, lo que limita su impacto.</w:t>
      </w:r>
    </w:p>
    <w:p w:rsidR="00000000" w:rsidDel="00000000" w:rsidP="00000000" w:rsidRDefault="00000000" w:rsidRPr="00000000" w14:paraId="00000099">
      <w:pPr>
        <w:shd w:fill="ffffff" w:val="clear"/>
        <w:spacing w:after="240" w:before="240" w:lineRule="auto"/>
        <w:jc w:val="both"/>
        <w:rPr>
          <w:b w:val="1"/>
          <w:bCs w:val="1"/>
          <w:color w:val="0f1115"/>
          <w:sz w:val="24"/>
          <w:szCs w:val="24"/>
        </w:rPr>
      </w:pPr>
      <w:r w:rsidDel="00000000" w:rsidR="00000000" w:rsidRPr="00000000">
        <w:rPr>
          <w:b w:val="1"/>
          <w:bCs w:val="1"/>
          <w:color w:val="0f1115"/>
          <w:sz w:val="24"/>
          <w:szCs w:val="24"/>
          <w:rtl w:val="0"/>
        </w:rPr>
        <w:t xml:space="preserve">Enfoque desde la gerencia y gestión de proyectos:</w:t>
      </w:r>
    </w:p>
    <w:p w:rsidR="00000000" w:rsidDel="00000000" w:rsidP="00000000" w:rsidRDefault="00000000" w:rsidRPr="00000000" w14:paraId="0000009A">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El artículo establece una relación directa entre la ingeniería agrícola y la gestión de proyectos, señalando que los sistemas agrícolas modernos requieren una planificación estructurada similar a la de proyectos industriales. Se identifican elementos clave del project management como la planificación, ejecución, monitoreo y control, así como la gestión de recursos, tiempos y riesgos. No obstante, el estudio evidencia que en el sector agrícola esta integración es parcial y poco formalizada, ya que muchas decisiones se toman de manera empírica o tradicional. El artículo sugiere que la adopción de estándares como los del PMI, metodologías ágiles y herramientas digitales podría mejorar significativamente la eficiencia y sostenibilidad de los proyectos agrícolas. De esta manera, se plantea la necesidad de fortalecer la dimensión gerencial dentro del ámbito técnico.</w:t>
      </w:r>
    </w:p>
    <w:p w:rsidR="00000000" w:rsidDel="00000000" w:rsidP="00000000" w:rsidRDefault="00000000" w:rsidRPr="00000000" w14:paraId="0000009B">
      <w:pPr>
        <w:shd w:fill="ffffff" w:val="clear"/>
        <w:spacing w:after="240" w:before="240" w:lineRule="auto"/>
        <w:jc w:val="both"/>
        <w:rPr>
          <w:b w:val="1"/>
          <w:bCs w:val="1"/>
          <w:color w:val="0f1115"/>
          <w:sz w:val="24"/>
          <w:szCs w:val="24"/>
        </w:rPr>
      </w:pPr>
      <w:r w:rsidDel="00000000" w:rsidR="00000000" w:rsidRPr="00000000">
        <w:rPr>
          <w:b w:val="1"/>
          <w:bCs w:val="1"/>
          <w:color w:val="0f1115"/>
          <w:sz w:val="24"/>
          <w:szCs w:val="24"/>
          <w:rtl w:val="0"/>
        </w:rPr>
        <w:t xml:space="preserve">Rigurosidad científica del artículo:</w:t>
      </w:r>
    </w:p>
    <w:p w:rsidR="00000000" w:rsidDel="00000000" w:rsidP="00000000" w:rsidRDefault="00000000" w:rsidRPr="00000000" w14:paraId="0000009C">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La rigurosidad científica del artículo es elevada, dado que cumple con los criterios fundamentales de investigación académica de alto nivel. En primer lugar, utiliza una metodología clara y reproducible, basada en la revisión sistemática de literatura en bases de datos reconocidas como Scopus y Web of Science. En segundo lugar, aplica técnicas avanzadas como el análisis bibliométrico, lo que permite cuantificar la producción científica y detectar tendencias. En tercer lugar, presenta una estructura lógica y coherente que incluye introducción, metodología, resultados y conclusiones. Además, el artículo se apoya en un amplio número de referencias académicas, lo que refuerza la validez de sus argumentos. No obstante, su principal limitación radica en la ausencia de validación empírica, ya que no incluye estudios de caso ni experimentación directa.</w:t>
      </w:r>
    </w:p>
    <w:p w:rsidR="00000000" w:rsidDel="00000000" w:rsidP="00000000" w:rsidRDefault="00000000" w:rsidRPr="00000000" w14:paraId="0000009D">
      <w:pPr>
        <w:shd w:fill="ffffff" w:val="clear"/>
        <w:spacing w:after="240" w:before="240" w:lineRule="auto"/>
        <w:jc w:val="both"/>
        <w:rPr>
          <w:b w:val="1"/>
          <w:bCs w:val="1"/>
          <w:color w:val="0f1115"/>
          <w:sz w:val="24"/>
          <w:szCs w:val="24"/>
        </w:rPr>
      </w:pPr>
      <w:r w:rsidDel="00000000" w:rsidR="00000000" w:rsidRPr="00000000">
        <w:rPr>
          <w:b w:val="1"/>
          <w:bCs w:val="1"/>
          <w:color w:val="0f1115"/>
          <w:sz w:val="24"/>
          <w:szCs w:val="24"/>
          <w:rtl w:val="0"/>
        </w:rPr>
        <w:t xml:space="preserve">Conclusiones:</w:t>
      </w:r>
    </w:p>
    <w:p w:rsidR="00000000" w:rsidDel="00000000" w:rsidP="00000000" w:rsidRDefault="00000000" w:rsidRPr="00000000" w14:paraId="0000009E">
      <w:pPr>
        <w:numPr>
          <w:ilvl w:val="0"/>
          <w:numId w:val="15"/>
        </w:numPr>
        <w:shd w:fill="ffffff" w:val="clear"/>
        <w:spacing w:after="0" w:afterAutospacing="0" w:before="240" w:lineRule="auto"/>
        <w:ind w:left="720" w:hanging="360"/>
        <w:jc w:val="both"/>
        <w:rPr>
          <w:color w:val="0f1115"/>
          <w:sz w:val="24"/>
          <w:szCs w:val="24"/>
        </w:rPr>
      </w:pPr>
      <w:r w:rsidDel="00000000" w:rsidR="00000000" w:rsidRPr="00000000">
        <w:rPr>
          <w:color w:val="0f1115"/>
          <w:sz w:val="24"/>
          <w:szCs w:val="24"/>
          <w:rtl w:val="0"/>
        </w:rPr>
        <w:t xml:space="preserve">La gestión de proyectos en el sector agrícola se encuentra en una etapa de desarrollo incipiente en comparación con otros sectores industriales.</w:t>
      </w:r>
    </w:p>
    <w:p w:rsidR="00000000" w:rsidDel="00000000" w:rsidP="00000000" w:rsidRDefault="00000000" w:rsidRPr="00000000" w14:paraId="0000009F">
      <w:pPr>
        <w:numPr>
          <w:ilvl w:val="0"/>
          <w:numId w:val="15"/>
        </w:numPr>
        <w:shd w:fill="ffffff" w:val="clear"/>
        <w:spacing w:after="0" w:afterAutospacing="0" w:before="0" w:beforeAutospacing="0" w:lineRule="auto"/>
        <w:ind w:left="720" w:hanging="360"/>
        <w:jc w:val="both"/>
        <w:rPr>
          <w:color w:val="0f1115"/>
          <w:sz w:val="24"/>
          <w:szCs w:val="24"/>
        </w:rPr>
      </w:pPr>
      <w:r w:rsidDel="00000000" w:rsidR="00000000" w:rsidRPr="00000000">
        <w:rPr>
          <w:color w:val="0f1115"/>
          <w:sz w:val="24"/>
          <w:szCs w:val="24"/>
          <w:rtl w:val="0"/>
        </w:rPr>
        <w:t xml:space="preserve">A pesar de la creciente complejidad de los sistemas agrícolas y la incorporación de tecnologías avanzadas, existe una baja adopción de metodologías formales de project management.</w:t>
      </w:r>
    </w:p>
    <w:p w:rsidR="00000000" w:rsidDel="00000000" w:rsidP="00000000" w:rsidRDefault="00000000" w:rsidRPr="00000000" w14:paraId="000000A0">
      <w:pPr>
        <w:numPr>
          <w:ilvl w:val="0"/>
          <w:numId w:val="15"/>
        </w:numPr>
        <w:shd w:fill="ffffff" w:val="clear"/>
        <w:spacing w:after="0" w:afterAutospacing="0" w:before="0" w:beforeAutospacing="0" w:lineRule="auto"/>
        <w:ind w:left="720" w:hanging="360"/>
        <w:jc w:val="both"/>
        <w:rPr>
          <w:color w:val="0f1115"/>
          <w:sz w:val="24"/>
          <w:szCs w:val="24"/>
        </w:rPr>
      </w:pPr>
      <w:r w:rsidDel="00000000" w:rsidR="00000000" w:rsidRPr="00000000">
        <w:rPr>
          <w:color w:val="0f1115"/>
          <w:sz w:val="24"/>
          <w:szCs w:val="24"/>
          <w:rtl w:val="0"/>
        </w:rPr>
        <w:t xml:space="preserve">Se identifica una oportunidad significativa para integrar herramientas de gestión que permitan mejorar la planificación, ejecución y control de proyectos agrícolas.</w:t>
      </w:r>
    </w:p>
    <w:p w:rsidR="00000000" w:rsidDel="00000000" w:rsidP="00000000" w:rsidRDefault="00000000" w:rsidRPr="00000000" w14:paraId="000000A1">
      <w:pPr>
        <w:numPr>
          <w:ilvl w:val="0"/>
          <w:numId w:val="15"/>
        </w:numPr>
        <w:shd w:fill="ffffff" w:val="clear"/>
        <w:spacing w:after="0" w:afterAutospacing="0" w:before="0" w:beforeAutospacing="0" w:lineRule="auto"/>
        <w:ind w:left="720" w:hanging="360"/>
        <w:jc w:val="both"/>
        <w:rPr>
          <w:color w:val="0f1115"/>
          <w:sz w:val="24"/>
          <w:szCs w:val="24"/>
        </w:rPr>
      </w:pPr>
      <w:r w:rsidDel="00000000" w:rsidR="00000000" w:rsidRPr="00000000">
        <w:rPr>
          <w:color w:val="0f1115"/>
          <w:sz w:val="24"/>
          <w:szCs w:val="24"/>
          <w:rtl w:val="0"/>
        </w:rPr>
        <w:t xml:space="preserve">El estudio resalta la necesidad de fortalecer la formación en gestión de proyectos dentro de la ingeniería agrícola y promover la investigación en este campo.</w:t>
      </w:r>
    </w:p>
    <w:p w:rsidR="00000000" w:rsidDel="00000000" w:rsidP="00000000" w:rsidRDefault="00000000" w:rsidRPr="00000000" w14:paraId="000000A2">
      <w:pPr>
        <w:numPr>
          <w:ilvl w:val="0"/>
          <w:numId w:val="15"/>
        </w:numPr>
        <w:shd w:fill="ffffff" w:val="clear"/>
        <w:spacing w:after="240" w:before="0" w:beforeAutospacing="0" w:lineRule="auto"/>
        <w:ind w:left="720" w:hanging="360"/>
        <w:jc w:val="both"/>
        <w:rPr>
          <w:color w:val="0f1115"/>
          <w:sz w:val="24"/>
          <w:szCs w:val="24"/>
        </w:rPr>
      </w:pPr>
      <w:r w:rsidDel="00000000" w:rsidR="00000000" w:rsidRPr="00000000">
        <w:rPr>
          <w:color w:val="0f1115"/>
          <w:sz w:val="24"/>
          <w:szCs w:val="24"/>
          <w:rtl w:val="0"/>
        </w:rPr>
        <w:t xml:space="preserve">La evolución hacia una agricultura más eficiente, sostenible y tecnológica depende en gran medida de la incorporación de enfoques estructurados de gestión.</w:t>
      </w:r>
    </w:p>
    <w:p w:rsidR="00000000" w:rsidDel="00000000" w:rsidP="00000000" w:rsidRDefault="00000000" w:rsidRPr="00000000" w14:paraId="000000A3">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0A4">
      <w:pPr>
        <w:shd w:fill="ffffff" w:val="clear"/>
        <w:spacing w:after="240" w:before="240" w:lineRule="auto"/>
        <w:jc w:val="both"/>
        <w:rPr>
          <w:b w:val="1"/>
          <w:bCs w:val="1"/>
          <w:color w:val="0f1115"/>
          <w:sz w:val="24"/>
          <w:szCs w:val="24"/>
        </w:rPr>
      </w:pPr>
      <w:r w:rsidDel="00000000" w:rsidR="00000000" w:rsidRPr="00000000">
        <w:rPr>
          <w:b w:val="1"/>
          <w:bCs w:val="1"/>
          <w:color w:val="0f1115"/>
          <w:sz w:val="24"/>
          <w:szCs w:val="24"/>
          <w:rtl w:val="0"/>
        </w:rPr>
        <w:t xml:space="preserve">Bibliografía:</w:t>
      </w:r>
    </w:p>
    <w:p w:rsidR="00000000" w:rsidDel="00000000" w:rsidP="00000000" w:rsidRDefault="00000000" w:rsidRPr="00000000" w14:paraId="000000A5">
      <w:pPr>
        <w:numPr>
          <w:ilvl w:val="0"/>
          <w:numId w:val="4"/>
        </w:numPr>
        <w:shd w:fill="ffffff" w:val="clear"/>
        <w:spacing w:after="0" w:afterAutospacing="0" w:before="240" w:lineRule="auto"/>
        <w:ind w:left="720" w:hanging="360"/>
        <w:jc w:val="both"/>
        <w:rPr>
          <w:color w:val="0f1115"/>
          <w:sz w:val="24"/>
          <w:szCs w:val="24"/>
        </w:rPr>
      </w:pPr>
      <w:r w:rsidDel="00000000" w:rsidR="00000000" w:rsidRPr="00000000">
        <w:rPr>
          <w:color w:val="0f1115"/>
          <w:sz w:val="24"/>
          <w:szCs w:val="24"/>
          <w:rtl w:val="0"/>
        </w:rPr>
        <w:t xml:space="preserve">Amaral, C. S. do, &amp; Berssaneti, F. T. (2023). Exploring the project manager and project management in agricultural operations: A review. International Journal of Sustainable Agricultural Management and Informatics.</w:t>
      </w:r>
    </w:p>
    <w:p w:rsidR="00000000" w:rsidDel="00000000" w:rsidP="00000000" w:rsidRDefault="00000000" w:rsidRPr="00000000" w14:paraId="000000A6">
      <w:pPr>
        <w:numPr>
          <w:ilvl w:val="0"/>
          <w:numId w:val="4"/>
        </w:numPr>
        <w:shd w:fill="ffffff" w:val="clear"/>
        <w:spacing w:after="240" w:before="0" w:beforeAutospacing="0" w:lineRule="auto"/>
        <w:ind w:left="720" w:hanging="360"/>
        <w:rPr>
          <w:color w:val="0f1115"/>
          <w:sz w:val="24"/>
          <w:szCs w:val="24"/>
        </w:rPr>
      </w:pPr>
      <w:r w:rsidDel="00000000" w:rsidR="00000000" w:rsidRPr="00000000">
        <w:rPr>
          <w:rtl w:val="0"/>
        </w:rPr>
      </w:r>
    </w:p>
    <w:p w:rsidR="00000000" w:rsidDel="00000000" w:rsidP="00000000" w:rsidRDefault="00000000" w:rsidRPr="00000000" w14:paraId="000000A7">
      <w:pPr>
        <w:shd w:fill="ffffff" w:val="clear"/>
        <w:spacing w:after="240" w:before="240" w:lineRule="auto"/>
        <w:jc w:val="both"/>
        <w:rPr>
          <w:color w:val="0f1115"/>
        </w:rPr>
      </w:pPr>
      <w:r w:rsidDel="00000000" w:rsidR="00000000" w:rsidRPr="00000000">
        <w:rPr>
          <w:rtl w:val="0"/>
        </w:rPr>
      </w:r>
    </w:p>
    <w:p w:rsidR="00000000" w:rsidDel="00000000" w:rsidP="00000000" w:rsidRDefault="00000000" w:rsidRPr="00000000" w14:paraId="000000A8">
      <w:pPr>
        <w:shd w:fill="ffffff" w:val="clear"/>
        <w:spacing w:after="240" w:before="340" w:lineRule="auto"/>
        <w:jc w:val="both"/>
        <w:rPr>
          <w:rFonts w:ascii="Times New Roman" w:cs="Times New Roman" w:eastAsia="Times New Roman" w:hAnsi="Times New Roman"/>
          <w:b w:val="1"/>
          <w:bCs w:val="1"/>
          <w:color w:val="0f1115"/>
        </w:rPr>
      </w:pPr>
      <w:r w:rsidDel="00000000" w:rsidR="00000000" w:rsidRPr="00000000">
        <w:rPr>
          <w:rtl w:val="0"/>
        </w:rPr>
      </w:r>
    </w:p>
    <w:p w:rsidR="00000000" w:rsidDel="00000000" w:rsidP="00000000" w:rsidRDefault="00000000" w:rsidRPr="00000000" w14:paraId="000000A9">
      <w:pPr>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U2eXyZZLIjCcrE4W2mwcO+CAcg==">CgMxLjAyDmgubzZjYnh5c3ZkdXFjMg1oLmo3anJlc21hNnkxMg5oLmsyNDhiaXN3cWw1YTIOaC5reTdlN29zaXE4OTYyDmgubWN4dWFpYjRrYWY2Mg5oLjdtcXcwNTQ5MHNicjgAciExc1c4bE5IeGNTWEcwN0NmQ1FIVElhc180bDNsVEpkcTY=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2026-03-26T12:06:00.0000000Z</dcterms:created>
</cp:coreProperties>
</file>