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47E1" w14:textId="11F2C372" w:rsidR="00185A93" w:rsidRDefault="00185A93">
      <w:pPr>
        <w:pStyle w:val="Heading1"/>
      </w:pPr>
      <w:bookmarkStart w:id="0" w:name="simulation-methodology"/>
      <w:r>
        <w:t>Introduction</w:t>
      </w:r>
    </w:p>
    <w:p w14:paraId="2E2ECBEB" w14:textId="7DB3CE90" w:rsidR="00185A93" w:rsidRPr="00185A93" w:rsidRDefault="00185A93" w:rsidP="00185A93">
      <w:pPr>
        <w:pStyle w:val="BodyText"/>
      </w:pPr>
    </w:p>
    <w:p w14:paraId="042CD98D" w14:textId="0F0A30B5" w:rsidR="003C35D5" w:rsidRDefault="009D496F">
      <w:pPr>
        <w:pStyle w:val="Heading1"/>
      </w:pPr>
      <w:r>
        <w:t>Simulation methodology</w:t>
      </w:r>
    </w:p>
    <w:p w14:paraId="47A2A74D" w14:textId="77777777" w:rsidR="003C35D5" w:rsidRDefault="009D496F">
      <w:pPr>
        <w:pStyle w:val="Heading2"/>
      </w:pPr>
      <w:bookmarkStart w:id="1" w:name="materials-and-methods"/>
      <w:r>
        <w:t>2. Materials and methods</w:t>
      </w:r>
    </w:p>
    <w:p w14:paraId="45F90DD6" w14:textId="77777777" w:rsidR="003C35D5" w:rsidRDefault="009D496F">
      <w:pPr>
        <w:pStyle w:val="Heading3"/>
      </w:pPr>
      <w:bookmarkStart w:id="2" w:name="transport-code-and-physics"/>
      <w:r>
        <w:t>2.1 Transport code and physics</w:t>
      </w:r>
    </w:p>
    <w:p w14:paraId="7E94B4E9" w14:textId="05E6684E" w:rsidR="003C35D5" w:rsidRDefault="009D496F">
      <w:pPr>
        <w:pStyle w:val="FirstParagraph"/>
      </w:pPr>
      <w:r>
        <w:t>Particle transport was performed with TOPAS (v3.x) [Perl2012], a layered interface to the Geant4 toolkit [Agostinelli2003, Allison2016] driving Geant4 release 10.7.p03. The reference physics list was FTFP_BERT_HP: hadronic interactions are handled by the Bertini intranuclear cascade below 10 GeV and the Fritiof (FTF) string model above, and the high-precision (_HP) neutron package tracks neutrons down to thermal energies using the evaluated G4NDL 4.6 neutron data library [G4NDL]. Electromagnetic interactions were handled by the standa</w:t>
      </w:r>
      <w:r>
        <w:t>rd G4EmStandardPhysics constructor bundled in this list; particle production thresholds were left at the TOPAS default range cut (0.05 mm for all particles). High-precision neutron transport is essential because a substantial fraction of the crew dose behind thick shielding is carried by low-energy secondary (albedo) neutrons bred in the regolith and habitat walls; a standard-precision list would misrepresent that component.</w:t>
      </w:r>
    </w:p>
    <w:p w14:paraId="29ED5D9C" w14:textId="0C59B4BC" w:rsidR="003C35D5" w:rsidRDefault="009D496F">
      <w:pPr>
        <w:pStyle w:val="BodyText"/>
      </w:pPr>
      <w:r>
        <w:t>Simulations were run multithreaded; results reported below combine independent random-seed replicas, and statistical uncertainties are quoted as the standard error across replicas.</w:t>
      </w:r>
    </w:p>
    <w:p w14:paraId="122CF308" w14:textId="77777777" w:rsidR="003C35D5" w:rsidRDefault="009D496F">
      <w:pPr>
        <w:pStyle w:val="Heading3"/>
      </w:pPr>
      <w:bookmarkStart w:id="3" w:name="X9d451ebf7c90e4eae3d5503819d89e650b6a31c"/>
      <w:bookmarkEnd w:id="2"/>
      <w:r>
        <w:t>2.2 Lunar surface environment and habitat geometry</w:t>
      </w:r>
    </w:p>
    <w:p w14:paraId="617426B6" w14:textId="77777777" w:rsidR="003C35D5" w:rsidRDefault="009D496F">
      <w:pPr>
        <w:pStyle w:val="FirstParagraph"/>
      </w:pPr>
      <w:r>
        <w:t>The lunar surface was modelled as a semi-infinite regolith half-space beneath a vacuum world. The regolith composition is an Apollo-17 high-titanium mare soil, reduced to its eight dominant elements and renormalised to unit mass fraction [regolith_ref]. Rather than a single homogeneous block, the near-surface stratigraphy was represented as three stacked layers of differing bulk density, following the layered Apollo-17 profile, with the uppermost (lowest-density) layer at the surface and the top face defini</w:t>
      </w:r>
      <w:r>
        <w:t>ng the habitat floor plane (</w:t>
      </w:r>
      <m:oMath>
        <m:r>
          <w:rPr>
            <w:rFonts w:ascii="Cambria Math" w:hAnsi="Cambria Math"/>
          </w:rPr>
          <m:t>z</m:t>
        </m:r>
        <m:r>
          <m:rPr>
            <m:sty m:val="p"/>
          </m:rPr>
          <w:rPr>
            <w:rFonts w:ascii="Cambria Math" w:hAnsi="Cambria Math"/>
          </w:rPr>
          <m:t>=</m:t>
        </m:r>
        <m:r>
          <w:rPr>
            <w:rFonts w:ascii="Cambria Math" w:hAnsi="Cambria Math"/>
          </w:rPr>
          <m:t>0</m:t>
        </m:r>
      </m:oMath>
      <w:r>
        <w:t>); the lateral extent (7 m half-width) and total depth (≈1.5 m) were chosen large enough that the scored volume sees an effectively infinite half-space for the incident and back-scattered field.</w:t>
      </w:r>
    </w:p>
    <w:p w14:paraId="3FFE05C9" w14:textId="77777777" w:rsidR="003C35D5" w:rsidRDefault="009D496F">
      <w:pPr>
        <w:pStyle w:val="BodyText"/>
      </w:pPr>
      <w:r>
        <w:t xml:space="preserve">Pressurised habitats were built parametrically as one of four archetypes — hemispherical dome, vertical cylinder, quonset (lying half-cylinder), and a regolith-buried cylinder — each specified by an internal free radius, a layered wall stack (engineered material plus, for the buried case, a variable regolith overburden), and a fixed-height crew phantom. All habitats </w:t>
      </w:r>
      <w:r>
        <w:lastRenderedPageBreak/>
        <w:t xml:space="preserve">stand on the regolith plane, so the geometry inherently reproduces the </w:t>
      </w:r>
      <m:oMath>
        <m:r>
          <w:rPr>
            <w:rFonts w:ascii="Cambria Math" w:hAnsi="Cambria Math"/>
          </w:rPr>
          <m:t>2</m:t>
        </m:r>
        <m:r>
          <w:rPr>
            <w:rFonts w:ascii="Cambria Math" w:hAnsi="Cambria Math"/>
          </w:rPr>
          <m:t>π</m:t>
        </m:r>
      </m:oMath>
      <w:r>
        <w:t xml:space="preserve"> </w:t>
      </w:r>
      <w:r>
        <w:t>surface illumination geometry (open upper hemisphere, shielding half-space below).</w:t>
      </w:r>
    </w:p>
    <w:p w14:paraId="0F30B88E" w14:textId="77777777" w:rsidR="003C35D5" w:rsidRDefault="009D496F">
      <w:pPr>
        <w:pStyle w:val="Heading3"/>
      </w:pPr>
      <w:bookmarkStart w:id="4" w:name="galactic-cosmic-ray-source-model"/>
      <w:bookmarkEnd w:id="3"/>
      <w:r>
        <w:t>2.3 Galactic cosmic-ray source model</w:t>
      </w:r>
    </w:p>
    <w:p w14:paraId="5B24CC77" w14:textId="77777777" w:rsidR="003C35D5" w:rsidRDefault="009D496F">
      <w:pPr>
        <w:pStyle w:val="FirstParagraph"/>
      </w:pPr>
      <w:r>
        <w:t>The GCR primary spectrum was constructed from a local interstellar spectrum (LIS) modulated to a chosen solar epoch by the force-field approximation [GleesonAxford1968]. For protons the LIS of Usoskin et al. [Usoskin2005] was used,</w:t>
      </w:r>
    </w:p>
    <w:p w14:paraId="2DC4E9DE" w14:textId="77777777" w:rsidR="003C35D5" w:rsidRDefault="009D496F">
      <w:pPr>
        <w:pStyle w:val="BodyText"/>
      </w:pPr>
      <m:oMathPara>
        <m:oMathParaPr>
          <m:jc m:val="center"/>
        </m:oMathParaPr>
        <m:oMath>
          <m:sSub>
            <m:sSubPr>
              <m:ctrlPr>
                <w:rPr>
                  <w:rFonts w:ascii="Cambria Math" w:hAnsi="Cambria Math"/>
                </w:rPr>
              </m:ctrlPr>
            </m:sSubPr>
            <m:e>
              <m:r>
                <w:rPr>
                  <w:rFonts w:ascii="Cambria Math" w:hAnsi="Cambria Math"/>
                </w:rPr>
                <m:t>J</m:t>
              </m:r>
            </m:e>
            <m:sub>
              <m:r>
                <m:rPr>
                  <m:sty m:val="p"/>
                </m:rPr>
                <w:rPr>
                  <w:rFonts w:ascii="Cambria Math" w:hAnsi="Cambria Math"/>
                </w:rPr>
                <m:t>LIS</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2.78</m:t>
                  </m:r>
                </m:sup>
              </m:sSup>
            </m:num>
            <m:den>
              <m:r>
                <w:rPr>
                  <w:rFonts w:ascii="Cambria Math" w:hAnsi="Cambria Math"/>
                </w:rPr>
                <m:t>1</m:t>
              </m:r>
              <m:r>
                <m:rPr>
                  <m:sty m:val="p"/>
                </m:rPr>
                <w:rPr>
                  <w:rFonts w:ascii="Cambria Math" w:hAnsi="Cambria Math"/>
                </w:rPr>
                <m:t>+</m:t>
              </m:r>
              <m:r>
                <w:rPr>
                  <w:rFonts w:ascii="Cambria Math" w:hAnsi="Cambria Math"/>
                </w:rPr>
                <m:t>0.4866 </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2.51</m:t>
                  </m:r>
                </m:sup>
              </m:sSup>
            </m:den>
          </m:f>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r>
                    <m:rPr>
                      <m:sty m:val="p"/>
                    </m:rPr>
                    <w:rPr>
                      <w:rFonts w:ascii="Cambria Math" w:hAnsi="Cambria Math"/>
                    </w:rPr>
                    <m:t>2</m:t>
                  </m:r>
                </m:sup>
              </m:sSup>
              <m:r>
                <m:rPr>
                  <m:sty m:val="p"/>
                </m:rPr>
                <w:rPr>
                  <w:rFonts w:ascii="Cambria Math" w:hAnsi="Cambria Math"/>
                </w:rPr>
                <m:t>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m:rPr>
                      <m:sty m:val="p"/>
                    </m:rPr>
                    <w:rPr>
                      <w:rFonts w:ascii="Cambria Math" w:hAnsi="Cambria Math"/>
                    </w:rPr>
                    <m:t>1</m:t>
                  </m:r>
                </m:sup>
              </m:sSup>
              <m:r>
                <m:rPr>
                  <m:sty m:val="p"/>
                </m:rPr>
                <w:rPr>
                  <w:rFonts w:ascii="Cambria Math" w:hAnsi="Cambria Math"/>
                </w:rPr>
                <m:t> </m:t>
              </m:r>
              <m:r>
                <m:rPr>
                  <m:sty m:val="p"/>
                </m:rPr>
                <w:rPr>
                  <w:rFonts w:ascii="Cambria Math" w:hAnsi="Cambria Math"/>
                </w:rPr>
                <m:t>s</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r>
                    <m:rPr>
                      <m:sty m:val="p"/>
                    </m:rPr>
                    <w:rPr>
                      <w:rFonts w:ascii="Cambria Math" w:hAnsi="Cambria Math"/>
                    </w:rPr>
                    <m:t>1</m:t>
                  </m:r>
                </m:sup>
              </m:sSup>
              <m:r>
                <m:rPr>
                  <m:sty m:val="p"/>
                </m:rPr>
                <w:rPr>
                  <w:rFonts w:ascii="Cambria Math" w:hAnsi="Cambria Math"/>
                </w:rPr>
                <m:t> </m:t>
              </m:r>
              <m:r>
                <m:rPr>
                  <m:sty m:val="p"/>
                </m:rPr>
                <w:rPr>
                  <w:rFonts w:ascii="Cambria Math" w:hAnsi="Cambria Math"/>
                </w:rPr>
                <m:t>Ge</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r>
                    <m:rPr>
                      <m:sty m:val="p"/>
                    </m:rPr>
                    <w:rPr>
                      <w:rFonts w:ascii="Cambria Math" w:hAnsi="Cambria Math"/>
                    </w:rPr>
                    <m:t>1</m:t>
                  </m:r>
                </m:sup>
              </m:sSup>
            </m:e>
          </m:d>
          <m:r>
            <m:rPr>
              <m:sty m:val="p"/>
            </m:rPr>
            <w:rPr>
              <w:rFonts w:ascii="Cambria Math" w:hAnsi="Cambria Math"/>
            </w:rPr>
            <m:t>,</m:t>
          </m:r>
        </m:oMath>
      </m:oMathPara>
    </w:p>
    <w:p w14:paraId="764CAE0E" w14:textId="314E4A1C" w:rsidR="003C35D5" w:rsidRDefault="00D57FCB">
      <w:pPr>
        <w:pStyle w:val="FirstParagraph"/>
      </w:pPr>
      <w:r>
        <w:t>where</w:t>
      </w:r>
      <w:r w:rsidR="009D496F">
        <w:t xml:space="preserve"> </w:t>
      </w:r>
      <m:oMath>
        <m:r>
          <w:rPr>
            <w:rFonts w:ascii="Cambria Math" w:hAnsi="Cambria Math"/>
          </w:rPr>
          <m:t>T</m:t>
        </m:r>
      </m:oMath>
      <w:r w:rsidR="009D496F">
        <w:t xml:space="preserve"> </w:t>
      </w:r>
      <w:r>
        <w:t xml:space="preserve">is </w:t>
      </w:r>
      <w:r w:rsidR="009D496F">
        <w:t xml:space="preserve">the kinetic energy per nucleon and P = √(T(T + 2E₀)) is the corresponding particle rigidity, in which the LIS spectral shape is evaluated (E₀ is the proton rest energy, defined below). The shape is parameterised in rigidity rather than in kinetic energy. Heliospheric modulation at force-field potential </w:t>
      </w:r>
      <m:oMath>
        <m:r>
          <w:rPr>
            <w:rFonts w:ascii="Cambria Math" w:hAnsi="Cambria Math"/>
          </w:rPr>
          <m:t>ϕ</m:t>
        </m:r>
      </m:oMath>
      <w:r w:rsidR="009D496F">
        <w:t xml:space="preserve"> </w:t>
      </w:r>
      <w:r w:rsidR="009D496F">
        <w:t>(in MV) maps the LIS to the near-lunar differential intensity,</w:t>
      </w:r>
    </w:p>
    <w:p w14:paraId="76BE4911" w14:textId="77777777" w:rsidR="003C35D5" w:rsidRDefault="009D496F">
      <w:pPr>
        <w:pStyle w:val="BodyText"/>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LIS</m:t>
              </m:r>
            </m:sub>
          </m:sSub>
          <m:r>
            <m:rPr>
              <m:sty m:val="p"/>
            </m:rPr>
            <w:rPr>
              <w:rFonts w:ascii="Cambria Math" w:hAnsi="Cambria Math"/>
            </w:rPr>
            <m:t>(</m:t>
          </m:r>
          <m:r>
            <w:rPr>
              <w:rFonts w:ascii="Cambria Math" w:hAnsi="Cambria Math"/>
            </w:rPr>
            <m:t>T</m:t>
          </m:r>
          <m:r>
            <m:rPr>
              <m:sty m:val="p"/>
            </m:rPr>
            <w:rPr>
              <w:rFonts w:ascii="Cambria Math" w:hAnsi="Cambria Math"/>
            </w:rPr>
            <m:t>+Φ)</m:t>
          </m:r>
          <m:r>
            <w:rPr>
              <w:rFonts w:ascii="Cambria Math" w:hAnsi="Cambria Math"/>
            </w:rPr>
            <m:t> </m:t>
          </m:r>
          <m:f>
            <m:fPr>
              <m:ctrlPr>
                <w:rPr>
                  <w:rFonts w:ascii="Cambria Math" w:hAnsi="Cambria Math"/>
                </w:rPr>
              </m:ctrlPr>
            </m:fPr>
            <m:num>
              <m:r>
                <w:rPr>
                  <w:rFonts w:ascii="Cambria Math" w:hAnsi="Cambria Math"/>
                </w:rPr>
                <m:t>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num>
            <m:den>
              <m:r>
                <m:rPr>
                  <m:sty m:val="p"/>
                </m:rPr>
                <w:rPr>
                  <w:rFonts w:ascii="Cambria Math" w:hAnsi="Cambria Math"/>
                </w:rPr>
                <m:t>(</m:t>
              </m:r>
              <m:r>
                <w:rPr>
                  <w:rFonts w:ascii="Cambria Math" w:hAnsi="Cambria Math"/>
                </w:rPr>
                <m:t>T</m:t>
              </m:r>
              <m:r>
                <m:rPr>
                  <m:sty m:val="p"/>
                </m:rPr>
                <w:rPr>
                  <w:rFonts w:ascii="Cambria Math" w:hAnsi="Cambria Math"/>
                </w:rPr>
                <m:t>+Φ)</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+Φ+</m:t>
              </m:r>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Φ=</m:t>
          </m:r>
          <m:f>
            <m:fPr>
              <m:ctrlPr>
                <w:rPr>
                  <w:rFonts w:ascii="Cambria Math" w:hAnsi="Cambria Math"/>
                </w:rPr>
              </m:ctrlPr>
            </m:fPr>
            <m:num>
              <m:r>
                <w:rPr>
                  <w:rFonts w:ascii="Cambria Math" w:hAnsi="Cambria Math"/>
                </w:rPr>
                <m:t>Z</m:t>
              </m:r>
            </m:num>
            <m:den>
              <m:r>
                <w:rPr>
                  <w:rFonts w:ascii="Cambria Math" w:hAnsi="Cambria Math"/>
                </w:rPr>
                <m:t>A</m:t>
              </m:r>
            </m:den>
          </m:f>
          <m:r>
            <w:rPr>
              <w:rFonts w:ascii="Cambria Math" w:hAnsi="Cambria Math"/>
            </w:rPr>
            <m:t> </m:t>
          </m:r>
          <m:r>
            <w:rPr>
              <w:rFonts w:ascii="Cambria Math" w:hAnsi="Cambria Math"/>
            </w:rPr>
            <m:t>ϕ</m:t>
          </m:r>
          <m:r>
            <m:rPr>
              <m:sty m:val="p"/>
            </m:rPr>
            <w:rPr>
              <w:rFonts w:ascii="Cambria Math" w:hAnsi="Cambria Math"/>
            </w:rPr>
            <m:t>,</m:t>
          </m:r>
        </m:oMath>
      </m:oMathPara>
    </w:p>
    <w:p w14:paraId="7D060649" w14:textId="77777777" w:rsidR="003C35D5" w:rsidRDefault="009D496F">
      <w:pPr>
        <w:pStyle w:val="FirstParagraph"/>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938.272</m:t>
        </m:r>
      </m:oMath>
      <w:r>
        <w:t xml:space="preserve"> MeV is the proton rest energy [PDG] and </w:t>
      </w:r>
      <m:oMath>
        <m:r>
          <w:rPr>
            <w:rFonts w:ascii="Cambria Math" w:hAnsi="Cambria Math"/>
          </w:rPr>
          <m:t>Z</m:t>
        </m:r>
        <m:r>
          <m:rPr>
            <m:sty m:val="p"/>
          </m:rPr>
          <w:rPr>
            <w:rFonts w:ascii="Cambria Math" w:hAnsi="Cambria Math"/>
          </w:rPr>
          <m:t>,</m:t>
        </m:r>
        <m:r>
          <w:rPr>
            <w:rFonts w:ascii="Cambria Math" w:hAnsi="Cambria Math"/>
          </w:rPr>
          <m:t>A</m:t>
        </m:r>
      </m:oMath>
      <w:r>
        <w:t xml:space="preserve"> the charge and mass number. A worst-case deep solar minimum was adopted, </w:t>
      </w:r>
      <m:oMath>
        <m:r>
          <w:rPr>
            <w:rFonts w:ascii="Cambria Math" w:hAnsi="Cambria Math"/>
          </w:rPr>
          <m:t>ϕ</m:t>
        </m:r>
        <m:r>
          <m:rPr>
            <m:sty m:val="p"/>
          </m:rPr>
          <w:rPr>
            <w:rFonts w:ascii="Cambria Math" w:hAnsi="Cambria Math"/>
          </w:rPr>
          <m:t>=</m:t>
        </m:r>
        <m:r>
          <w:rPr>
            <w:rFonts w:ascii="Cambria Math" w:hAnsi="Cambria Math"/>
          </w:rPr>
          <m:t>400</m:t>
        </m:r>
      </m:oMath>
      <w:r>
        <w:t xml:space="preserve"> MV, representative of the 2019–2020 minimum. Heavier species were sampled under a “universal in energy-per-nucleon” </w:t>
      </w:r>
      <w:r>
        <w:t>ansatz: each element borrows the proton LIS shape evaluated at its own per-nucleon modulated energy, with the species contribution set by its integral abundance (Section 2.5). [</w:t>
      </w:r>
      <w:r>
        <w:rPr>
          <w:i/>
          <w:iCs/>
        </w:rPr>
        <w:t>A rigidity-matched per-element variant is implemented as a sensitivity test; if you report it, describe it here as the ISO 15390 / Matthiä-type propagation-variable alternative [ISO15390].</w:t>
      </w:r>
      <w:r>
        <w:t>]</w:t>
      </w:r>
    </w:p>
    <w:p w14:paraId="6B2C1B1F" w14:textId="77777777" w:rsidR="003C35D5" w:rsidRDefault="009D496F">
      <w:pPr>
        <w:pStyle w:val="BodyText"/>
      </w:pPr>
      <w:r>
        <w:t>The heavy-ion field was represented by five transported species standing in for the full charge range, with number abundances relative to hydrogen taken near solar minimum [Simpson1983, George2009]:</w:t>
      </w:r>
    </w:p>
    <w:tbl>
      <w:tblPr>
        <w:tblStyle w:val="Table"/>
        <w:tblW w:w="5000" w:type="pct"/>
        <w:tblLayout w:type="fixed"/>
        <w:tblLook w:val="0020" w:firstRow="1" w:lastRow="0" w:firstColumn="0" w:lastColumn="0" w:noHBand="0" w:noVBand="0"/>
      </w:tblPr>
      <w:tblGrid>
        <w:gridCol w:w="894"/>
        <w:gridCol w:w="2171"/>
        <w:gridCol w:w="638"/>
        <w:gridCol w:w="638"/>
        <w:gridCol w:w="2554"/>
        <w:gridCol w:w="2681"/>
      </w:tblGrid>
      <w:tr w:rsidR="003C35D5" w14:paraId="70146055" w14:textId="77777777" w:rsidTr="003C35D5">
        <w:trPr>
          <w:cnfStyle w:val="100000000000" w:firstRow="1" w:lastRow="0" w:firstColumn="0" w:lastColumn="0" w:oddVBand="0" w:evenVBand="0" w:oddHBand="0" w:evenHBand="0" w:firstRowFirstColumn="0" w:firstRowLastColumn="0" w:lastRowFirstColumn="0" w:lastRowLastColumn="0"/>
          <w:tblHeader/>
        </w:trPr>
        <w:tc>
          <w:tcPr>
            <w:tcW w:w="739" w:type="dxa"/>
          </w:tcPr>
          <w:p w14:paraId="1619772A" w14:textId="77777777" w:rsidR="003C35D5" w:rsidRDefault="009D496F">
            <w:pPr>
              <w:pStyle w:val="Compact"/>
            </w:pPr>
            <w:r>
              <w:t>Group</w:t>
            </w:r>
          </w:p>
        </w:tc>
        <w:tc>
          <w:tcPr>
            <w:tcW w:w="1795" w:type="dxa"/>
          </w:tcPr>
          <w:p w14:paraId="69FD4652" w14:textId="77777777" w:rsidR="003C35D5" w:rsidRDefault="009D496F">
            <w:pPr>
              <w:pStyle w:val="Compact"/>
            </w:pPr>
            <w:r>
              <w:t>Transported ion</w:t>
            </w:r>
          </w:p>
        </w:tc>
        <w:tc>
          <w:tcPr>
            <w:tcW w:w="528" w:type="dxa"/>
          </w:tcPr>
          <w:p w14:paraId="347F9D3E" w14:textId="77777777" w:rsidR="003C35D5" w:rsidRDefault="009D496F">
            <w:pPr>
              <w:pStyle w:val="Compact"/>
            </w:pPr>
            <m:oMathPara>
              <m:oMath>
                <m:r>
                  <w:rPr>
                    <w:rFonts w:ascii="Cambria Math" w:hAnsi="Cambria Math"/>
                  </w:rPr>
                  <m:t>Z</m:t>
                </m:r>
              </m:oMath>
            </m:oMathPara>
          </w:p>
        </w:tc>
        <w:tc>
          <w:tcPr>
            <w:tcW w:w="528" w:type="dxa"/>
          </w:tcPr>
          <w:p w14:paraId="1EC02B1E" w14:textId="77777777" w:rsidR="003C35D5" w:rsidRDefault="009D496F">
            <w:pPr>
              <w:pStyle w:val="Compact"/>
            </w:pPr>
            <m:oMathPara>
              <m:oMath>
                <m:r>
                  <w:rPr>
                    <w:rFonts w:ascii="Cambria Math" w:hAnsi="Cambria Math"/>
                  </w:rPr>
                  <m:t>A</m:t>
                </m:r>
              </m:oMath>
            </m:oMathPara>
          </w:p>
        </w:tc>
        <w:tc>
          <w:tcPr>
            <w:tcW w:w="2112" w:type="dxa"/>
          </w:tcPr>
          <w:p w14:paraId="4D42DE56" w14:textId="77777777" w:rsidR="003C35D5" w:rsidRDefault="009D496F">
            <w:pPr>
              <w:pStyle w:val="Compact"/>
            </w:pPr>
            <w:r>
              <w:t>Abundance (rel. H)</w:t>
            </w:r>
          </w:p>
        </w:tc>
        <w:tc>
          <w:tcPr>
            <w:tcW w:w="2217" w:type="dxa"/>
          </w:tcPr>
          <w:p w14:paraId="19586B2D" w14:textId="77777777" w:rsidR="003C35D5" w:rsidRDefault="009D496F">
            <w:pPr>
              <w:pStyle w:val="Compact"/>
            </w:pPr>
            <w:r>
              <w:t>Charges represented</w:t>
            </w:r>
          </w:p>
        </w:tc>
      </w:tr>
      <w:tr w:rsidR="003C35D5" w14:paraId="7F1F01B3" w14:textId="77777777">
        <w:tc>
          <w:tcPr>
            <w:tcW w:w="739" w:type="dxa"/>
          </w:tcPr>
          <w:p w14:paraId="58C0858D" w14:textId="77777777" w:rsidR="003C35D5" w:rsidRDefault="009D496F">
            <w:pPr>
              <w:pStyle w:val="Compact"/>
            </w:pPr>
            <w:r>
              <w:t>Z=1</w:t>
            </w:r>
          </w:p>
        </w:tc>
        <w:tc>
          <w:tcPr>
            <w:tcW w:w="1795" w:type="dxa"/>
          </w:tcPr>
          <w:p w14:paraId="6CD068FB" w14:textId="77777777" w:rsidR="003C35D5" w:rsidRDefault="009D496F">
            <w:pPr>
              <w:pStyle w:val="Compact"/>
            </w:pPr>
            <w:r>
              <w:t>proton</w:t>
            </w:r>
          </w:p>
        </w:tc>
        <w:tc>
          <w:tcPr>
            <w:tcW w:w="528" w:type="dxa"/>
          </w:tcPr>
          <w:p w14:paraId="12586191" w14:textId="77777777" w:rsidR="003C35D5" w:rsidRDefault="009D496F">
            <w:pPr>
              <w:pStyle w:val="Compact"/>
            </w:pPr>
            <w:r>
              <w:t>1</w:t>
            </w:r>
          </w:p>
        </w:tc>
        <w:tc>
          <w:tcPr>
            <w:tcW w:w="528" w:type="dxa"/>
          </w:tcPr>
          <w:p w14:paraId="63A3BF3B" w14:textId="77777777" w:rsidR="003C35D5" w:rsidRDefault="009D496F">
            <w:pPr>
              <w:pStyle w:val="Compact"/>
            </w:pPr>
            <w:r>
              <w:t>1</w:t>
            </w:r>
          </w:p>
        </w:tc>
        <w:tc>
          <w:tcPr>
            <w:tcW w:w="2112" w:type="dxa"/>
          </w:tcPr>
          <w:p w14:paraId="1BEC262F" w14:textId="77777777" w:rsidR="003C35D5" w:rsidRDefault="009D496F">
            <w:pPr>
              <w:pStyle w:val="Compact"/>
            </w:pPr>
            <w:r>
              <w:t>1.0</w:t>
            </w:r>
          </w:p>
        </w:tc>
        <w:tc>
          <w:tcPr>
            <w:tcW w:w="2217" w:type="dxa"/>
          </w:tcPr>
          <w:p w14:paraId="4D819431" w14:textId="77777777" w:rsidR="003C35D5" w:rsidRDefault="009D496F">
            <w:pPr>
              <w:pStyle w:val="Compact"/>
            </w:pPr>
            <w:r>
              <w:t>H</w:t>
            </w:r>
          </w:p>
        </w:tc>
      </w:tr>
      <w:tr w:rsidR="003C35D5" w14:paraId="6889F375" w14:textId="77777777">
        <w:tc>
          <w:tcPr>
            <w:tcW w:w="739" w:type="dxa"/>
          </w:tcPr>
          <w:p w14:paraId="6391316D" w14:textId="77777777" w:rsidR="003C35D5" w:rsidRDefault="009D496F">
            <w:pPr>
              <w:pStyle w:val="Compact"/>
            </w:pPr>
            <w:r>
              <w:t>Z=2</w:t>
            </w:r>
          </w:p>
        </w:tc>
        <w:tc>
          <w:tcPr>
            <w:tcW w:w="1795" w:type="dxa"/>
          </w:tcPr>
          <w:p w14:paraId="5422171C" w14:textId="77777777" w:rsidR="003C35D5" w:rsidRDefault="009D496F">
            <w:pPr>
              <w:pStyle w:val="Compact"/>
            </w:pPr>
            <m:oMathPara>
              <m:oMath>
                <m:r>
                  <w:rPr>
                    <w:rFonts w:ascii="Cambria Math" w:hAnsi="Cambria Math"/>
                  </w:rPr>
                  <m:t>α</m:t>
                </m:r>
              </m:oMath>
            </m:oMathPara>
          </w:p>
        </w:tc>
        <w:tc>
          <w:tcPr>
            <w:tcW w:w="528" w:type="dxa"/>
          </w:tcPr>
          <w:p w14:paraId="3ADD7852" w14:textId="77777777" w:rsidR="003C35D5" w:rsidRDefault="009D496F">
            <w:pPr>
              <w:pStyle w:val="Compact"/>
            </w:pPr>
            <w:r>
              <w:t>2</w:t>
            </w:r>
          </w:p>
        </w:tc>
        <w:tc>
          <w:tcPr>
            <w:tcW w:w="528" w:type="dxa"/>
          </w:tcPr>
          <w:p w14:paraId="5D5DB1E3" w14:textId="77777777" w:rsidR="003C35D5" w:rsidRDefault="009D496F">
            <w:pPr>
              <w:pStyle w:val="Compact"/>
            </w:pPr>
            <w:r>
              <w:t>4</w:t>
            </w:r>
          </w:p>
        </w:tc>
        <w:tc>
          <w:tcPr>
            <w:tcW w:w="2112" w:type="dxa"/>
          </w:tcPr>
          <w:p w14:paraId="6E7E31F8" w14:textId="77777777" w:rsidR="003C35D5" w:rsidRDefault="009D496F">
            <w:pPr>
              <w:pStyle w:val="Compact"/>
            </w:pPr>
            <w:r>
              <w:t>0.105</w:t>
            </w:r>
          </w:p>
        </w:tc>
        <w:tc>
          <w:tcPr>
            <w:tcW w:w="2217" w:type="dxa"/>
          </w:tcPr>
          <w:p w14:paraId="7A4FF57F" w14:textId="77777777" w:rsidR="003C35D5" w:rsidRDefault="009D496F">
            <w:pPr>
              <w:pStyle w:val="Compact"/>
            </w:pPr>
            <w:r>
              <w:t>He</w:t>
            </w:r>
          </w:p>
        </w:tc>
      </w:tr>
      <w:tr w:rsidR="003C35D5" w14:paraId="7DDB2D05" w14:textId="77777777">
        <w:tc>
          <w:tcPr>
            <w:tcW w:w="739" w:type="dxa"/>
          </w:tcPr>
          <w:p w14:paraId="0F4DC61E" w14:textId="77777777" w:rsidR="003C35D5" w:rsidRDefault="009D496F">
            <w:pPr>
              <w:pStyle w:val="Compact"/>
            </w:pPr>
            <w:r>
              <w:t>CNO</w:t>
            </w:r>
          </w:p>
        </w:tc>
        <w:tc>
          <w:tcPr>
            <w:tcW w:w="1795" w:type="dxa"/>
          </w:tcPr>
          <w:p w14:paraId="35B634FB" w14:textId="77777777" w:rsidR="003C35D5" w:rsidRDefault="009D496F">
            <w:pPr>
              <w:pStyle w:val="Compact"/>
            </w:pPr>
            <m:oMath>
              <m:sSup>
                <m:sSupPr>
                  <m:ctrlPr>
                    <w:rPr>
                      <w:rFonts w:ascii="Cambria Math" w:hAnsi="Cambria Math"/>
                    </w:rPr>
                  </m:ctrlPr>
                </m:sSupPr>
                <m:e>
                  <m:r>
                    <w:rPr>
                      <w:rFonts w:ascii="Cambria Math" w:hAnsi="Cambria Math"/>
                    </w:rPr>
                    <m:t>​</m:t>
                  </m:r>
                </m:e>
                <m:sup>
                  <m:r>
                    <w:rPr>
                      <w:rFonts w:ascii="Cambria Math" w:hAnsi="Cambria Math"/>
                    </w:rPr>
                    <m:t>12</m:t>
                  </m:r>
                </m:sup>
              </m:sSup>
            </m:oMath>
            <w:r>
              <w:t>C</w:t>
            </w:r>
          </w:p>
        </w:tc>
        <w:tc>
          <w:tcPr>
            <w:tcW w:w="528" w:type="dxa"/>
          </w:tcPr>
          <w:p w14:paraId="2A1B50FC" w14:textId="77777777" w:rsidR="003C35D5" w:rsidRDefault="009D496F">
            <w:pPr>
              <w:pStyle w:val="Compact"/>
            </w:pPr>
            <w:r>
              <w:t>6</w:t>
            </w:r>
          </w:p>
        </w:tc>
        <w:tc>
          <w:tcPr>
            <w:tcW w:w="528" w:type="dxa"/>
          </w:tcPr>
          <w:p w14:paraId="74FE982E" w14:textId="77777777" w:rsidR="003C35D5" w:rsidRDefault="009D496F">
            <w:pPr>
              <w:pStyle w:val="Compact"/>
            </w:pPr>
            <w:r>
              <w:t>12</w:t>
            </w:r>
          </w:p>
        </w:tc>
        <w:tc>
          <w:tcPr>
            <w:tcW w:w="2112" w:type="dxa"/>
          </w:tcPr>
          <w:p w14:paraId="6621053C" w14:textId="77777777" w:rsidR="003C35D5" w:rsidRDefault="009D496F">
            <w:pPr>
              <w:pStyle w:val="Compact"/>
            </w:pPr>
            <w:r>
              <w:t>0.033</w:t>
            </w:r>
          </w:p>
        </w:tc>
        <w:tc>
          <w:tcPr>
            <w:tcW w:w="2217" w:type="dxa"/>
          </w:tcPr>
          <w:p w14:paraId="1BD2B7A0" w14:textId="77777777" w:rsidR="003C35D5" w:rsidRDefault="009D496F">
            <w:pPr>
              <w:pStyle w:val="Compact"/>
            </w:pPr>
            <w:r>
              <w:t>Z = 3–9</w:t>
            </w:r>
          </w:p>
        </w:tc>
      </w:tr>
      <w:tr w:rsidR="003C35D5" w14:paraId="48BB8F4C" w14:textId="77777777">
        <w:tc>
          <w:tcPr>
            <w:tcW w:w="739" w:type="dxa"/>
          </w:tcPr>
          <w:p w14:paraId="5C5B05FC" w14:textId="77777777" w:rsidR="003C35D5" w:rsidRDefault="009D496F">
            <w:pPr>
              <w:pStyle w:val="Compact"/>
            </w:pPr>
            <w:r>
              <w:t>Ne–Ca</w:t>
            </w:r>
          </w:p>
        </w:tc>
        <w:tc>
          <w:tcPr>
            <w:tcW w:w="1795" w:type="dxa"/>
          </w:tcPr>
          <w:p w14:paraId="2B01876A" w14:textId="77777777" w:rsidR="003C35D5" w:rsidRDefault="009D496F">
            <w:pPr>
              <w:pStyle w:val="Compact"/>
            </w:pPr>
            <m:oMath>
              <m:sSup>
                <m:sSupPr>
                  <m:ctrlPr>
                    <w:rPr>
                      <w:rFonts w:ascii="Cambria Math" w:hAnsi="Cambria Math"/>
                    </w:rPr>
                  </m:ctrlPr>
                </m:sSupPr>
                <m:e>
                  <m:r>
                    <w:rPr>
                      <w:rFonts w:ascii="Cambria Math" w:hAnsi="Cambria Math"/>
                    </w:rPr>
                    <m:t>​</m:t>
                  </m:r>
                </m:e>
                <m:sup>
                  <m:r>
                    <w:rPr>
                      <w:rFonts w:ascii="Cambria Math" w:hAnsi="Cambria Math"/>
                    </w:rPr>
                    <m:t>28</m:t>
                  </m:r>
                </m:sup>
              </m:sSup>
            </m:oMath>
            <w:r>
              <w:t>Si</w:t>
            </w:r>
          </w:p>
        </w:tc>
        <w:tc>
          <w:tcPr>
            <w:tcW w:w="528" w:type="dxa"/>
          </w:tcPr>
          <w:p w14:paraId="74B4B270" w14:textId="77777777" w:rsidR="003C35D5" w:rsidRDefault="009D496F">
            <w:pPr>
              <w:pStyle w:val="Compact"/>
            </w:pPr>
            <w:r>
              <w:t>14</w:t>
            </w:r>
          </w:p>
        </w:tc>
        <w:tc>
          <w:tcPr>
            <w:tcW w:w="528" w:type="dxa"/>
          </w:tcPr>
          <w:p w14:paraId="532E7716" w14:textId="77777777" w:rsidR="003C35D5" w:rsidRDefault="009D496F">
            <w:pPr>
              <w:pStyle w:val="Compact"/>
            </w:pPr>
            <w:r>
              <w:t>28</w:t>
            </w:r>
          </w:p>
        </w:tc>
        <w:tc>
          <w:tcPr>
            <w:tcW w:w="2112" w:type="dxa"/>
          </w:tcPr>
          <w:p w14:paraId="389B5F55" w14:textId="77777777" w:rsidR="003C35D5" w:rsidRDefault="009D496F">
            <w:pPr>
              <w:pStyle w:val="Compact"/>
            </w:pPr>
            <w:r>
              <w:t>0.012</w:t>
            </w:r>
          </w:p>
        </w:tc>
        <w:tc>
          <w:tcPr>
            <w:tcW w:w="2217" w:type="dxa"/>
          </w:tcPr>
          <w:p w14:paraId="3BA51FA3" w14:textId="77777777" w:rsidR="003C35D5" w:rsidRDefault="009D496F">
            <w:pPr>
              <w:pStyle w:val="Compact"/>
            </w:pPr>
            <w:r>
              <w:t>Z = 10–20</w:t>
            </w:r>
          </w:p>
        </w:tc>
      </w:tr>
      <w:tr w:rsidR="003C35D5" w14:paraId="7C361B2B" w14:textId="77777777">
        <w:tc>
          <w:tcPr>
            <w:tcW w:w="739" w:type="dxa"/>
          </w:tcPr>
          <w:p w14:paraId="5E7543B4" w14:textId="77777777" w:rsidR="003C35D5" w:rsidRDefault="009D496F">
            <w:pPr>
              <w:pStyle w:val="Compact"/>
            </w:pPr>
            <w:r>
              <w:t>Fe</w:t>
            </w:r>
          </w:p>
        </w:tc>
        <w:tc>
          <w:tcPr>
            <w:tcW w:w="1795" w:type="dxa"/>
          </w:tcPr>
          <w:p w14:paraId="53B33C36" w14:textId="77777777" w:rsidR="003C35D5" w:rsidRDefault="009D496F">
            <w:pPr>
              <w:pStyle w:val="Compact"/>
            </w:pPr>
            <m:oMath>
              <m:sSup>
                <m:sSupPr>
                  <m:ctrlPr>
                    <w:rPr>
                      <w:rFonts w:ascii="Cambria Math" w:hAnsi="Cambria Math"/>
                    </w:rPr>
                  </m:ctrlPr>
                </m:sSupPr>
                <m:e>
                  <m:r>
                    <w:rPr>
                      <w:rFonts w:ascii="Cambria Math" w:hAnsi="Cambria Math"/>
                    </w:rPr>
                    <m:t>​</m:t>
                  </m:r>
                </m:e>
                <m:sup>
                  <m:r>
                    <w:rPr>
                      <w:rFonts w:ascii="Cambria Math" w:hAnsi="Cambria Math"/>
                    </w:rPr>
                    <m:t>56</m:t>
                  </m:r>
                </m:sup>
              </m:sSup>
            </m:oMath>
            <w:r>
              <w:t>Fe</w:t>
            </w:r>
          </w:p>
        </w:tc>
        <w:tc>
          <w:tcPr>
            <w:tcW w:w="528" w:type="dxa"/>
          </w:tcPr>
          <w:p w14:paraId="1E19CC12" w14:textId="77777777" w:rsidR="003C35D5" w:rsidRDefault="009D496F">
            <w:pPr>
              <w:pStyle w:val="Compact"/>
            </w:pPr>
            <w:r>
              <w:t>26</w:t>
            </w:r>
          </w:p>
        </w:tc>
        <w:tc>
          <w:tcPr>
            <w:tcW w:w="528" w:type="dxa"/>
          </w:tcPr>
          <w:p w14:paraId="5EB689F5" w14:textId="77777777" w:rsidR="003C35D5" w:rsidRDefault="009D496F">
            <w:pPr>
              <w:pStyle w:val="Compact"/>
            </w:pPr>
            <w:r>
              <w:t>56</w:t>
            </w:r>
          </w:p>
        </w:tc>
        <w:tc>
          <w:tcPr>
            <w:tcW w:w="2112" w:type="dxa"/>
          </w:tcPr>
          <w:p w14:paraId="1BD7576B" w14:textId="77777777" w:rsidR="003C35D5" w:rsidRDefault="009D496F">
            <w:pPr>
              <w:pStyle w:val="Compact"/>
            </w:pPr>
            <w:r>
              <w:t>0.0020</w:t>
            </w:r>
          </w:p>
        </w:tc>
        <w:tc>
          <w:tcPr>
            <w:tcW w:w="2217" w:type="dxa"/>
          </w:tcPr>
          <w:p w14:paraId="2F416E6D" w14:textId="77777777" w:rsidR="003C35D5" w:rsidRDefault="009D496F">
            <w:pPr>
              <w:pStyle w:val="Compact"/>
            </w:pPr>
            <w:r>
              <w:t>Z = 21–28</w:t>
            </w:r>
          </w:p>
        </w:tc>
      </w:tr>
    </w:tbl>
    <w:p w14:paraId="42BD3D14" w14:textId="77777777" w:rsidR="003C35D5" w:rsidRDefault="009D496F">
      <w:pPr>
        <w:pStyle w:val="BodyText"/>
      </w:pPr>
      <w:r>
        <w:t>This lumping trades per-element fidelity for tractability; because dose-equivalent from HZE ions scales steeply with charge, the Fe group in particular is a deliberate representative of the high-LET Z = 21–28 peak rather than iron alone. The abundances are order-of-magnitude group values and are a stated source of systematic uncertainty.</w:t>
      </w:r>
    </w:p>
    <w:p w14:paraId="70DCF6DD" w14:textId="28B1116E" w:rsidR="003C35D5" w:rsidRDefault="009D496F">
      <w:pPr>
        <w:pStyle w:val="BodyText"/>
      </w:pPr>
      <w:r>
        <w:t xml:space="preserve">Each species was sampled up to a per-nucleon ceiling of </w:t>
      </w:r>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r>
          <m:rPr>
            <m:sty m:val="p"/>
          </m:rPr>
          <w:rPr>
            <w:rFonts w:ascii="Cambria Math" w:hAnsi="Cambria Math"/>
          </w:rPr>
          <m:t>=</m:t>
        </m:r>
        <m:r>
          <w:rPr>
            <w:rFonts w:ascii="Cambria Math" w:hAnsi="Cambria Math"/>
          </w:rPr>
          <m:t>20</m:t>
        </m:r>
      </m:oMath>
      <w:r>
        <w:t xml:space="preserve"> GeV/nucleon. This ceiling is a compute compromise, not a physical cutoff</w:t>
      </w:r>
      <w:r w:rsidR="00471F05">
        <w:t>,</w:t>
      </w:r>
      <w:r>
        <w:t xml:space="preserve"> because Geant4 shower cost scales with </w:t>
      </w:r>
      <w:r>
        <w:rPr>
          <w:i/>
          <w:iCs/>
        </w:rPr>
        <w:t>total</w:t>
      </w:r>
      <w:r>
        <w:t xml:space="preserve"> energy while dose scales per nucleon, the heaviest ion (Fe, </w:t>
      </w:r>
      <m:oMath>
        <m:r>
          <w:rPr>
            <w:rFonts w:ascii="Cambria Math" w:hAnsi="Cambria Math"/>
          </w:rPr>
          <m:t>A</m:t>
        </m:r>
        <m:r>
          <m:rPr>
            <m:sty m:val="p"/>
          </m:rPr>
          <w:rPr>
            <w:rFonts w:ascii="Cambria Math" w:hAnsi="Cambria Math"/>
          </w:rPr>
          <m:t>=</m:t>
        </m:r>
        <m:r>
          <w:rPr>
            <w:rFonts w:ascii="Cambria Math" w:hAnsi="Cambria Math"/>
          </w:rPr>
          <m:t>56</m:t>
        </m:r>
      </m:oMath>
      <w:r>
        <w:t xml:space="preserve">) </w:t>
      </w:r>
      <w:r>
        <w:lastRenderedPageBreak/>
        <w:t>already reaches 1.1 TeV at this ceiling, and higher-energy Fe showers become intractable. The truncation is dose-conservative and quantified: for the proton component it under-reports the skin dose by ≈5.6% relative to a 100 GeV/nucleon ceiling, because the dose is tail-dominated</w:t>
      </w:r>
      <w:r w:rsidR="00471F05">
        <w:t>. T</w:t>
      </w:r>
      <w:r>
        <w:t>he 5–20 GeV/nucleon slice carries ≈4% of the flux but ≈22% of the skin dose ‹cf›. The bias is reported explicitly rather than absorbed into the calibration.</w:t>
      </w:r>
    </w:p>
    <w:p w14:paraId="67F76AE1" w14:textId="01926452" w:rsidR="003C35D5" w:rsidRDefault="009D496F">
      <w:pPr>
        <w:pStyle w:val="BodyText"/>
      </w:pPr>
      <w:r>
        <w:rPr>
          <w:b/>
          <w:bCs/>
        </w:rPr>
        <w:t>Angular distribution.</w:t>
      </w:r>
      <w:r>
        <w:t xml:space="preserve"> The incident field is isotropic over the unobstructed upper hemisphere. It was discretised into a set of parallel disc beams arranged in zenith rings </w:t>
      </w:r>
      <m:oMath>
        <m:r>
          <m:rPr>
            <m:sty m:val="p"/>
          </m:rPr>
          <w:rPr>
            <w:rFonts w:ascii="Cambria Math" w:hAnsi="Cambria Math"/>
          </w:rPr>
          <m:t>×</m:t>
        </m:r>
      </m:oMath>
      <w:r>
        <w:t xml:space="preserve"> azimuthal sectors, each firing inward. Because the flux crossing a flat surface from an isotropic field follows the Lambert cosine law, the flux from a zenith band </w:t>
      </w:r>
      <m:oMath>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oMath>
      <w:r>
        <w:t xml:space="preserve"> is proportional to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ring boundaries were therefore spaced equally in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 xml:space="preserve"> so that every ring carries equal flux and receives an equal number of histories, giving a directionally exact and statistically uniform illumination [DobyndeGuo2021]. This construction makes the effective slant-path shielding</w:t>
      </w:r>
      <w:r w:rsidR="00FC3FFD">
        <w:t>,</w:t>
      </w:r>
      <w:r>
        <w:t xml:space="preserve"> the flux-weighted </w:t>
      </w:r>
      <m:oMath>
        <m:r>
          <m:rPr>
            <m:sty m:val="p"/>
          </m:rPr>
          <w:rPr>
            <w:rFonts w:ascii="Cambria Math" w:hAnsi="Cambria Math"/>
          </w:rPr>
          <m:t>⟨</m:t>
        </m:r>
        <m:r>
          <w:rPr>
            <w:rFonts w:ascii="Cambria Math" w:hAnsi="Cambria Math"/>
          </w:rPr>
          <m:t>1</m:t>
        </m:r>
        <m:r>
          <m:rPr>
            <m:sty m:val="p"/>
          </m:rPr>
          <w:rPr>
            <w:rFonts w:ascii="Cambria Math" w:hAnsi="Cambria Math"/>
          </w:rPr>
          <m:t>/cos</m:t>
        </m:r>
        <m:r>
          <w:rPr>
            <w:rFonts w:ascii="Cambria Math" w:hAnsi="Cambria Math"/>
          </w:rPr>
          <m:t>θ</m:t>
        </m:r>
        <m:r>
          <m:rPr>
            <m:sty m:val="p"/>
          </m:rPr>
          <w:rPr>
            <w:rFonts w:ascii="Cambria Math" w:hAnsi="Cambria Math"/>
          </w:rPr>
          <m:t>⟩</m:t>
        </m:r>
      </m:oMath>
      <w:r>
        <w:t xml:space="preserve"> of the full hemisphere, analytically 2.0</w:t>
      </w:r>
      <w:r w:rsidR="00FC3FFD">
        <w:t>,</w:t>
      </w:r>
      <w:r>
        <w:t xml:space="preserve"> emerge from the geometry rather than being imposed.</w:t>
      </w:r>
    </w:p>
    <w:p>
      <w:pPr>
        <w:pStyle w:val="BodyText"/>
      </w:pPr>
      <w:r>
        <w:t>Source implementation. TOPAS provides a native isotropic-field source (the Environment source type) that emits particles inward from an enclosing sphere under a built-in Lambert cosine angular distribution. That source was deliberately not used here. It illuminates the enclosed geometry over the full 4π solid angle, whereas a habitat resting on the regolith is exposed only over the upper hemisphere — the lower half is occulted by the surface — and the absolute normalisation (§2.7) relies on a fixed-radius outer-fluence gauge that requires the explicit, controlled source tiling described above. The hand-constructed sky-dome reproduces from first principles the same Lambert cosine law that the Environment source applies internally, so the directional weighting is transparent and independently verifiable rather than delegated to a closed implementation — the analytic flux-weighted mean slant depth of 2.0 above is exactly this check. Each constituent disc beam is monodirectional (parallel incidence) and draws its energy from the modulated spectrum of §2.3 through TOPAS's piecewise-linear continuous energy-spectrum sampling, the spectrum being supplied as relative differential intensities dN/dE at a set of energy nodes.</w:t>
      </w:r>
    </w:p>
    <w:p w14:paraId="19CC177A" w14:textId="77777777" w:rsidR="003C35D5" w:rsidRDefault="009D496F">
      <w:pPr>
        <w:pStyle w:val="Heading3"/>
      </w:pPr>
      <w:bookmarkStart w:id="5" w:name="solar-particle-event-source"/>
      <w:bookmarkEnd w:id="4"/>
      <w:r>
        <w:t>2.4 Solar particle event source</w:t>
      </w:r>
    </w:p>
    <w:p w14:paraId="45AD5FB6" w14:textId="77777777" w:rsidR="003C35D5" w:rsidRDefault="009D496F">
      <w:pPr>
        <w:pStyle w:val="FirstParagraph"/>
      </w:pPr>
      <w:r>
        <w:t>Solar particle events (SPEs) were modelled as a directional proton field: a single look direction (the Sun) with a finite angular cone, in contrast to the omnidirectional GCR field. Event-integrated proton fluence spectra for historical reference events [King1974] (e.g. the August 1972 event) drive an acute, event-total assessment. GCR and SPE contributions are assessed and reported separately and are never summed into a single number, reflecting their distinct temporal character (chronic background vs. acute event) a</w:t>
      </w:r>
      <w:r>
        <w:t>nd distinct dosimetric limits [NASASTD3001, NCRP132].</w:t>
      </w:r>
    </w:p>
    <w:p w14:paraId="273DB265" w14:textId="77777777" w:rsidR="003C35D5" w:rsidRDefault="009D496F">
      <w:pPr>
        <w:pStyle w:val="Heading3"/>
      </w:pPr>
      <w:bookmarkStart w:id="6" w:name="dose-quantities-and-quality-factors"/>
      <w:bookmarkEnd w:id="5"/>
      <w:r>
        <w:t>2.5 Dose quantities and quality factors</w:t>
      </w:r>
    </w:p>
    <w:p w14:paraId="04F1880A" w14:textId="77777777" w:rsidR="003C35D5" w:rsidRDefault="009D496F">
      <w:pPr>
        <w:pStyle w:val="FirstParagraph"/>
      </w:pPr>
      <w:r>
        <w:t xml:space="preserve">Three dose quantities were scored. Absorbed dose </w:t>
      </w:r>
      <m:oMath>
        <m:r>
          <w:rPr>
            <w:rFonts w:ascii="Cambria Math" w:hAnsi="Cambria Math"/>
          </w:rPr>
          <m:t>D</m:t>
        </m:r>
      </m:oMath>
      <w:r>
        <w:t xml:space="preserve"> (Gy) was accumulated with the standard TOPAS energy-deposition scorer. Dose-equivalent </w:t>
      </w:r>
      <m:oMath>
        <m:r>
          <w:rPr>
            <w:rFonts w:ascii="Cambria Math" w:hAnsi="Cambria Math"/>
          </w:rPr>
          <m:t>H</m:t>
        </m:r>
      </m:oMath>
      <w:r>
        <w:t xml:space="preserve"> (Sv) was computed per step from the radiation quality factor, evaluated in two independent models implemented as custom Geant4 scorers so that transport and LET evaluation are identical and only the quality-factor mapping differs.</w:t>
      </w:r>
    </w:p>
    <w:p w14:paraId="40FC95B7" w14:textId="77777777" w:rsidR="003C35D5" w:rsidRDefault="009D496F">
      <w:pPr>
        <w:pStyle w:val="BodyText"/>
      </w:pPr>
      <w:r>
        <w:t xml:space="preserve">The first uses the ICRP Publication 60 quality factor as a function of unrestricted LET </w:t>
      </w:r>
      <m:oMath>
        <m:r>
          <w:rPr>
            <w:rFonts w:ascii="Cambria Math" w:hAnsi="Cambria Math"/>
          </w:rPr>
          <m:t>L</m:t>
        </m:r>
      </m:oMath>
      <w:r>
        <w:t xml:space="preserve"> in water (keV µm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[ICRP60]:</w:t>
      </w:r>
    </w:p>
    <w:p w14:paraId="35085C28" w14:textId="77777777" w:rsidR="003C35D5" w:rsidRDefault="009D496F">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L</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w:rPr>
                        <w:rFonts w:ascii="Cambria Math" w:hAnsi="Cambria Math"/>
                      </w:rPr>
                      <m:t>L</m:t>
                    </m:r>
                    <m:r>
                      <m:rPr>
                        <m:sty m:val="p"/>
                      </m:rPr>
                      <w:rPr>
                        <w:rFonts w:ascii="Cambria Math" w:hAnsi="Cambria Math"/>
                      </w:rPr>
                      <m:t>&lt;</m:t>
                    </m:r>
                    <m:r>
                      <w:rPr>
                        <w:rFonts w:ascii="Cambria Math" w:hAnsi="Cambria Math"/>
                      </w:rPr>
                      <m:t>10</m:t>
                    </m:r>
                  </m:e>
                </m:mr>
                <m:mr>
                  <m:e>
                    <m:r>
                      <w:rPr>
                        <w:rFonts w:ascii="Cambria Math" w:hAnsi="Cambria Math"/>
                      </w:rPr>
                      <m:t>0.32 </m:t>
                    </m:r>
                    <m:r>
                      <w:rPr>
                        <w:rFonts w:ascii="Cambria Math" w:hAnsi="Cambria Math"/>
                      </w:rPr>
                      <m:t>L</m:t>
                    </m:r>
                    <m:r>
                      <m:rPr>
                        <m:sty m:val="p"/>
                      </m:rPr>
                      <w:rPr>
                        <w:rFonts w:ascii="Cambria Math" w:hAnsi="Cambria Math"/>
                      </w:rPr>
                      <m:t>-</m:t>
                    </m:r>
                    <m:r>
                      <w:rPr>
                        <w:rFonts w:ascii="Cambria Math" w:hAnsi="Cambria Math"/>
                      </w:rPr>
                      <m:t>2.2</m:t>
                    </m:r>
                  </m:e>
                  <m:e>
                    <m:r>
                      <w:rPr>
                        <w:rFonts w:ascii="Cambria Math" w:hAnsi="Cambria Math"/>
                      </w:rPr>
                      <m:t>10</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100</m:t>
                    </m:r>
                  </m:e>
                </m:mr>
                <m:mr>
                  <m:e>
                    <m:r>
                      <w:rPr>
                        <w:rFonts w:ascii="Cambria Math" w:hAnsi="Cambria Math"/>
                      </w:rPr>
                      <m:t>300</m:t>
                    </m:r>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e>
                    <m:r>
                      <w:rPr>
                        <w:rFonts w:ascii="Cambria Math" w:hAnsi="Cambria Math"/>
                      </w:rPr>
                      <m:t>L</m:t>
                    </m:r>
                    <m:r>
                      <m:rPr>
                        <m:sty m:val="p"/>
                      </m:rPr>
                      <w:rPr>
                        <w:rFonts w:ascii="Cambria Math" w:hAnsi="Cambria Math"/>
                      </w:rPr>
                      <m:t>&gt;</m:t>
                    </m:r>
                    <m:r>
                      <w:rPr>
                        <w:rFonts w:ascii="Cambria Math" w:hAnsi="Cambria Math"/>
                      </w:rPr>
                      <m:t>100</m:t>
                    </m:r>
                    <m:r>
                      <m:rPr>
                        <m:sty m:val="p"/>
                      </m:rPr>
                      <w:rPr>
                        <w:rFonts w:ascii="Cambria Math" w:hAnsi="Cambria Math"/>
                      </w:rPr>
                      <m:t>.</m:t>
                    </m:r>
                  </m:e>
                </m:mr>
              </m:m>
            </m:e>
          </m:d>
        </m:oMath>
      </m:oMathPara>
    </w:p>
    <w:p w14:paraId="1CC439BC" w14:textId="77777777" w:rsidR="003C35D5" w:rsidRDefault="009D496F">
      <w:pPr>
        <w:pStyle w:val="FirstParagraph"/>
      </w:pPr>
      <w:r>
        <w:t xml:space="preserve">At each step the scorer computes the unrestricted electronic LET of the stepping particle from its stopping power, maps it to </w:t>
      </w:r>
      <m:oMath>
        <m:r>
          <w:rPr>
            <w:rFonts w:ascii="Cambria Math" w:hAnsi="Cambria Math"/>
          </w:rPr>
          <m:t>Q</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and accumulates </w:t>
      </w:r>
      <m:oMath>
        <m:r>
          <m:rPr>
            <m:sty m:val="p"/>
          </m:rPr>
          <w:rPr>
            <w:rFonts w:ascii="Cambria Math" w:hAnsi="Cambria Math"/>
          </w:rPr>
          <m:t>edep⋅</m:t>
        </m:r>
        <m:r>
          <w:rPr>
            <w:rFonts w:ascii="Cambria Math" w:hAnsi="Cambria Math"/>
          </w:rPr>
          <m:t>Q</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oMath>
      <w:r>
        <w:t xml:space="preserve">. Neutral primaries deposit through charged secondaries that step separately, so a step with no defined charged LET is assigned </w:t>
      </w:r>
      <m:oMath>
        <m:r>
          <w:rPr>
            <w:rFonts w:ascii="Cambria Math" w:hAnsi="Cambria Math"/>
          </w:rPr>
          <m:t>Q</m:t>
        </m:r>
        <m:r>
          <m:rPr>
            <m:sty m:val="p"/>
          </m:rPr>
          <w:rPr>
            <w:rFonts w:ascii="Cambria Math" w:hAnsi="Cambria Math"/>
          </w:rPr>
          <m:t>=</m:t>
        </m:r>
        <m:r>
          <w:rPr>
            <w:rFonts w:ascii="Cambria Math" w:hAnsi="Cambria Math"/>
          </w:rPr>
          <m:t>1</m:t>
        </m:r>
      </m:oMath>
      <w:r>
        <w:t>.</w:t>
      </w:r>
    </w:p>
    <w:p w14:paraId="2EE7948D" w14:textId="77777777" w:rsidR="003C35D5" w:rsidRDefault="009D496F">
      <w:pPr>
        <w:pStyle w:val="BodyText"/>
      </w:pPr>
      <w:r>
        <w:lastRenderedPageBreak/>
        <w:t>The second uses the NASA/Cucinotta space-radiation quality factor for solid-cancer risk [Cucinotta2013], which depends on track structure (</w:t>
      </w:r>
      <m:oMath>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oMath>
      <w:r>
        <w:t>) and energy, not on LET alone:</w:t>
      </w:r>
    </w:p>
    <w:p w14:paraId="053AA1FE" w14:textId="77777777" w:rsidR="003C35D5" w:rsidRDefault="009D496F">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r>
                <w:rPr>
                  <w:rFonts w:ascii="Cambria Math" w:hAnsi="Cambria Math"/>
                </w:rPr>
                <m:t>κ</m:t>
              </m:r>
            </m:sup>
          </m:sSup>
          <m:sSup>
            <m:sSupPr>
              <m:ctrlPr>
                <w:rPr>
                  <w:rFonts w:ascii="Cambria Math" w:hAnsi="Cambria Math"/>
                </w:rPr>
              </m:ctrlPr>
            </m:sSupPr>
            <m:e>
              <m:r>
                <m:rPr>
                  <m:sty m:val="p"/>
                </m:rPr>
                <w:rPr>
                  <w:rFonts w:ascii="Cambria Math" w:hAnsi="Cambria Math"/>
                </w:rPr>
                <m:t>]</m:t>
              </m:r>
            </m:e>
            <m:sup>
              <m:r>
                <w:rPr>
                  <w:rFonts w:ascii="Cambria Math" w:hAnsi="Cambria Math"/>
                </w:rPr>
                <m:t>m</m:t>
              </m:r>
            </m:sup>
          </m:sSup>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0.2</m:t>
                  </m:r>
                </m:sup>
              </m:sSup>
            </m:e>
          </m:d>
          <m:r>
            <m:rPr>
              <m:sty m:val="p"/>
            </m:rPr>
            <w:rPr>
              <w:rFonts w:ascii="Cambria Math" w:hAnsi="Cambria Math"/>
            </w:rPr>
            <m:t>,</m:t>
          </m:r>
        </m:oMath>
      </m:oMathPara>
    </w:p>
    <w:p w14:paraId="35654CAA" w14:textId="77777777" w:rsidR="003C35D5" w:rsidRDefault="009D496F">
      <w:pPr>
        <w:pStyle w:val="FirstParagraph"/>
      </w:pPr>
      <w:r>
        <w:t xml:space="preserve">with </w:t>
      </w:r>
      <m:oMath>
        <m:r>
          <w:rPr>
            <w:rFonts w:ascii="Cambria Math" w:hAnsi="Cambria Math"/>
          </w:rPr>
          <m:t>X</m:t>
        </m:r>
        <m:r>
          <m:rPr>
            <m:sty m:val="p"/>
          </m:rPr>
          <w:rPr>
            <w:rFonts w:ascii="Cambria Math" w:hAnsi="Cambria Math"/>
          </w:rPr>
          <m:t>=</m:t>
        </m:r>
        <m:r>
          <w:rPr>
            <w:rFonts w:ascii="Cambria Math" w:hAnsi="Cambria Math"/>
          </w:rPr>
          <m:t>7000</m:t>
        </m:r>
      </m:oMath>
      <w:r>
        <w:t xml:space="preserve"> keV µm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(solid-cancer peak-height constant), </w:t>
      </w:r>
      <m:oMath>
        <m:r>
          <w:rPr>
            <w:rFonts w:ascii="Cambria Math" w:hAnsi="Cambria Math"/>
          </w:rPr>
          <m:t>E</m:t>
        </m:r>
      </m:oMath>
      <w:r>
        <w:t xml:space="preserve"> the kinetic energy per nucleon (MeV/u), </w:t>
      </w:r>
      <m:oMath>
        <m:r>
          <w:rPr>
            <w:rFonts w:ascii="Cambria Math" w:hAnsi="Cambria Math"/>
          </w:rPr>
          <m:t>L</m:t>
        </m:r>
      </m:oMath>
      <w:r>
        <w:t xml:space="preserve"> the LET,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125</m:t>
                </m:r>
                <m:r>
                  <w:rPr>
                    <w:rFonts w:ascii="Cambria Math" w:hAnsi="Cambria Math"/>
                  </w:rPr>
                  <m:t>β</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up>
                </m:sSup>
              </m:sup>
            </m:sSup>
          </m:e>
        </m:d>
      </m:oMath>
      <w:r>
        <w:t xml:space="preserve"> </w:t>
      </w:r>
      <w:r>
        <w:t>the Barkas effective charge. Reporting the same field under both the ICRP-60 and NASA-2013 quality factors lets the design comparison expose the model dependence of the dose-equivalent rather than committing to one convention.</w:t>
      </w:r>
    </w:p>
    <w:p w14:paraId="0A3AE2DD" w14:textId="77777777" w:rsidR="003C35D5" w:rsidRDefault="009D496F">
      <w:pPr>
        <w:pStyle w:val="BodyText"/>
      </w:pPr>
      <w:r>
        <w:rPr>
          <w:b/>
          <w:bCs/>
        </w:rPr>
        <w:t>Neutron-lineage diagnostic.</w:t>
      </w:r>
      <w:r>
        <w:t xml:space="preserve"> A third, lineage-filtered variant of the ICRP-60 scorer accumulates dose-equivalent only for steps whose particle lineage traces to a neutron, yielding the secondary-neutron dose fraction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neutron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total</m:t>
            </m:r>
          </m:sub>
        </m:sSub>
      </m:oMath>
      <w:r>
        <w:t xml:space="preserve"> </w:t>
      </w:r>
      <w:r>
        <w:t>directly and normalisation-independently. This isolates the wall- and regolith-bred albedo-neutron contribution as a design-comparison quantity.</w:t>
      </w:r>
    </w:p>
    <w:p w14:paraId="101DE83E" w14:textId="77777777" w:rsidR="003C35D5" w:rsidRDefault="009D496F">
      <w:pPr>
        <w:pStyle w:val="BodyText"/>
      </w:pPr>
      <w:r>
        <w:rPr>
          <w:b/>
          <w:bCs/>
        </w:rPr>
        <w:t>Scoring geometry.</w:t>
      </w:r>
      <w:r>
        <w:t xml:space="preserve"> Two sensitive volumes carry the LET-weighted scorers: a water skin/surface shell lining the habitat wall, and a central water crew phantom. The effective field quality factor is not assumed but emerges as the LET-weighted ratio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D</m:t>
        </m:r>
      </m:oMath>
      <w:r>
        <w:t xml:space="preserve"> over the scored steps, so high-LET HZE ions are weighted by their true quality rather than a flat mean.</w:t>
      </w:r>
    </w:p>
    <w:p w14:paraId="66634F97" w14:textId="77777777" w:rsidR="003C35D5" w:rsidRDefault="009D496F">
      <w:pPr>
        <w:pStyle w:val="Heading3"/>
      </w:pPr>
      <w:bookmarkStart w:id="7" w:name="X8893c44626d8835883b5d83309c441225eb0e27"/>
      <w:bookmarkEnd w:id="6"/>
      <w:r>
        <w:t>2.6 Variance reduction: the two-gate response-kernel method</w:t>
      </w:r>
    </w:p>
    <w:p w14:paraId="0AF12F1F" w14:textId="77777777" w:rsidR="003C35D5" w:rsidRDefault="009D496F">
      <w:pPr>
        <w:pStyle w:val="FirstParagraph"/>
      </w:pPr>
      <w:r>
        <w:t xml:space="preserve">Direct full-geometry transport (“flood” mode) converges well for surface and skin dose but becomes statistically expensive for deep organ dose behind thick shielding, where few high-energy primaries reach the sensitive volume. To recover deep-shield dose at a fraction of the walltime we used a pre-computed </w:t>
      </w:r>
      <w:r>
        <w:rPr>
          <w:b/>
          <w:bCs/>
        </w:rPr>
        <w:t>response kernel</w:t>
      </w:r>
      <w:r>
        <w:t xml:space="preserve">. In an offline harness, the dose response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organ</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ff</m:t>
            </m:r>
          </m:sub>
        </m:sSub>
      </m:oMath>
      <w:r>
        <w:t xml:space="preserve"> </w:t>
      </w:r>
      <w:r>
        <w:t xml:space="preserve">(organ dose per unit free-field fluence) was tabulated on a grid of transported species </w:t>
      </w:r>
      <m:oMath>
        <m:r>
          <m:rPr>
            <m:sty m:val="p"/>
          </m:rPr>
          <w:rPr>
            <w:rFonts w:ascii="Cambria Math" w:hAnsi="Cambria Math"/>
          </w:rPr>
          <m:t>×</m:t>
        </m:r>
      </m:oMath>
      <w:r>
        <w:t xml:space="preserve"> per-nucleon energy node </w:t>
      </w:r>
      <m:oMath>
        <m:r>
          <m:rPr>
            <m:sty m:val="p"/>
          </m:rPr>
          <w:rPr>
            <w:rFonts w:ascii="Cambria Math" w:hAnsi="Cambria Math"/>
          </w:rPr>
          <m:t>×</m:t>
        </m:r>
      </m:oMath>
      <w:r>
        <w:t xml:space="preserve"> areal shielding density, using a concentric water organ-shell phantom (skin/shallow/mid/deep/core spheres) behind a flat areal-density slab — the planar-shield convention used by the OLTARIS/HZETRN deterministic codes against which the kernel is cross-checked. The slab is crossed by each upper-hemisphere ring at slant path </w:t>
      </w:r>
      <m:oMath>
        <m:r>
          <w:rPr>
            <w:rFonts w:ascii="Cambria Math" w:hAnsi="Cambria Math"/>
          </w:rPr>
          <m:t>t</m:t>
        </m:r>
        <m:r>
          <m:rPr>
            <m:sty m:val="p"/>
          </m:rPr>
          <w:rPr>
            <w:rFonts w:ascii="Cambria Math" w:hAnsi="Cambria Math"/>
          </w:rPr>
          <m:t>/cos</m:t>
        </m:r>
        <m:r>
          <w:rPr>
            <w:rFonts w:ascii="Cambria Math" w:hAnsi="Cambria Math"/>
          </w:rPr>
          <m:t>θ</m:t>
        </m:r>
      </m:oMath>
      <w:r>
        <w:t xml:space="preserve">, preserving the </w:t>
      </w:r>
      <m:oMath>
        <m:r>
          <m:rPr>
            <m:sty m:val="p"/>
          </m:rPr>
          <w:rPr>
            <w:rFonts w:ascii="Cambria Math" w:hAnsi="Cambria Math"/>
          </w:rPr>
          <m:t>⟨</m:t>
        </m:r>
        <m:r>
          <w:rPr>
            <w:rFonts w:ascii="Cambria Math" w:hAnsi="Cambria Math"/>
          </w:rPr>
          <m:t>1</m:t>
        </m:r>
        <m:r>
          <m:rPr>
            <m:sty m:val="p"/>
          </m:rPr>
          <w:rPr>
            <w:rFonts w:ascii="Cambria Math" w:hAnsi="Cambria Math"/>
          </w:rPr>
          <m:t>/cos</m:t>
        </m:r>
        <m:r>
          <w:rPr>
            <w:rFonts w:ascii="Cambria Math" w:hAnsi="Cambria Math"/>
          </w:rPr>
          <m:t>θ</m:t>
        </m:r>
        <m:r>
          <m:rPr>
            <m:sty m:val="p"/>
          </m:rPr>
          <w:rPr>
            <w:rFonts w:ascii="Cambria Math" w:hAnsi="Cambria Math"/>
          </w:rPr>
          <m:t>⟩</m:t>
        </m:r>
        <m:r>
          <m:rPr>
            <m:sty m:val="p"/>
          </m:rPr>
          <w:rPr>
            <w:rFonts w:ascii="Cambria Math" w:hAnsi="Cambria Math"/>
          </w:rPr>
          <m:t>≈</m:t>
        </m:r>
        <m:r>
          <w:rPr>
            <w:rFonts w:ascii="Cambria Math" w:hAnsi="Cambria Math"/>
          </w:rPr>
          <m:t>2.0</m:t>
        </m:r>
      </m:oMath>
      <w:r>
        <w:t xml:space="preserve"> hemisphere weighting.</w:t>
      </w:r>
    </w:p>
    <w:p w14:paraId="61A974E1" w14:textId="77777777" w:rsidR="003C35D5" w:rsidRDefault="009D496F">
      <w:pPr>
        <w:pStyle w:val="BodyText"/>
      </w:pPr>
      <w:r>
        <w:t xml:space="preserve">The organ dose for a design is then obtained by folding the tabulated </w:t>
      </w:r>
      <m:oMath>
        <m:r>
          <w:rPr>
            <w:rFonts w:ascii="Cambria Math" w:hAnsi="Cambria Math"/>
          </w:rPr>
          <m:t>R</m:t>
        </m:r>
      </m:oMath>
      <w:r>
        <w:t xml:space="preserve"> against the analytic modulated flux spectrum of Section 2.3, with the energy integral evaluated by stratified quadrature over the kernel nodes. This reduces the deep-organ dose walltime by roughly a factor of seven relative to converging the same quantity by brute-force flood transport ‹cf›, and rescues quantities that the continuous flood method does not converge in practical time.</w:t>
      </w:r>
    </w:p>
    <w:p w14:paraId="3CF5B38E" w14:textId="77777777" w:rsidR="003C35D5" w:rsidRDefault="009D496F">
      <w:pPr>
        <w:pStyle w:val="BodyText"/>
      </w:pPr>
      <w:r>
        <w:lastRenderedPageBreak/>
        <w:t xml:space="preserve">The flood and kernel gates are </w:t>
      </w:r>
      <w:r>
        <w:rPr>
          <w:b/>
          <w:bCs/>
        </w:rPr>
        <w:t>never summed</w:t>
      </w:r>
      <w:r>
        <w:t>; they are two independent estimators of the dose, applied in their respective regimes of validity. The kernel is trustworthy through the light-shielding regime and is used up to an areal-density crossover of ≈19 g cm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 xml:space="preserve"> ‹cf›; the flood transport carries the skin and point-dose quantities. The regime of validity of each estimator, and the crossover between them, are documented as part of the method rather than hidden.</w:t>
      </w:r>
    </w:p>
    <w:p>
      <w:pPr>
        <w:pStyle w:val="BodyText"/>
      </w:pPr>
      <w:r>
        <w:rPr>
          <w:b/>
        </w:rPr>
        <w:t>Composition harmonisation and kernel regeneration.</w:t>
      </w:r>
      <w:r>
        <w:t xml:space="preserve"> The response kernel was regenerated so that both dose gates transport the identical five-species composition of §2.3 (H, He, C, Si, Fe); an earlier kernel build had used oxygen as its fourth species, leaving the intermediate Ne–Ca band (represented by silicon, Z = 14) unsampled in the kernel gate. Because the dose response R = D/Φ is a single-species transport quantity — species abundance enters only at the downstream flux fold, never in the transport — the four species common to both builds (H, He, C, Fe) run on byte-identical energy grids and serve as a self-consistency check on the regeneration. Restricted to the kernel’s regime of validity (areal density below the ≈19 g cm⁻² crossover and on the response plateau; 240 cells), these transport-identical species reproduce the earlier build with a geometric-mean ratio of 1.17 (median 1.15; tissue-weight-weighted, i.e. effective-dose-relevant, likewise 1.17), flat across species (1.15–1.21) — a single normalisation-class offset rather than an energy- or depth-dependent transport difference. An independent check against analytic proton stopping-power dose (NIST PSTAR) in the unshielded phantom confirms this reading: across the plateau energies that carry most of the GCR dose (150–1200 MeV/nucleon) the kernel agrees with PSTAR to within 0–25 %, the residual overshoot being confined to the ≥2.5 GeV/nucleon tail already flagged in §2.3. The composition correction is itself substantial and orthogonal to this normalisation: replacing oxygen by silicon raises the per-particle skin response by ≈3×, consistent with the Z² scaling of ionisation energy loss (14²/8² ≈ 3.1). Silicon’s per-nucleon energy grid was set to that of carbon (180, 350, 700, 1500, 3000, 5000 MeV/nucleon), a six-node grid finer than the five-node grid of the oxygen species it replaces and the natural choice for an intermediate-Z ion spanning the same rigidity range; the specific node placement is a remaining modelling choice. The regenerated kernel is therefore adopted with its ≤19 g cm⁻² validity domain; within that domain it runs ≈17 % conservative relative to the earlier build.</w:t>
      </w:r>
    </w:p>
    <w:p w14:paraId="38F623EE" w14:textId="77777777" w:rsidR="003C35D5" w:rsidRDefault="009D496F">
      <w:pPr>
        <w:pStyle w:val="Heading3"/>
      </w:pPr>
      <w:bookmarkStart w:id="8" w:name="absolute-normalisation-and-calibration"/>
      <w:bookmarkEnd w:id="7"/>
      <w:r>
        <w:t>2.7 Absolute normalisation and calibration</w:t>
      </w:r>
    </w:p>
    <w:p w14:paraId="55CD3707" w14:textId="77777777" w:rsidR="003C35D5" w:rsidRDefault="009D496F">
      <w:pPr>
        <w:pStyle w:val="FirstParagraph"/>
      </w:pPr>
      <w:r>
        <w:t xml:space="preserve">The Monte Carlo yields dose </w:t>
      </w:r>
      <w:r>
        <w:rPr>
          <w:i/>
          <w:iCs/>
        </w:rPr>
        <w:t>per source particle</w:t>
      </w:r>
      <w:r>
        <w:t xml:space="preserve">; converting to a physical dose rate requires the absolute incident flux. The differential intensity of Section 2.3 was integrated over energy and the </w:t>
      </w:r>
      <m:oMath>
        <m:r>
          <w:rPr>
            <w:rFonts w:ascii="Cambria Math" w:hAnsi="Cambria Math"/>
          </w:rPr>
          <m:t>2</m:t>
        </m:r>
        <m:r>
          <w:rPr>
            <w:rFonts w:ascii="Cambria Math" w:hAnsi="Cambria Math"/>
          </w:rPr>
          <m:t>π</m:t>
        </m:r>
      </m:oMath>
      <w:r>
        <w:t xml:space="preserve">-sr upper hemisphere to give the absolute particle fluence rate per species, from which the per-history yields were scaled. A single scalar calibration factor (CAL = 1.148 ‹cf›) fixes this absolute normalisation, anchored once to the absorbed dose measured on the lunar surface by the Chang’E-4 Lunar Lander Neutron and Dosimetry (LND) instrument [Zhang2020]. Crucially, the sampled spectrum and its flux normalisation are driven by a single shared parameter (the energy ceiling), so the two cannot drift out of </w:t>
      </w:r>
      <w:r>
        <w:t>consistency when the ceiling is varied for the tail-sensitivity study.</w:t>
      </w:r>
    </w:p>
    <w:p w14:paraId="3CC4F204" w14:textId="6420659D" w:rsidR="003C35D5" w:rsidRDefault="009D496F">
      <w:pPr>
        <w:pStyle w:val="BodyText"/>
      </w:pPr>
      <w:r>
        <w:t xml:space="preserve">Because the calibration is a single scalar tied to one measured absorbed-dose value, the tool’s independent agreement with </w:t>
      </w:r>
      <w:r>
        <w:rPr>
          <w:i/>
          <w:iCs/>
        </w:rPr>
        <w:t>other</w:t>
      </w:r>
      <w:r>
        <w:t xml:space="preserve"> references at </w:t>
      </w:r>
      <w:r>
        <w:rPr>
          <w:i/>
          <w:iCs/>
        </w:rPr>
        <w:t>other</w:t>
      </w:r>
      <w:r>
        <w:t xml:space="preserve"> quantities and shielding depths</w:t>
      </w:r>
      <w:r w:rsidR="000461BE">
        <w:t xml:space="preserve">, </w:t>
      </w:r>
      <w:r>
        <w:t>the OLTARIS effective and skin dose (Section 3)</w:t>
      </w:r>
      <w:r w:rsidR="000461BE">
        <w:t>,</w:t>
      </w:r>
      <w:r>
        <w:t xml:space="preserve"> is not circular: those comparisons test a different code, a different dose quantity, and a different depth than the one used to set CAL.</w:t>
      </w:r>
    </w:p>
    <w:p w14:paraId="6A856190" w14:textId="77777777" w:rsidR="003C35D5" w:rsidRDefault="009D496F">
      <w:pPr>
        <w:pStyle w:val="Heading3"/>
      </w:pPr>
      <w:bookmarkStart w:id="9" w:name="validation-approach"/>
      <w:bookmarkEnd w:id="8"/>
      <w:r>
        <w:t>2.8 Validation approach</w:t>
      </w:r>
    </w:p>
    <w:p w14:paraId="19FCB08D" w14:textId="42DF5197" w:rsidR="003C35D5" w:rsidRDefault="009D496F">
      <w:pPr>
        <w:pStyle w:val="FirstParagraph"/>
      </w:pPr>
      <w:r>
        <w:t>The tool was validated against three external references spanning the dosimetric chain. Absorbed surface dose was anchored to the Chang’E-4 LND measurement [Zhang2020]. Absorbed dose behind aluminium shielding was cross-checked against the OLTARIS deterministic tool [Singleterry2011]: the tool returns 0.310 mGy day</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against the OLTARIS lunar-surface total of 0.296 mGy day</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at 54 g cm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 xml:space="preserve"> Al (≈5%). Skin and effective dose-equivalent were compared to OLTARIS/SHARC, giving skin ≈286 mSv yr</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t>
      </w:r>
      <w:r>
        <w:t>and effective dose in the range ≈135–200 mSv yr</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the ≈1.6× spread relative to the OLTARIS effective dose is consistent with the known cross-code (HZETRN vs. Geant4) spread rather than a tool error, and is reported as such. Tolerances, and the regime over which each agreement holds, are stated with each comparison.</w:t>
      </w:r>
      <w:r w:rsidR="003C27EF">
        <w:br/>
      </w:r>
    </w:p>
    <w:p w14:paraId="0B27BF62" w14:textId="03AD0891" w:rsidR="003C27EF" w:rsidRPr="003C27EF" w:rsidRDefault="003C27EF" w:rsidP="003C27EF">
      <w:pPr>
        <w:pStyle w:val="BodyText"/>
      </w:pPr>
      <w:r>
        <w:t xml:space="preserve">** discuss OASIS comparison here too </w:t>
      </w:r>
      <w:r w:rsidR="00417E05">
        <w:t xml:space="preserve">(~43 mSv/yr in paper validated on OLTARIS) </w:t>
      </w:r>
      <w:r>
        <w:t>**</w:t>
      </w:r>
    </w:p>
    <w:p w14:paraId="0E0DBF88" w14:textId="77777777" w:rsidR="003C35D5" w:rsidRDefault="009D496F">
      <w:r>
        <w:pict w14:anchorId="64E1AB48">
          <v:rect id="_x0000_i1025" style="width:0;height:1.5pt" o:hralign="center" o:hrstd="t" o:hr="t"/>
        </w:pict>
      </w:r>
    </w:p>
    <w:p w14:paraId="4079819F" w14:textId="278ECFFB" w:rsidR="003C35D5" w:rsidRDefault="009D496F">
      <w:pPr>
        <w:pStyle w:val="Heading2"/>
      </w:pPr>
      <w:bookmarkStart w:id="10" w:name="reference-stubs-verify-before-submission"/>
      <w:bookmarkEnd w:id="1"/>
      <w:bookmarkEnd w:id="9"/>
      <w:r>
        <w:lastRenderedPageBreak/>
        <w:t>Reference</w:t>
      </w:r>
      <w:r w:rsidR="003950E6">
        <w:t>s</w:t>
      </w:r>
    </w:p>
    <w:p w14:paraId="106E99F7" w14:textId="77777777" w:rsidR="003C35D5" w:rsidRDefault="009D496F">
      <w:pPr>
        <w:pStyle w:val="Compact"/>
        <w:numPr>
          <w:ilvl w:val="0"/>
          <w:numId w:val="2"/>
        </w:numPr>
      </w:pPr>
      <w:r>
        <w:rPr>
          <w:b/>
          <w:bCs/>
        </w:rPr>
        <w:t>[Perl2012]</w:t>
      </w:r>
      <w:r>
        <w:t xml:space="preserve"> Perl J, Shin J, Schümann J, Faddegon B, Paganetti H. </w:t>
      </w:r>
      <w:r>
        <w:rPr>
          <w:i/>
          <w:iCs/>
        </w:rPr>
        <w:t>TOPAS: An innovative proton Monte Carlo platform for research and clinical applications.</w:t>
      </w:r>
      <w:r>
        <w:t xml:space="preserve"> Med. Phys. 39 (2012) 6818–6837.</w:t>
      </w:r>
    </w:p>
    <w:p w14:paraId="7E154D1A" w14:textId="77777777" w:rsidR="003C35D5" w:rsidRDefault="009D496F">
      <w:pPr>
        <w:pStyle w:val="Compact"/>
        <w:numPr>
          <w:ilvl w:val="0"/>
          <w:numId w:val="2"/>
        </w:numPr>
      </w:pPr>
      <w:r>
        <w:rPr>
          <w:b/>
          <w:bCs/>
        </w:rPr>
        <w:t>[Agostinelli2003]</w:t>
      </w:r>
      <w:r>
        <w:t xml:space="preserve"> Agostinelli S, et al. </w:t>
      </w:r>
      <w:r>
        <w:rPr>
          <w:i/>
          <w:iCs/>
        </w:rPr>
        <w:t>Geant4 — a simulation toolkit.</w:t>
      </w:r>
      <w:r>
        <w:t xml:space="preserve"> Nucl. Instrum. Methods A 506 (2003) 250–303.</w:t>
      </w:r>
    </w:p>
    <w:p w14:paraId="123BDD61" w14:textId="77777777" w:rsidR="003C35D5" w:rsidRDefault="009D496F">
      <w:pPr>
        <w:pStyle w:val="Compact"/>
        <w:numPr>
          <w:ilvl w:val="0"/>
          <w:numId w:val="2"/>
        </w:numPr>
      </w:pPr>
      <w:r>
        <w:rPr>
          <w:b/>
          <w:bCs/>
        </w:rPr>
        <w:t>[Allison2016]</w:t>
      </w:r>
      <w:r>
        <w:t xml:space="preserve"> Allison J, et al. </w:t>
      </w:r>
      <w:r>
        <w:rPr>
          <w:i/>
          <w:iCs/>
        </w:rPr>
        <w:t>Recent developments in Geant4.</w:t>
      </w:r>
      <w:r>
        <w:t xml:space="preserve"> Nucl. Instrum. Methods A 835 (2016) 186–225.</w:t>
      </w:r>
    </w:p>
    <w:p w14:paraId="1DA87A54" w14:textId="77777777" w:rsidR="003C35D5" w:rsidRDefault="009D496F">
      <w:pPr>
        <w:pStyle w:val="Compact"/>
        <w:numPr>
          <w:ilvl w:val="0"/>
          <w:numId w:val="2"/>
        </w:numPr>
      </w:pPr>
      <w:r>
        <w:rPr>
          <w:b/>
          <w:bCs/>
        </w:rPr>
        <w:t>[Usoskin2005]</w:t>
      </w:r>
      <w:r>
        <w:t xml:space="preserve"> Usoskin IG, Alanko-Huotari K, Kovaltsov GA, Mursula K. </w:t>
      </w:r>
      <w:r>
        <w:rPr>
          <w:i/>
          <w:iCs/>
        </w:rPr>
        <w:t>Heliospheric modulation of cosmic rays: Monthly reconstruction for 1951–2004.</w:t>
      </w:r>
      <w:r>
        <w:t xml:space="preserve"> </w:t>
      </w:r>
      <w:r>
        <w:t>J. Geophys. Res. 110 (2005) A12108.</w:t>
      </w:r>
    </w:p>
    <w:p w14:paraId="6369A2CF" w14:textId="77777777" w:rsidR="003C35D5" w:rsidRDefault="009D496F">
      <w:pPr>
        <w:pStyle w:val="Compact"/>
        <w:numPr>
          <w:ilvl w:val="0"/>
          <w:numId w:val="2"/>
        </w:numPr>
      </w:pPr>
      <w:r>
        <w:rPr>
          <w:b/>
          <w:bCs/>
        </w:rPr>
        <w:t>[ICRP60]</w:t>
      </w:r>
      <w:r>
        <w:t xml:space="preserve"> ICRP. </w:t>
      </w:r>
      <w:r>
        <w:rPr>
          <w:i/>
          <w:iCs/>
        </w:rPr>
        <w:t>1990 Recommendations of the International Commission on Radiological Protection.</w:t>
      </w:r>
      <w:r>
        <w:t xml:space="preserve"> ICRP Publication 60, Ann. ICRP 21 (1–3), 1991.</w:t>
      </w:r>
    </w:p>
    <w:p w14:paraId="6697C52D" w14:textId="77777777" w:rsidR="003C35D5" w:rsidRDefault="009D496F">
      <w:pPr>
        <w:pStyle w:val="Compact"/>
        <w:numPr>
          <w:ilvl w:val="0"/>
          <w:numId w:val="2"/>
        </w:numPr>
      </w:pPr>
      <w:r>
        <w:rPr>
          <w:b/>
          <w:bCs/>
        </w:rPr>
        <w:t>[Cucinotta2013]</w:t>
      </w:r>
      <w:r>
        <w:t xml:space="preserve"> Cucinotta FA, Kim MHY, Chappell LJ. </w:t>
      </w:r>
      <w:r>
        <w:rPr>
          <w:i/>
          <w:iCs/>
        </w:rPr>
        <w:t>Space Radiation Cancer Risk Projections and Uncertainties – 2012.</w:t>
      </w:r>
      <w:r>
        <w:t xml:space="preserve"> NASA/TP-2013-217375, 2013.</w:t>
      </w:r>
    </w:p>
    <w:p w14:paraId="6774315A" w14:textId="77777777" w:rsidR="003C35D5" w:rsidRDefault="009D496F">
      <w:pPr>
        <w:pStyle w:val="Compact"/>
        <w:numPr>
          <w:ilvl w:val="0"/>
          <w:numId w:val="2"/>
        </w:numPr>
      </w:pPr>
      <w:r>
        <w:rPr>
          <w:b/>
          <w:bCs/>
        </w:rPr>
        <w:t>[Zhang2020]</w:t>
      </w:r>
      <w:r>
        <w:t xml:space="preserve"> Zhang S, et al. </w:t>
      </w:r>
      <w:r>
        <w:rPr>
          <w:i/>
          <w:iCs/>
        </w:rPr>
        <w:t>First measurements of the radiation dose on the lunar surface.</w:t>
      </w:r>
      <w:r>
        <w:t xml:space="preserve"> Sci. Adv. 6 (2020) eaaz1334.</w:t>
      </w:r>
    </w:p>
    <w:p w14:paraId="6F963A03" w14:textId="77777777" w:rsidR="003C35D5" w:rsidRDefault="009D496F">
      <w:pPr>
        <w:pStyle w:val="Compact"/>
        <w:numPr>
          <w:ilvl w:val="0"/>
          <w:numId w:val="2"/>
        </w:numPr>
      </w:pPr>
      <w:r>
        <w:rPr>
          <w:b/>
          <w:bCs/>
        </w:rPr>
        <w:t>[Singleterry2011]</w:t>
      </w:r>
      <w:r>
        <w:t xml:space="preserve"> Singleterry RC Jr, et al. </w:t>
      </w:r>
      <w:r>
        <w:rPr>
          <w:i/>
          <w:iCs/>
        </w:rPr>
        <w:t>OLTARIS: On-Line Tool for the Assessment of Radiation in Space.</w:t>
      </w:r>
      <w:r>
        <w:t xml:space="preserve"> Acta Astronaut. 68 (2011) 1086–1097.</w:t>
      </w:r>
    </w:p>
    <w:p w14:paraId="713C69A4" w14:textId="77777777" w:rsidR="003C35D5" w:rsidRDefault="009D496F">
      <w:pPr>
        <w:pStyle w:val="Compact"/>
        <w:numPr>
          <w:ilvl w:val="0"/>
          <w:numId w:val="2"/>
        </w:numPr>
      </w:pPr>
      <w:r>
        <w:rPr>
          <w:b/>
          <w:bCs/>
        </w:rPr>
        <w:t>[DobyndeGuo2021] Dobynde MI, Guo J. Radiation environment on the surface and subsurface of the Moon. J. Geophys. Res. Planets 126 (2021), e2021JE006930, doi:10.1029/2021JE006930. (Basis for both the REDMoon 3-layer regolith density profile and the upper-hemisphere Lambert angular model.)</w:t>
      </w:r>
    </w:p>
    <w:p w14:paraId="35ADAFCA" w14:textId="77777777" w:rsidR="003C35D5" w:rsidRDefault="009D496F">
      <w:pPr>
        <w:pStyle w:val="Compact"/>
        <w:numPr>
          <w:ilvl w:val="0"/>
          <w:numId w:val="2"/>
        </w:numPr>
      </w:pPr>
      <w:r>
        <w:rPr>
          <w:b/>
          <w:bCs/>
        </w:rPr>
        <w:t>[regolith_ref] Heiken GH, Vaniman DT, French BM (eds.). Lunar Sourcebook: A User's Guide to the Moon. Cambridge University Press, 1991 - Apollo-17 high-Ti mare soil major-oxide chemistry. (Density stratigraphy is from [DobyndeGuo2021]; composition from the Apollo-17 assay.)</w:t>
      </w:r>
    </w:p>
    <w:p w14:paraId="633DB1EC" w14:textId="77777777" w:rsidR="003C35D5" w:rsidRDefault="009D496F">
      <w:pPr>
        <w:pStyle w:val="Compact"/>
        <w:numPr>
          <w:ilvl w:val="0"/>
          <w:numId w:val="2"/>
        </w:numPr>
      </w:pPr>
      <w:r>
        <w:rPr>
          <w:b/>
          <w:bCs/>
        </w:rPr>
        <w:t>[ISO15390]</w:t>
      </w:r>
      <w:r>
        <w:t xml:space="preserve"> ISO 15390:2004, </w:t>
      </w:r>
      <w:r>
        <w:rPr>
          <w:i/>
          <w:iCs/>
        </w:rPr>
        <w:t>Space environment (natural and artificial) — Galactic cosmic ray model</w:t>
      </w:r>
      <w:r>
        <w:t xml:space="preserve"> — only if you report the rigidity-matched per-element variant.</w:t>
      </w:r>
    </w:p>
    <w:p>
      <w:pPr>
        <w:pStyle w:val="Compact"/>
      </w:pPr>
      <w:r>
        <w:t>[G4NDL] Geant4 Collaboration. G4NDL: Geant4 high-precision neutron data library, derived from the ENDF/B evaluated nuclear data files and used by the _HP neutron package. Version G4NDL 4.6 was used (bundled with Geant4 10.7.p03).</w:t>
      </w:r>
    </w:p>
    <w:p>
      <w:pPr>
        <w:pStyle w:val="Compact"/>
      </w:pPr>
      <w:r>
        <w:t>[GleesonAxford1968] Gleeson LJ, Axford WI. Solar modulation of galactic cosmic rays. Astrophys. J. 154 (1968) 1011–1026. (Force-field approximation for heliospheric modulation.)</w:t>
      </w:r>
    </w:p>
    <w:p>
      <w:pPr>
        <w:pStyle w:val="Compact"/>
      </w:pPr>
      <w:r>
        <w:t>[Simpson1983] Simpson JA. Elemental and isotopic composition of the galactic cosmic rays. Annu. Rev. Nucl. Part. Sci. 33 (1983) 323–381.</w:t>
      </w:r>
    </w:p>
    <w:p>
      <w:pPr>
        <w:pStyle w:val="Compact"/>
      </w:pPr>
      <w:r>
        <w:t>[George2009] George JS, et al. Elemental composition and energy spectra of galactic cosmic rays during solar minimum. Astrophys. J. 698 (2009) 1666–1681. (ACE/CRIS solar-minimum abundances used for the five transported species.)</w:t>
      </w:r>
    </w:p>
    <w:p>
      <w:pPr>
        <w:pStyle w:val="Compact"/>
      </w:pPr>
      <w:r>
        <w:t>[King1974] King JH. Solar proton fluences for 1977–1983 space missions. J. Spacecraft Rockets 11 (1974) 401–408. (Exponential-in-rigidity SPE spectral parameterisation and the August 1972 design event.)</w:t>
      </w:r>
    </w:p>
    <w:p>
      <w:pPr>
        <w:pStyle w:val="Compact"/>
      </w:pPr>
      <w:r>
        <w:t>[NASASTD3001] NASA. NASA Space Flight Human-System Standard, Volume 1: Crew Health. NASA-STD-3001, Vol. 1. (Permissible space-radiation exposure limits used only as a post-hoc comparison, not as a model input.)</w:t>
      </w:r>
    </w:p>
    <w:p>
      <w:pPr>
        <w:pStyle w:val="Compact"/>
      </w:pPr>
      <w:r>
        <w:t>[NCRP132] NCRP. Radiation Protection Guidance for Activities in Low-Earth Orbit. NCRP Report No. 132 (2000). (Basis of the 3% REID career-limit convention.)</w:t>
      </w:r>
    </w:p>
    <w:p>
      <w:pPr>
        <w:pStyle w:val="Compact"/>
      </w:pPr>
      <w:r>
        <w:t>[PDG] Particle Data Group (Workman RL, et al.). Review of Particle Physics. Prog. Theor. Exp. Phys. 2022 (2022) 083C01. (Proton rest energy E₀ = 938.272 MeV and atomic mass unit u = 931.494 MeV.)</w:t>
      </w:r>
    </w:p>
    <w:p w14:paraId="50DF86E5" w14:textId="77777777" w:rsidR="003C35D5" w:rsidRDefault="009D496F">
      <w:r>
        <w:pict w14:anchorId="4074D7FA">
          <v:rect id="_x0000_i1026" style="width:0;height:1.5pt" o:hralign="center" o:hrstd="t" o:hr="t"/>
        </w:pict>
      </w:r>
    </w:p>
    <w:p w14:paraId="2A46E911" w14:textId="57371F91" w:rsidR="003C35D5" w:rsidRDefault="009D496F">
      <w:pPr>
        <w:pStyle w:val="Heading2"/>
      </w:pPr>
      <w:bookmarkStart w:id="11" w:name="open-items-for-you-the-supervisors"/>
      <w:bookmarkEnd w:id="10"/>
      <w:r>
        <w:t xml:space="preserve">Open items </w:t>
      </w:r>
    </w:p>
    <w:p w14:paraId="198460C2" w14:textId="77777777" w:rsidR="003C35D5" w:rsidRDefault="009D496F">
      <w:pPr>
        <w:pStyle w:val="Compact"/>
        <w:numPr>
          <w:ilvl w:val="0"/>
          <w:numId w:val="3"/>
        </w:numPr>
      </w:pPr>
      <w:r>
        <w:rPr>
          <w:rStyle w:val="VerbatimChar"/>
          <w:b/>
          <w:bCs/>
        </w:rPr>
        <w:t>‹cf›</w:t>
      </w:r>
      <w:r>
        <w:rPr>
          <w:b/>
          <w:bCs/>
        </w:rPr>
        <w:t xml:space="preserve"> numbers</w:t>
      </w:r>
      <w:r>
        <w:t xml:space="preserve"> — CAL value, the 5.6%/22% tail figures, the ×7 kernel speedup, and the 19 g/cm² crossover should each be reconfirmed against the production run logs and cited to a table.</w:t>
      </w:r>
    </w:p>
    <w:p w14:paraId="14F49F11" w14:textId="77777777" w:rsidR="003C35D5" w:rsidRDefault="009D496F">
      <w:pPr>
        <w:pStyle w:val="Compact"/>
        <w:numPr>
          <w:ilvl w:val="0"/>
          <w:numId w:val="3"/>
        </w:numPr>
      </w:pPr>
      <w:r>
        <w:rPr>
          <w:b/>
          <w:bCs/>
        </w:rPr>
        <w:t>Framing</w:t>
      </w:r>
      <w:r>
        <w:t xml:space="preserve"> — this is written as the Methods of a </w:t>
      </w:r>
      <w:r>
        <w:rPr>
          <w:i/>
          <w:iCs/>
        </w:rPr>
        <w:t>tool/methodology paper</w:t>
      </w:r>
      <w:r>
        <w:t xml:space="preserve"> (the natural NIMB fit). If the paper is instead a shielding </w:t>
      </w:r>
      <w:r>
        <w:rPr>
          <w:i/>
          <w:iCs/>
        </w:rPr>
        <w:t>results</w:t>
      </w:r>
      <w:r>
        <w:t xml:space="preserve"> study with methods as support, </w:t>
      </w:r>
      <w:r>
        <w:lastRenderedPageBreak/>
        <w:t>§2.6–2.8 stay but compress, and §2.2 expands into the design matrix. Tell me which and I’ll re-weight.</w:t>
      </w:r>
    </w:p>
    <w:p w14:paraId="07871949" w14:textId="77777777" w:rsidR="003C35D5" w:rsidRDefault="009D496F">
      <w:pPr>
        <w:pStyle w:val="Compact"/>
        <w:numPr>
          <w:ilvl w:val="0"/>
          <w:numId w:val="3"/>
        </w:numPr>
      </w:pPr>
      <w:r>
        <w:rPr>
          <w:b/>
          <w:bCs/>
        </w:rPr>
        <w:t>Histories / statistics</w:t>
      </w:r>
      <w:r>
        <w:t xml:space="preserve"> — add the actual number of primaries per run and the achieved statistical error, which §2.1 currently states only in general terms.</w:t>
      </w:r>
      <w:bookmarkEnd w:id="0"/>
      <w:bookmarkEnd w:id="11"/>
    </w:p>
    <w:p>
      <w:pPr>
        <w:pStyle w:val="Compact"/>
      </w:pPr>
      <w:r>
        <w:t>GCR composition mismatch between the two dose engines — RESOLVED (documented in §2.6, “Composition harmonisation”). The thin-wall kernel was regenerated with the §2.3 composition (H/He/C/Si/Fe), replacing the earlier H/He/C/O/Fe build, and the four transport-identical species reproduce the prior kernel to 1.17× in-domain. Remaining sub-item: the ≈1.17× baseline offset (a wall-independent normalisation constant, ≈1.19× vs analytic PSTAR at the bare phantom and energy-dependent in the ≥2.5 GeV/n tail) is characterised but not yet eliminated at source; the kernel runs marginally conservative until it is.</w:t>
      </w:r>
    </w:p>
    <w:p>
      <w:pPr>
        <w:pStyle w:val="Compact"/>
      </w:pPr>
      <w:r>
        <w:t>Post-LIS-fix renormalisation — the proton LIS now evaluates its shape in rigidity P (§2.3, corrected), which hardens the spectrum and lowers the thin-wall folded dose (e.g. 342.6→295.4 mSv/yr ICRP effective at the 2.03 g/cm² Al anchor). Consequently the CAL scalar (§2.7, currently 1.148) and every §2.8 validation figure (skin ≈286, effective 135–200 mSv/yr, 0.310 mGy/day) predate the fix and must be regenerated from the Chang’E-4 re-anchor run (rerun_lis_fix.py anchor) before they are quoted.</w:t>
      </w:r>
    </w:p>
    <w:sectPr w:rsidR="003C35D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5289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48D6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94AF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4667295">
    <w:abstractNumId w:val="0"/>
  </w:num>
  <w:num w:numId="2" w16cid:durableId="143469687">
    <w:abstractNumId w:val="1"/>
  </w:num>
  <w:num w:numId="3" w16cid:durableId="342435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C35D5"/>
    <w:rsid w:val="000461BE"/>
    <w:rsid w:val="00185A93"/>
    <w:rsid w:val="003950E6"/>
    <w:rsid w:val="003C27EF"/>
    <w:rsid w:val="003C35D5"/>
    <w:rsid w:val="00417E05"/>
    <w:rsid w:val="00471F05"/>
    <w:rsid w:val="004D2613"/>
    <w:rsid w:val="005A141B"/>
    <w:rsid w:val="006A329A"/>
    <w:rsid w:val="00C20AB0"/>
    <w:rsid w:val="00D54139"/>
    <w:rsid w:val="00D57FCB"/>
    <w:rsid w:val="00F91F60"/>
    <w:rsid w:val="00FC3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66E65"/>
  <w15:docId w15:val="{7B85804E-5B87-4952-8CFA-98D2009D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1157</TotalTime>
  <Pages>7</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Kaliyana Haering</cp:lastModifiedBy>
  <cp:revision>12</cp:revision>
  <dcterms:created xsi:type="dcterms:W3CDTF">2026-08-26T14:18:00Z</dcterms:created>
  <dcterms:modified xsi:type="dcterms:W3CDTF">2026-08-31T11:51:00Z</dcterms:modified>
</cp:coreProperties>
</file>