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Parking in a designated no-parking zone shall result in a fine not exceeding $200.00. The vehicle may be towed at the owner's expense if parked for more than 2 hours in such zones.</w:t>
      </w:r>
    </w:p>
    <w:p>
      <w:r>
        <w:t>Vehicles that obstruct pedestrian pathways or cause significant disruption to traffic flow may be subject to immediate towing. Fines for such violations range from $100.00 to $500.00, depending on the severity of the obstruction.</w:t>
      </w:r>
    </w:p>
    <w:p>
      <w:r>
        <w:t>It is prohibited to park any vehicle within 10 feet of a fire hydrant or designated emergency zone. Violation of this rule will incur penalties, including a fine of up to $300.00 and potential towing.</w:t>
      </w:r>
    </w:p>
    <w:p>
      <w:r>
        <w:t>Failure to pay parking fines within 30 days of issuance will result in an additional penalty of $50.00, with the possibility of further legal action if left unresolved beyond 90 days.</w:t>
      </w:r>
    </w:p>
    <w:p>
      <w:r>
        <w:t>The use of residential parking permits is restricted to vehicles registered to residents of the designated area. Unauthorized use of such permits will lead to a fine of $150.00 and revocation of the permit.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