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VSP3 → XFOIL → FLOWUnsteady Pipeline &amp; Propeller Validation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1. Pipeline Overview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Input files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4000"/>
      </w:tblGrid>
      <w:tr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Provides</w:t>
            </w:r>
          </w:p>
        </w:tc>
        <w:tc>
          <w:tcPr>
            <w:tcW w:type="dxa" w:w="4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.bem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Chord, twist, sweep, height, R, Rhub, blade count B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of truth for blade planform — written directly into the final Julia script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.vsp3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Per-station airfoil geometry (Camber/CamberLoc/ThickChord, or raw UpperPnts/LowerPnts)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of airfoil shape only; used to generate XFOIL polars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Processing sequence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Parse .bem → chord/twist/sweep/height tables; duplicate hub row at r/R = 0 (required by FLOWVLM).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Parse .vsp3 station blocks using a depth-counted XML scan (not a naive regex — &lt;XSec&gt; tags nest, and a lazy match silently drops or mis-splits stations).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Classify each station: NACA Four-Series (Camber/CamberLoc/ThickChord present) vs. Custom imported (UpperPnts/LowerPnts present) vs. unsupported (skipped, logged).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Pre-flight checks: consistency check (.bem vs .vsp3 tip radius/blade count) and geometry sanity checks (thick roots, thin+high-camber tips, large spanwise jumps) — informational, non-blocking.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Generate contour coordinates per station, run each through XFOIL, assemble the final FLOWUnsteady .jl script referencing every contour + polar file.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NACA Four-Series stations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Exact closed-form NACA 4-digit equations (cosine-spaced x, thickness envelope, cambered mean line) generate 100+ (x, y) points directly from Camber/CamberLoc/ThickChord — no lookup tables.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 (imported) airfoil stations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Raw UpperPnts/LowerPnts arrays are extracted from the .vsp3 XML (stored as X, Y, Z triplets; Z is always 0 and discarded).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Upper surface is reversed and stitched to the lower surface into continuous Selig order (TE → LE → TE); a duplicate seam point (an OpenVSP export artifact) is detected and removed; both trailing-edge endpoints are pinned to x = 1.0.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Bypasses the NACA formula entirely — the imported shape is used exactly as designed in OpenVSP.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/ validation checks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0"/>
      </w:tblGrid>
      <w:t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7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Point-count validation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Custom contours below ~20 pts are rejected as unusable; 150–250 pts is the ideal band; excess (&gt;400) is flagged as slow but not fatal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.bem ↔ .vsp3 consistency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Warns (does not silently correct) if tip radius or blade count disagree — catches unit/model mismatches early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Geometry sanity (pre-flight)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Flags thick roots, thin+high-camber tips, and large spanwise jumps before any XFOIL time is spent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Polar file validation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referenced polar is hard-checked to exist and contain data before the .jl script is finalized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unit auto-correction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Dimensional inputs (e.g. inches vs. metres) are never guessed — flagged only, to avoid silently propagating an error into the physics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XFOIL handoff and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Each station's .dat contour + estimated local Reynolds number is passed to XFOIL via a scripted command sequence (paneling, viscous OPER, AoA sweep).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 fallback chain retries progressively narrower AoA sweeps if the full sweep fails to converge; a station that never converges gets its polar (never its geometry) substituted from the nearest converged station.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Final output: a self-contained FLOWUnsteady .jl script, per-station .dat contours, and 7-column XFOIL polar CSVs — ready to run a full rotor simulation.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</w:rPr>
        <w:t xml:space="preserve">2. Propeller Aerodynamic Performance Validation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3-bladed, D = 0.3 m propeller was evaluated at J = 0.4 (9200 RPM, V∞ = 18.4 m/s) using two independent solvers — VSPAERO (3-D panel method, thick-set geometry) and FLOWUnsteady (viscous vortex particle method, VPM) — to cross-validate the computational setup and blade geometry.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Setup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Simulation reached periodic steady state after ~2 rotor revolutions (720°); comparison data extracted at 1160° wake age so starting vortices had fully convected downstream.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VSPAERO loads (computed on one blade) were multiplied by B = 3 for a full-rotor comparison.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600"/>
        <w:gridCol w:w="1800"/>
      </w:tblGrid>
      <w:tr>
        <w:tc>
          <w:tcPr>
            <w:tcW w:type="dxa" w:w="3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VSPAERO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FLOWUnsteady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Difference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Thrust coeff. Cᴛ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0.1960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0.1867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~5.0%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Torque coeff. C_Q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0.0213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0.0203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~4.9%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Efficiency η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58.56%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58.50%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Interpretation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Efficiency agrees almost exactly because the ~5% over-prediction in VSPAERO scales proportionally across both thrust and torque — a strong internal-consistency signal, not a coincidence.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~5% absolute force gap is attributed to wake modeling: FLOWUnsteady's free-vortex particle wake captures slipstream contraction, raising local induced velocity and slightly lowering effective angle of attack — hence lower predicted thrust.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FLOWUnsteady also resolves full viscous interaction and 3-D rotational stall delay directly, versus VSPAERO's empirical skin-friction buildup.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Both solvers correctly account for blade volume displacement, including thick root sections (t/c up to 20%).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Conclusion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close agreement between a 3-D panel method and a high-fidelity viscous vortex particle method — particularly in propulsive efficiency — establishes high confidence in the evaluated propeller performance metrics at J = 0.4.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2026-09-04T09:50:10.438Z</dcterms:created>
  <dcterms:modified xsi:type="dcterms:W3CDTF">2026-09-04T09:50:10.461Z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