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Fabric Resource Naming Conventions</w:t>
      </w:r>
    </w:p>
    <w:p>
      <w:r>
        <w:t>This document defines standard naming conventions for all Microsoft Fabric resources in the context of the Metadata-Driven Framework. Consistent naming ensures maintainability, discoverability, and alignment across development, test, and production environments.</w:t>
        <w:br/>
        <w:br/>
        <w:t>General Principles:</w:t>
        <w:br/>
        <w:t>- Use PascalCase for logical object names (pipelines, workspaces, reports).</w:t>
        <w:br/>
        <w:t>- Use snake_case for physical storage paths.</w:t>
        <w:br/>
        <w:t>- Append environment suffix (_Dev, _Test, _Prod).</w:t>
        <w:br/>
        <w:t>- Avoid spaces and special characters. Use underscores (_) as delimiters.</w:t>
      </w:r>
    </w:p>
    <w:p>
      <w:pPr>
        <w:pStyle w:val="Heading1"/>
      </w:pPr>
      <w:r>
        <w:t>1. Workspaces</w:t>
      </w:r>
    </w:p>
    <w:p>
      <w:r>
        <w:t>Format: WS_&lt;Domain&gt;_&lt;Env&gt;</w:t>
        <w:br/>
        <w:t>Examples:</w:t>
        <w:br/>
        <w:t>- WS_Finance_Prod</w:t>
        <w:br/>
        <w:t>- WS_Sales_Dev</w:t>
      </w:r>
    </w:p>
    <w:p>
      <w:pPr>
        <w:pStyle w:val="Heading1"/>
      </w:pPr>
      <w:r>
        <w:t>2. Lakehouses &amp; Warehouses</w:t>
      </w:r>
    </w:p>
    <w:p>
      <w:r>
        <w:t>Format: &lt;Type&gt;_&lt;Domain&gt;_&lt;Purpose&gt;_&lt;Env&gt;</w:t>
        <w:br/>
        <w:t>Where &lt;Type&gt; is LH (Lakehouse) or WH (Warehouse).</w:t>
        <w:br/>
        <w:t>Examples:</w:t>
        <w:br/>
        <w:t>- LH_Sales_Ingest_Dev</w:t>
        <w:br/>
        <w:t>- WH_Finance_Curated_Prod</w:t>
      </w:r>
    </w:p>
    <w:p>
      <w:pPr>
        <w:pStyle w:val="Heading1"/>
      </w:pPr>
      <w:r>
        <w:t>3. Pipelines</w:t>
      </w:r>
    </w:p>
    <w:p>
      <w:r>
        <w:t>Pipeline naming aligns with the metadata-driven orchestration model (grandparent → parent → child).</w:t>
        <w:br/>
        <w:br/>
        <w:t>Formats:</w:t>
        <w:br/>
        <w:t>- Grandparent: PL_GRP_&lt;AppName&gt;_&lt;Env&gt;</w:t>
        <w:br/>
        <w:t>- Parent: PL_PAR_&lt;StageName&gt;_&lt;Env&gt;</w:t>
        <w:br/>
        <w:t>- Child: PL_CHD_&lt;PipelineName&gt;_&lt;Env&gt;</w:t>
        <w:br/>
        <w:t>- Source-specific (exceptional cases): PL_SRC_&lt;SourceName&gt;_&lt;Env&gt;</w:t>
        <w:br/>
        <w:br/>
        <w:t>Examples:</w:t>
        <w:br/>
        <w:t>- PL_GRP_MasterETL_Prod</w:t>
        <w:br/>
        <w:t>- PL_PAR_Ingest_Dev</w:t>
        <w:br/>
        <w:t>- PL_CHD_Customers_Prod</w:t>
        <w:br/>
        <w:t>- PL_SRC_SAP_Dev</w:t>
      </w:r>
    </w:p>
    <w:p>
      <w:pPr>
        <w:pStyle w:val="Heading1"/>
      </w:pPr>
      <w:r>
        <w:t>4. Metadata Tables</w:t>
      </w:r>
    </w:p>
    <w:p>
      <w:r>
        <w:t>Prefix all metadata tables with MD_.</w:t>
        <w:br/>
        <w:t>Examples:</w:t>
        <w:br/>
        <w:t>- MD_tbl_Applications</w:t>
        <w:br/>
        <w:t>- MD_tbl_Sources</w:t>
        <w:br/>
        <w:t>- MD_tbl_Pipeline</w:t>
        <w:br/>
        <w:t>- MD_tbl_ExecutionHistoryETL</w:t>
      </w:r>
    </w:p>
    <w:p>
      <w:pPr>
        <w:pStyle w:val="Heading1"/>
      </w:pPr>
      <w:r>
        <w:t>5. Connections</w:t>
      </w:r>
    </w:p>
    <w:p>
      <w:r>
        <w:t>Connections define links to external sources. Follow this strict format:</w:t>
        <w:br/>
        <w:t>Format: Conn_&lt;SourceName&gt;_&lt;DBTYPE&gt;_&lt;Env&gt;</w:t>
        <w:br/>
        <w:t>Examples:</w:t>
        <w:br/>
        <w:t>- Conn_SAP_HANA_Prod</w:t>
        <w:br/>
        <w:t>- Conn_Salesforce_API_Dev</w:t>
        <w:br/>
        <w:t>- Conn_SQLServer_ERP_Test</w:t>
      </w:r>
    </w:p>
    <w:p>
      <w:pPr>
        <w:pStyle w:val="Heading1"/>
      </w:pPr>
      <w:r>
        <w:t>6. Dataflows &amp; Datasets</w:t>
      </w:r>
    </w:p>
    <w:p>
      <w:r>
        <w:t>Format: DF_&lt;Domain&gt;_&lt;Entity&gt;_&lt;Env&gt; for Dataflows.</w:t>
        <w:br/>
        <w:t>Format: DS_&lt;Domain&gt;_&lt;Entity&gt;_&lt;Env&gt; for Datasets.</w:t>
        <w:br/>
        <w:t>Examples:</w:t>
        <w:br/>
        <w:t>- DF_Sales_Orders_Prod</w:t>
        <w:br/>
        <w:t>- DS_Finance_GL_Dev</w:t>
      </w:r>
    </w:p>
    <w:p>
      <w:pPr>
        <w:pStyle w:val="Heading1"/>
      </w:pPr>
      <w:r>
        <w:t>7. Notebooks &amp; Reports</w:t>
      </w:r>
    </w:p>
    <w:p>
      <w:r>
        <w:t>Format: NB_&lt;Purpose&gt;_&lt;Domain&gt;_&lt;Env&gt; for Notebooks.</w:t>
        <w:br/>
        <w:t>Format: RP_&lt;Domain&gt;_&lt;Subject&gt;_&lt;Env&gt; for Reports.</w:t>
        <w:br/>
        <w:t>Examples:</w:t>
        <w:br/>
        <w:t>- NB_DataQuality_Sales_Dev</w:t>
        <w:br/>
        <w:t>- RP_Finance_ProfitLoss_Prod</w:t>
      </w:r>
    </w:p>
    <w:p>
      <w:pPr>
        <w:pStyle w:val="Heading1"/>
      </w:pPr>
      <w:r>
        <w:t>8. Lakehouse File/Folder Structure</w:t>
      </w:r>
    </w:p>
    <w:p>
      <w:r>
        <w:t>Ingestion follows a structured partitioning scheme:</w:t>
        <w:br/>
        <w:t>xx_sourcename/Year_yyyy/Month_mm/Day_dd/TableName_yyyy_mm_dd_hh_mm_ss.parquet</w:t>
        <w:br/>
        <w:br/>
        <w:t>Where:</w:t>
        <w:br/>
        <w:t>- xx = zero-padded source order number from metadata.</w:t>
        <w:br/>
        <w:t>- sourcename = name from tbl_sources.</w:t>
        <w:br/>
        <w:t>- yyyy/mm/dd = partition folders by date.</w:t>
        <w:br/>
        <w:t>- TableName_timestamp = uniquely identifies the file.</w:t>
        <w:br/>
        <w:br/>
        <w:t>Example:</w:t>
        <w:br/>
        <w:t>03_Customers/Year_2025/Month_09/Day_18/Customers_2025_09_18_12_30_00.parquet</w:t>
      </w:r>
    </w:p>
    <w:p>
      <w:pPr>
        <w:pStyle w:val="Heading1"/>
      </w:pPr>
      <w:r>
        <w:t>9. Environment Suffixes</w:t>
      </w:r>
    </w:p>
    <w:p>
      <w:r>
        <w:t>Use the following suffixes for all resources:</w:t>
        <w:br/>
        <w:t>- _Dev for development</w:t>
        <w:br/>
        <w:t>- _Test for test/UAT</w:t>
        <w:br/>
        <w:t>- _Prod for production</w:t>
        <w:br/>
        <w:t>Examples:</w:t>
        <w:br/>
        <w:t>- PL_GRP_MasterETL_Dev</w:t>
        <w:br/>
        <w:t>- Conn_SAP_HANA_Prod</w:t>
      </w:r>
    </w:p>
    <w:p>
      <w:r>
        <w:br/>
        <w:t>End of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