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Highlights</w:t>
      </w:r>
    </w:p>
    <w:p>
      <w:pPr>
        <w:jc w:val="center"/>
      </w:pPr>
      <w:r>
        <w:t>Governance-Aware Hybrid Decision Fusion for Data Quality Anomaly Detection in Cloud Lakehouses: A Multi-Domain Evaluation</w:t>
      </w:r>
    </w:p>
    <w:p>
      <w:pPr>
        <w:pStyle w:val="ListBullet"/>
      </w:pPr>
      <w:r>
        <w:t>Fuses rule evidence, AI consensus, detector votes, and uncertainty.</w:t>
      </w:r>
    </w:p>
    <w:p>
      <w:pPr>
        <w:pStyle w:val="ListBullet"/>
      </w:pPr>
      <w:r>
        <w:t>Evaluates seven anomaly classes in 63 experiments across three domains.</w:t>
      </w:r>
    </w:p>
    <w:p>
      <w:pPr>
        <w:pStyle w:val="ListBullet"/>
      </w:pPr>
      <w:r>
        <w:t>Uses nested experiment-level calibration with a false-positive constraint.</w:t>
      </w:r>
    </w:p>
    <w:p>
      <w:pPr>
        <w:pStyle w:val="ListBullet"/>
      </w:pPr>
      <w:r>
        <w:t>Hybrid F1 is statistically indistinguishable from AI consensus.</w:t>
      </w:r>
    </w:p>
    <w:p>
      <w:pPr>
        <w:pStyle w:val="ListBullet"/>
      </w:pPr>
      <w:r>
        <w:t>False positives fall significantly versus the initial hybrid policy.</w:t>
      </w:r>
    </w:p>
    <w:p>
      <w:r>
        <w:rPr>
          <w:i/>
        </w:rPr>
        <w:t>Each bullet is within Elsevier’s 85-character limit, including spaces.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80" w:right="1224" w:bottom="1080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  <w:jc w:val="both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="240" w:lineRule="auto"/>
      <w:ind w:left="346" w:hanging="346"/>
    </w:pPr>
    <w:rPr>
      <w:rFonts w:ascii="Times New Roman" w:hAnsi="Times New Roman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