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c>
          <w:tcPr>
            <w:tcBorders>
              <w:top w:val="none" w:color="FFFFFF" w:sz="0"/>
              <w:left w:val="none" w:color="FFFFFF" w:sz="0"/>
              <w:bottom w:val="none" w:color="FFFFFF" w:sz="0"/>
              <w:right w:val="none" w:color="FFFFFF" w:sz="0"/>
            </w:tcBorders>
            <w:shd w:fill="1A3DB5" w:val="clear"/>
            <w:tcMar>
              <w:top w:type="dxa" w:w="60"/>
              <w:left w:type="dxa" w:w="180"/>
              <w:bottom w:type="dxa" w:w="60"/>
              <w:right w:type="dxa" w:w="180"/>
            </w:tcMar>
          </w:tcPr>
          <w:p>
            <w:pPr>
              <w:spacing w:after="0" w:before="0"/>
            </w:pPr>
            <w:r>
              <w:rPr>
                <w:rFonts w:ascii="Arial" w:cs="Arial" w:eastAsia="Arial" w:hAnsi="Arial"/>
                <w:b/>
                <w:bCs/>
                <w:color w:val="FFFFFF"/>
                <w:sz w:val="22"/>
                <w:szCs w:val="22"/>
              </w:rPr>
              <w:t xml:space="preserve">KALLPAPRO SOLUCIONES INTEGRALES</w:t>
            </w:r>
          </w:p>
        </w:tc>
        <w:tc>
          <w:tcPr>
            <w:tcBorders>
              <w:top w:val="none" w:color="FFFFFF" w:sz="0"/>
              <w:left w:val="none" w:color="FFFFFF" w:sz="0"/>
              <w:bottom w:val="none" w:color="FFFFFF" w:sz="0"/>
              <w:right w:val="none" w:color="FFFFFF" w:sz="0"/>
            </w:tcBorders>
            <w:shd w:fill="00B8E0"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LOGIFI™ Platform</w:t>
            </w:r>
          </w:p>
        </w:tc>
      </w:tr>
    </w:tbl>
    <w:p>
      <w:pPr>
        <w:spacing w:after="320" w:before="0"/>
      </w:pPr>
    </w:p>
    <w:p>
      <w:pPr>
        <w:spacing w:after="60" w:before="0"/>
        <w:jc w:val="center"/>
      </w:pPr>
      <w:r>
        <w:rPr>
          <w:rFonts w:ascii="Arial" w:cs="Arial" w:eastAsia="Arial" w:hAnsi="Arial"/>
          <w:b/>
          <w:bCs/>
          <w:color w:val="1A3DB5"/>
          <w:sz w:val="96"/>
          <w:szCs w:val="96"/>
        </w:rPr>
        <w:t xml:space="preserve">KP</w:t>
      </w:r>
    </w:p>
    <w:p>
      <w:pPr>
        <w:spacing w:after="200" w:before="0"/>
        <w:jc w:val="center"/>
      </w:pPr>
      <w:r>
        <w:rPr>
          <w:rFonts w:ascii="Arial" w:cs="Arial" w:eastAsia="Arial" w:hAnsi="Arial"/>
          <w:color w:val="B3E9F7"/>
          <w:sz w:val="22"/>
          <w:szCs w:val="22"/>
        </w:rPr>
        <w:t xml:space="preserve">━━━━━━━━━━━━━━━━━━━━━</w:t>
      </w:r>
    </w:p>
    <w:p>
      <w:pPr>
        <w:spacing w:after="120" w:before="0"/>
        <w:jc w:val="center"/>
      </w:pPr>
      <w:r>
        <w:rPr>
          <w:rFonts w:ascii="Arial" w:cs="Arial" w:eastAsia="Arial" w:hAnsi="Arial"/>
          <w:b/>
          <w:bCs/>
          <w:color w:val="0D1F6E"/>
          <w:sz w:val="52"/>
          <w:szCs w:val="52"/>
        </w:rPr>
        <w:t xml:space="preserve">PLAN EJECUTIVO INTEGRAL</w:t>
      </w:r>
    </w:p>
    <w:p>
      <w:pPr>
        <w:spacing w:after="80" w:before="0"/>
        <w:jc w:val="center"/>
      </w:pPr>
      <w:r>
        <w:rPr>
          <w:rFonts w:ascii="Arial" w:cs="Arial" w:eastAsia="Arial" w:hAnsi="Arial"/>
          <w:i/>
          <w:iCs/>
          <w:color w:val="1A3DB5"/>
          <w:sz w:val="36"/>
          <w:szCs w:val="36"/>
        </w:rPr>
        <w:t xml:space="preserve">KallpaPro Soluciones Integrales</w:t>
      </w:r>
    </w:p>
    <w:p>
      <w:pPr>
        <w:spacing w:after="240" w:before="0"/>
        <w:jc w:val="center"/>
      </w:pPr>
      <w:r>
        <w:rPr>
          <w:rFonts w:ascii="Arial" w:cs="Arial" w:eastAsia="Arial" w:hAnsi="Arial"/>
          <w:color w:val="64748B"/>
          <w:sz w:val="24"/>
          <w:szCs w:val="24"/>
        </w:rPr>
        <w:t xml:space="preserve">Plataforma SaaS B2B · Logística · Compras · Inventario · Finanzas</w:t>
      </w:r>
    </w:p>
    <w:p>
      <w:pPr>
        <w:spacing w:after="200" w:before="0"/>
        <w:jc w:val="center"/>
      </w:pPr>
      <w:r>
        <w:rPr>
          <w:rFonts w:ascii="Arial" w:cs="Arial" w:eastAsia="Arial" w:hAnsi="Arial"/>
          <w:color w:val="B3E9F7"/>
          <w:sz w:val="22"/>
          <w:szCs w:val="22"/>
        </w:rPr>
        <w:t xml:space="preser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EEF2FF" w:val="clear"/>
            <w:tcMar>
              <w:top w:type="dxa" w:w="120"/>
              <w:left w:type="dxa" w:w="160"/>
              <w:bottom w:type="dxa" w:w="120"/>
              <w:right w:type="dxa" w:w="160"/>
            </w:tcMar>
            <w:vAlign w:val="center"/>
          </w:tcPr>
          <w:p>
            <w:pPr>
              <w:spacing w:after="20" w:before="0"/>
              <w:jc w:val="center"/>
            </w:pPr>
            <w:r>
              <w:rPr>
                <w:rFonts w:ascii="Arial" w:cs="Arial" w:eastAsia="Arial" w:hAnsi="Arial"/>
                <w:b/>
                <w:bCs/>
                <w:color w:val="1A3DB5"/>
                <w:sz w:val="22"/>
                <w:szCs w:val="22"/>
              </w:rPr>
              <w:t xml:space="preserve">Ing. Cristhan Matamoros</w:t>
            </w:r>
          </w:p>
          <w:p>
            <w:pPr>
              <w:spacing w:after="0" w:before="0"/>
              <w:jc w:val="center"/>
            </w:pPr>
            <w:r>
              <w:rPr>
                <w:rFonts w:ascii="Arial" w:cs="Arial" w:eastAsia="Arial" w:hAnsi="Arial"/>
                <w:color w:val="64748B"/>
                <w:sz w:val="18"/>
                <w:szCs w:val="18"/>
              </w:rPr>
              <w:t xml:space="preserve">Co-Fundador · Tecnología &amp; Operaciones</w:t>
            </w:r>
          </w:p>
        </w:tc>
        <w:tc>
          <w:tcPr>
            <w:tcW w:type="dxa" w:w="3000"/>
            <w:tcBorders>
              <w:top w:val="none" w:color="FFFFFF" w:sz="0"/>
              <w:left w:val="none" w:color="FFFFFF" w:sz="0"/>
              <w:bottom w:val="none" w:color="FFFFFF" w:sz="0"/>
              <w:right w:val="none" w:color="FFFFFF" w:sz="0"/>
            </w:tcBorders>
            <w:shd w:fill="E0F7FD" w:val="clear"/>
            <w:tcMar>
              <w:top w:type="dxa" w:w="120"/>
              <w:left w:type="dxa" w:w="160"/>
              <w:bottom w:type="dxa" w:w="120"/>
              <w:right w:type="dxa" w:w="160"/>
            </w:tcMar>
            <w:vAlign w:val="center"/>
          </w:tcPr>
          <w:p>
            <w:pPr>
              <w:spacing w:after="20" w:before="0"/>
              <w:jc w:val="center"/>
            </w:pPr>
            <w:r>
              <w:rPr>
                <w:rFonts w:ascii="Arial" w:cs="Arial" w:eastAsia="Arial" w:hAnsi="Arial"/>
                <w:b/>
                <w:bCs/>
                <w:color w:val="1A3DB5"/>
                <w:sz w:val="22"/>
                <w:szCs w:val="22"/>
              </w:rPr>
              <w:t xml:space="preserve">CPA. Steven Sánchez C.</w:t>
            </w:r>
          </w:p>
          <w:p>
            <w:pPr>
              <w:spacing w:after="0" w:before="0"/>
              <w:jc w:val="center"/>
            </w:pPr>
            <w:r>
              <w:rPr>
                <w:rFonts w:ascii="Arial" w:cs="Arial" w:eastAsia="Arial" w:hAnsi="Arial"/>
                <w:color w:val="64748B"/>
                <w:sz w:val="18"/>
                <w:szCs w:val="18"/>
              </w:rPr>
              <w:t xml:space="preserve">Co-Fundador · Finanzas &amp; Estrategia</w:t>
            </w:r>
          </w:p>
        </w:tc>
      </w:tr>
    </w:tbl>
    <w:p>
      <w:pPr>
        <w:spacing w:after="160" w:before="0"/>
      </w:pPr>
    </w:p>
    <w:p>
      <w:pPr>
        <w:spacing w:after="80" w:before="0"/>
        <w:jc w:val="center"/>
      </w:pPr>
      <w:r>
        <w:rPr>
          <w:rFonts w:ascii="Arial" w:cs="Arial" w:eastAsia="Arial" w:hAnsi="Arial"/>
          <w:color w:val="64748B"/>
          <w:sz w:val="20"/>
          <w:szCs w:val="20"/>
        </w:rPr>
        <w:t xml:space="preserve">Guayaquil, Ecuador  ·  2026</w:t>
      </w:r>
    </w:p>
    <w:p>
      <w:pPr>
        <w:spacing w:after="0" w:before="0"/>
        <w:jc w:val="center"/>
      </w:pPr>
      <w:r>
        <w:rPr>
          <w:rFonts w:ascii="Arial" w:cs="Arial" w:eastAsia="Arial" w:hAnsi="Arial"/>
          <w:i/>
          <w:iCs/>
          <w:color w:val="64748B"/>
          <w:sz w:val="18"/>
          <w:szCs w:val="18"/>
        </w:rPr>
        <w:t xml:space="preserve">Versión 1.0  ·  Documento Confidencial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01. IDENTIDAD CORPORATIVA</w:t>
            </w:r>
          </w:p>
          <w:p>
            <w:pPr>
              <w:spacing w:after="0" w:before="40"/>
            </w:pPr>
            <w:r>
              <w:rPr>
                <w:rFonts w:ascii="Arial" w:cs="Arial" w:eastAsia="Arial" w:hAnsi="Arial"/>
                <w:i/>
                <w:iCs/>
                <w:color w:val="00B8E0"/>
                <w:sz w:val="19"/>
                <w:szCs w:val="19"/>
              </w:rPr>
              <w:t xml:space="preserve">Misión · Visión · Valores · Objetivos Estratégicos</w:t>
            </w:r>
          </w:p>
        </w:tc>
      </w:tr>
    </w:tbl>
    <w:p>
      <w:pPr>
        <w:spacing w:after="80" w:before="0"/>
      </w:pPr>
    </w:p>
    <w:p>
      <w:pPr>
        <w:pStyle w:val="Heading2"/>
        <w:spacing w:after="120" w:before="280"/>
      </w:pPr>
      <w:r>
        <w:rPr>
          <w:rFonts w:ascii="Arial" w:cs="Arial" w:eastAsia="Arial" w:hAnsi="Arial"/>
          <w:b/>
          <w:bCs/>
          <w:color w:val="1A3DB5"/>
          <w:sz w:val="28"/>
          <w:szCs w:val="28"/>
        </w:rPr>
        <w:t xml:space="preserve">Misión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0B8E0" w:val="clear"/>
          </w:tcPr>
          <w:p/>
        </w:tc>
        <w:tc>
          <w:tcPr>
            <w:tcW w:type="dxa" w:w="9180"/>
            <w:tcBorders>
              <w:top w:val="none" w:color="FFFFFF" w:sz="0"/>
              <w:left w:val="none" w:color="FFFFFF" w:sz="0"/>
              <w:bottom w:val="none" w:color="FFFFFF" w:sz="0"/>
              <w:right w:val="none" w:color="FFFFFF" w:sz="0"/>
            </w:tcBorders>
            <w:shd w:fill="E0F7FD" w:val="clear"/>
            <w:tcMar>
              <w:top w:type="dxa" w:w="100"/>
              <w:left w:type="dxa" w:w="160"/>
              <w:bottom w:type="dxa" w:w="100"/>
              <w:right w:type="dxa" w:w="160"/>
            </w:tcMar>
          </w:tcPr>
          <w:p>
            <w:pPr>
              <w:spacing w:after="0" w:before="0"/>
            </w:pPr>
            <w:r>
              <w:rPr>
                <w:rFonts w:ascii="Arial" w:cs="Arial" w:eastAsia="Arial" w:hAnsi="Arial"/>
                <w:i/>
                <w:iCs/>
                <w:color w:val="0D1F6E"/>
                <w:sz w:val="21"/>
                <w:szCs w:val="21"/>
              </w:rPr>
              <w:t xml:space="preserve">Conectar a las PyMES ecuatorianas y latinoamericanas con los mejores proveedores de servicios logísticos, de compras, control de inventarios y asesoría financiero-contable, a través de una plataforma inteligente de suscripción impulsada por Inteligencia Artificial, eliminando intermediarios innecesarios y generando valor medible en la eficiencia operativa y la rentabilidad de nuestros clientes.</w:t>
            </w:r>
          </w:p>
        </w:tc>
      </w:tr>
    </w:tbl>
    <w:p>
      <w:pPr>
        <w:spacing w:after="80" w:before="0"/>
      </w:pPr>
    </w:p>
    <w:p>
      <w:pPr>
        <w:pStyle w:val="Heading2"/>
        <w:spacing w:after="120" w:before="280"/>
      </w:pPr>
      <w:r>
        <w:rPr>
          <w:rFonts w:ascii="Arial" w:cs="Arial" w:eastAsia="Arial" w:hAnsi="Arial"/>
          <w:b/>
          <w:bCs/>
          <w:color w:val="1A3DB5"/>
          <w:sz w:val="28"/>
          <w:szCs w:val="28"/>
        </w:rPr>
        <w:t xml:space="preserv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3DB5" w:val="clear"/>
          </w:tcPr>
          <w:p/>
        </w:tc>
        <w:tc>
          <w:tcPr>
            <w:tcW w:type="dxa" w:w="9180"/>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tcPr>
          <w:p>
            <w:pPr>
              <w:spacing w:after="0" w:before="0"/>
            </w:pPr>
            <w:r>
              <w:rPr>
                <w:rFonts w:ascii="Arial" w:cs="Arial" w:eastAsia="Arial" w:hAnsi="Arial"/>
                <w:i/>
                <w:iCs/>
                <w:color w:val="0D1F6E"/>
                <w:sz w:val="21"/>
                <w:szCs w:val="21"/>
              </w:rPr>
              <w:t xml:space="preserve">Ser la plataforma SaaS B2B líder en Latinoamérica para la gestión integral de operaciones empresariales de PyMES, reconocida por transformar la manera en que las empresas gestionan su logística, compras, inventario y finanzas, convirtiéndose en el "nudo inteligente" del ecosistema empresarial de la región para el año 2030.</w:t>
            </w:r>
          </w:p>
        </w:tc>
      </w:tr>
    </w:tbl>
    <w:p>
      <w:pPr>
        <w:spacing w:after="80" w:before="0"/>
      </w:pPr>
    </w:p>
    <w:p>
      <w:pPr>
        <w:pStyle w:val="Heading2"/>
        <w:spacing w:after="120" w:before="280"/>
      </w:pPr>
      <w:r>
        <w:rPr>
          <w:rFonts w:ascii="Arial" w:cs="Arial" w:eastAsia="Arial" w:hAnsi="Arial"/>
          <w:b/>
          <w:bCs/>
          <w:color w:val="1A3DB5"/>
          <w:sz w:val="28"/>
          <w:szCs w:val="28"/>
        </w:rPr>
        <w:t xml:space="preserve">Valores Corporativos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Valor</w:t>
            </w:r>
          </w:p>
        </w:tc>
        <w:tc>
          <w:tcPr>
            <w:tcW w:type="dxa" w:w="65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Definición Práctica</w:t>
            </w:r>
          </w:p>
        </w:tc>
      </w:tr>
      <w:tr>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Integridad</w:t>
            </w:r>
          </w:p>
        </w:tc>
        <w:tc>
          <w:tcPr>
            <w:tcW w:type="dxa" w:w="6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Transparencia total en tarifas, procesos y resultados. El cliente siempre sabe qué pagó y qué obtuvo.</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Innovación</w:t>
            </w:r>
          </w:p>
        </w:tc>
        <w:tc>
          <w:tcPr>
            <w:tcW w:type="dxa" w:w="6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Incorporar IA y tecnología de vanguardia en cada servicio. No vendemos software del pasado.</w:t>
            </w:r>
          </w:p>
        </w:tc>
      </w:tr>
      <w:tr>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Eficiencia</w:t>
            </w:r>
          </w:p>
        </w:tc>
        <w:tc>
          <w:tcPr>
            <w:tcW w:type="dxa" w:w="6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Cada proceso que tocamos debe ser más rápido y más barato después de KallpaPro.</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Responsabilidad</w:t>
            </w:r>
          </w:p>
        </w:tc>
        <w:tc>
          <w:tcPr>
            <w:tcW w:type="dxa" w:w="6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Cumplimiento de SLAs con penalidades reales. No somos consultores que prometen y desaparecen.</w:t>
            </w:r>
          </w:p>
        </w:tc>
      </w:tr>
      <w:tr>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Colaboración</w:t>
            </w:r>
          </w:p>
        </w:tc>
        <w:tc>
          <w:tcPr>
            <w:tcW w:type="dxa" w:w="6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Crecemos con el ecosistema: nuestros proveedores, clientes y aliados son parte del modelo.</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Excelencia</w:t>
            </w:r>
          </w:p>
        </w:tc>
        <w:tc>
          <w:tcPr>
            <w:tcW w:type="dxa" w:w="6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Estándares empresariales en cada entregable, incluso para la PyME más pequeña.</w:t>
            </w:r>
          </w:p>
        </w:tc>
      </w:tr>
    </w:tbl>
    <w:p>
      <w:pPr>
        <w:spacing w:after="80" w:before="0"/>
      </w:pPr>
    </w:p>
    <w:p>
      <w:pPr>
        <w:pStyle w:val="Heading2"/>
        <w:spacing w:after="120" w:before="280"/>
      </w:pPr>
      <w:r>
        <w:rPr>
          <w:rFonts w:ascii="Arial" w:cs="Arial" w:eastAsia="Arial" w:hAnsi="Arial"/>
          <w:b/>
          <w:bCs/>
          <w:color w:val="1A3DB5"/>
          <w:sz w:val="28"/>
          <w:szCs w:val="28"/>
        </w:rPr>
        <w:t xml:space="preserve">Objetivos Estratégicos 2026–2029</w:t>
      </w:r>
    </w:p>
    <w:p>
      <w:pPr>
        <w:pStyle w:val="ListParagraph"/>
        <w:numPr>
          <w:ilvl w:val="0"/>
          <w:numId w:val="2"/>
        </w:numPr>
        <w:spacing w:after="60" w:before="40"/>
      </w:pPr>
      <w:r>
        <w:rPr>
          <w:rFonts w:ascii="Arial" w:cs="Arial" w:eastAsia="Arial" w:hAnsi="Arial"/>
          <w:color w:val="1E293B"/>
          <w:sz w:val="21"/>
          <w:szCs w:val="21"/>
        </w:rPr>
        <w:t xml:space="preserve">Año 1: Lanzar la plataforma LOGIFI™ unificada con los 4 módulos core (Logística, Compras, Inventario, Finanzas) y alcanzar 30 clientes PyME activos con un MRR de $12,000+.</w:t>
      </w:r>
    </w:p>
    <w:p>
      <w:pPr>
        <w:pStyle w:val="ListParagraph"/>
        <w:numPr>
          <w:ilvl w:val="0"/>
          <w:numId w:val="2"/>
        </w:numPr>
        <w:spacing w:after="60" w:before="40"/>
      </w:pPr>
      <w:r>
        <w:rPr>
          <w:rFonts w:ascii="Arial" w:cs="Arial" w:eastAsia="Arial" w:hAnsi="Arial"/>
          <w:color w:val="1E293B"/>
          <w:sz w:val="21"/>
          <w:szCs w:val="21"/>
        </w:rPr>
        <w:t xml:space="preserve">Año 2: Escalar a 100 clientes, integrar servicios de valorización de compañías y factoring logístico. MRR objetivo: $45,000. Expansión a 2 ciudades adicionales.</w:t>
      </w:r>
    </w:p>
    <w:p>
      <w:pPr>
        <w:pStyle w:val="ListParagraph"/>
        <w:numPr>
          <w:ilvl w:val="0"/>
          <w:numId w:val="2"/>
        </w:numPr>
        <w:spacing w:after="60" w:before="40"/>
      </w:pPr>
      <w:r>
        <w:rPr>
          <w:rFonts w:ascii="Arial" w:cs="Arial" w:eastAsia="Arial" w:hAnsi="Arial"/>
          <w:color w:val="1E293B"/>
          <w:sz w:val="21"/>
          <w:szCs w:val="21"/>
        </w:rPr>
        <w:t xml:space="preserve">Año 3: 300 clientes activos, ingresos anuales $800,000+. Expansión a Colombia y Perú. Alianzas con 3 instituciones financieras para productos de crédito integrados.</w:t>
      </w:r>
    </w:p>
    <w:p>
      <w:pPr>
        <w:pStyle w:val="ListParagraph"/>
        <w:numPr>
          <w:ilvl w:val="0"/>
          <w:numId w:val="2"/>
        </w:numPr>
        <w:spacing w:after="60" w:before="40"/>
      </w:pPr>
      <w:r>
        <w:rPr>
          <w:rFonts w:ascii="Arial" w:cs="Arial" w:eastAsia="Arial" w:hAnsi="Arial"/>
          <w:color w:val="1E293B"/>
          <w:sz w:val="21"/>
          <w:szCs w:val="21"/>
        </w:rPr>
        <w:t xml:space="preserve">Año 4: Marketplace B2B completo para comercialización puerta a puerta. 1,000+ PyMES en plataforma. ARR $3M+. Primera ronda de inversión Series 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02. ESTRUCTURA ORGANIZACIONAL</w:t>
            </w:r>
          </w:p>
          <w:p>
            <w:pPr>
              <w:spacing w:after="0" w:before="40"/>
            </w:pPr>
            <w:r>
              <w:rPr>
                <w:rFonts w:ascii="Arial" w:cs="Arial" w:eastAsia="Arial" w:hAnsi="Arial"/>
                <w:i/>
                <w:iCs/>
                <w:color w:val="00B8E0"/>
                <w:sz w:val="19"/>
                <w:szCs w:val="19"/>
              </w:rPr>
              <w:t xml:space="preserve">Organigrama, Roles y Responsabilidades</w:t>
            </w:r>
          </w:p>
        </w:tc>
      </w:tr>
    </w:tbl>
    <w:p>
      <w:pPr>
        <w:spacing w:after="80" w:before="0"/>
      </w:pPr>
    </w:p>
    <w:p>
      <w:pPr>
        <w:pStyle w:val="Heading2"/>
        <w:spacing w:after="120" w:before="280"/>
      </w:pPr>
      <w:r>
        <w:rPr>
          <w:rFonts w:ascii="Arial" w:cs="Arial" w:eastAsia="Arial" w:hAnsi="Arial"/>
          <w:b/>
          <w:bCs/>
          <w:color w:val="1A3DB5"/>
          <w:sz w:val="28"/>
          <w:szCs w:val="28"/>
        </w:rPr>
        <w:t xml:space="preserve">Tipo de Empresa y Marco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Razón Social</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KallpaPro Soluciones Integrales Cía. Ltda.</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Tipo</w:t>
            </w:r>
          </w:p>
        </w:tc>
        <w:tc>
          <w:tcPr>
            <w:tcW w:type="dxa" w:w="6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Compañía de Responsabilidad Limitada (Ecuador)</w:t>
            </w:r>
          </w:p>
        </w:tc>
      </w:tr>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Capital mínimo</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$400 USD — aportación igual entre socios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Domicilio</w:t>
            </w:r>
          </w:p>
        </w:tc>
        <w:tc>
          <w:tcPr>
            <w:tcW w:type="dxa" w:w="6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Guayaquil, Provincia del Guayas, Ecuador</w:t>
            </w:r>
          </w:p>
        </w:tc>
      </w:tr>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Objeto social</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Desarrollo de software, consultoría empresarial, servicios logísticos, gestión de compras y asesoría financiero-contable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CIIU</w:t>
            </w:r>
          </w:p>
        </w:tc>
        <w:tc>
          <w:tcPr>
            <w:tcW w:type="dxa" w:w="6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J6201 · M7020 · H4923</w:t>
            </w:r>
          </w:p>
        </w:tc>
      </w:tr>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Registro</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SUPERCIAS + SRI + Patente Municipal Guayaquil</w:t>
            </w:r>
          </w:p>
        </w:tc>
      </w:tr>
    </w:tbl>
    <w:p>
      <w:pPr>
        <w:spacing w:after="80" w:before="0"/>
      </w:pPr>
    </w:p>
    <w:p>
      <w:pPr>
        <w:pStyle w:val="Heading2"/>
        <w:spacing w:after="120" w:before="280"/>
      </w:pPr>
      <w:r>
        <w:rPr>
          <w:rFonts w:ascii="Arial" w:cs="Arial" w:eastAsia="Arial" w:hAnsi="Arial"/>
          <w:b/>
          <w:bCs/>
          <w:color w:val="1A3DB5"/>
          <w:sz w:val="28"/>
          <w:szCs w:val="28"/>
        </w:rPr>
        <w:t xml:space="preserve">Organigrama Corporativo — Fase 1 (Año 1)</w:t>
      </w:r>
    </w:p>
    <w:p>
      <w:pPr>
        <w:spacing w:after="80" w:before="60"/>
      </w:pPr>
      <w:r>
        <w:rPr>
          <w:rFonts w:ascii="Arial" w:cs="Arial" w:eastAsia="Arial" w:hAnsi="Arial"/>
          <w:i/>
          <w:iCs/>
          <w:color w:val="1E293B"/>
          <w:sz w:val="22"/>
          <w:szCs w:val="22"/>
        </w:rPr>
        <w:t xml:space="preserve">KallpaPro opera con una estructura lean y modular en la fase inicial. Cada socio asume un portafolio dual: operativo + estratégico.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2880"/>
            </w:tblGrid>
            <w:tr>
              <w:tc>
                <w:tcPr>
                  <w:tcW w:type="dxa" w:w="2880"/>
                  <w:tcBorders>
                    <w:top w:val="none" w:color="FFFFFF" w:sz="0"/>
                    <w:left w:val="none" w:color="FFFFFF" w:sz="0"/>
                    <w:bottom w:val="none" w:color="FFFFFF" w:sz="0"/>
                    <w:right w:val="none" w:color="FFFFFF" w:sz="0"/>
                  </w:tcBorders>
                  <w:shd w:fill="FFFFFF" w:val="clear"/>
                </w:tcPr>
                <w:p/>
              </w:tc>
              <w:tc>
                <w:tcPr>
                  <w:tcW w:type="dxa" w:w="1800"/>
                  <w:tcBorders>
                    <w:top w:val="single" w:color="1A3DB5" w:sz="8"/>
                    <w:left w:val="single" w:color="1A3DB5" w:sz="8"/>
                    <w:bottom w:val="single" w:color="1A3DB5" w:sz="8"/>
                    <w:right w:val="single" w:color="1A3DB5" w:sz="8"/>
                  </w:tcBorders>
                  <w:shd w:fill="1A3DB5" w:val="clear"/>
                  <w:tcMar>
                    <w:top w:type="dxa" w:w="80"/>
                    <w:left w:type="dxa" w:w="100"/>
                    <w:bottom w:type="dxa" w:w="80"/>
                    <w:right w:type="dxa" w:w="100"/>
                  </w:tcMar>
                  <w:vAlign w:val="center"/>
                </w:tcPr>
                <w:p>
                  <w:pPr>
                    <w:spacing w:after="20" w:before="0"/>
                    <w:jc w:val="center"/>
                  </w:pPr>
                  <w:r>
                    <w:rPr>
                      <w:rFonts w:ascii="Arial" w:cs="Arial" w:eastAsia="Arial" w:hAnsi="Arial"/>
                      <w:b/>
                      <w:bCs/>
                      <w:color w:val="FFFFFF"/>
                      <w:sz w:val="18"/>
                      <w:szCs w:val="18"/>
                    </w:rPr>
                    <w:t xml:space="preserve">DIRECTORIO</w:t>
                  </w:r>
                </w:p>
                <w:p>
                  <w:pPr>
                    <w:spacing w:after="0" w:before="0"/>
                    <w:jc w:val="center"/>
                  </w:pPr>
                  <w:r>
                    <w:rPr>
                      <w:rFonts w:ascii="Arial" w:cs="Arial" w:eastAsia="Arial" w:hAnsi="Arial"/>
                      <w:color w:val="B3E9F7"/>
                      <w:sz w:val="16"/>
                      <w:szCs w:val="16"/>
                    </w:rPr>
                    <w:t xml:space="preserve">Ambos Socios</w:t>
                  </w:r>
                </w:p>
              </w:tc>
              <w:tc>
                <w:tcPr>
                  <w:tcW w:type="dxa" w:w="2880"/>
                  <w:tcBorders>
                    <w:top w:val="none" w:color="FFFFFF" w:sz="0"/>
                    <w:left w:val="none" w:color="FFFFFF" w:sz="0"/>
                    <w:bottom w:val="none" w:color="FFFFFF" w:sz="0"/>
                    <w:right w:val="none" w:color="FFFFFF" w:sz="0"/>
                  </w:tcBorders>
                  <w:shd w:fill="FFFFFF" w:val="clear"/>
                </w:tcPr>
                <w:p/>
              </w:tc>
            </w:tr>
          </w:tbl>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Cargo</w:t>
            </w:r>
          </w:p>
        </w:tc>
        <w:tc>
          <w:tcPr>
            <w:tcW w:type="dxa" w:w="25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Titular</w:t>
            </w:r>
          </w:p>
        </w:tc>
        <w:tc>
          <w:tcPr>
            <w:tcW w:type="dxa" w:w="43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Responsabilidades Principales</w:t>
            </w:r>
          </w:p>
        </w:tc>
      </w:tr>
      <w:tr>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CEO / Dir. Tecnología</w:t>
            </w:r>
          </w:p>
        </w:tc>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Ing. Cristhan Matamoros</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Estrategia, desarrollo de plataforma, arquitectura de software, ventas enterprise</w:t>
            </w:r>
          </w:p>
        </w:tc>
      </w:tr>
      <w:tr>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CFO / Dir. Finanzas</w:t>
            </w:r>
          </w:p>
        </w:tc>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CPA. Steven Sánchez C.</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Modelo financiero, módulo contable, relaciones con inversores, cumplimiento tributario</w:t>
            </w:r>
          </w:p>
        </w:tc>
      </w:tr>
      <w:tr>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Coord. de Operaciones</w:t>
            </w:r>
          </w:p>
        </w:tc>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Por contratar (Mes 3)</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Coordinación logística, onboarding de clientes, gestión de proveedores</w:t>
            </w:r>
          </w:p>
        </w:tc>
      </w:tr>
      <w:tr>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Analista de Compras</w:t>
            </w:r>
          </w:p>
        </w:tc>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Por contratar (Mes 3)</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Gestión RFQ, evaluación proveedores, módulo de procurement</w:t>
            </w:r>
          </w:p>
        </w:tc>
      </w:tr>
      <w:tr>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Ejecutivo Comercial</w:t>
            </w:r>
          </w:p>
        </w:tc>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Por contratar (Mes 4)</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Prospección B2B, cierre de contratos, gestión de cuentas</w:t>
            </w:r>
          </w:p>
        </w:tc>
      </w:tr>
      <w:tr>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Desarrollador Senior</w:t>
            </w:r>
          </w:p>
        </w:tc>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Por contratar (Mes 2)</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Desarrollo backend Node.js/Fastify, API, integraciones GPS y ERP</w:t>
            </w:r>
          </w:p>
        </w:tc>
      </w:tr>
      <w:tr>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Desarrollador Full-Stack</w:t>
            </w:r>
          </w:p>
        </w:tc>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Por contratar (Mes 4)</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Frontend Next.js, módulos UI, app móvil conductores</w:t>
            </w:r>
          </w:p>
        </w:tc>
      </w:tr>
      <w:tr>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Asistente Admin/Contable</w:t>
            </w:r>
          </w:p>
        </w:tc>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Por contratar (Mes 5)</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Facturación SRI, IESS, reportes financieros internos, cobranza</w:t>
            </w:r>
          </w:p>
        </w:tc>
      </w:tr>
    </w:tbl>
    <w:p>
      <w:pPr>
        <w:spacing w:after="80" w:before="0"/>
      </w:pPr>
    </w:p>
    <w:p>
      <w:pPr>
        <w:pStyle w:val="Heading3"/>
        <w:spacing w:after="80" w:before="200"/>
      </w:pPr>
      <w:r>
        <w:rPr>
          <w:rFonts w:ascii="Arial" w:cs="Arial" w:eastAsia="Arial" w:hAnsi="Arial"/>
          <w:b/>
          <w:bCs/>
          <w:color w:val="0D1F6E"/>
          <w:sz w:val="24"/>
          <w:szCs w:val="24"/>
        </w:rPr>
        <w:t xml:space="preserve">Estructura de Participación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Ing. Cristhan Matamoros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50% del capital social — Especialidad: Tecnología, Operaciones, Logística</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CPA. Steven Sánchez C.</w:t>
            </w:r>
          </w:p>
        </w:tc>
        <w:tc>
          <w:tcPr>
            <w:tcW w:type="dxa" w:w="6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50% del capital social — Especialidad: Finanzas, Contabilidad, Estrategia</w:t>
            </w:r>
          </w:p>
        </w:tc>
      </w:tr>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Modelo de compensación</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Salario diferido primeros 6 meses. Distribución de utilidades desde el Mes 7 cuando MRR &gt; $12,000</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Políticas de gobierno</w:t>
            </w:r>
          </w:p>
        </w:tc>
        <w:tc>
          <w:tcPr>
            <w:tcW w:type="dxa" w:w="6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Decisiones estratégicas por consenso. Operativas por área de responsabilidad individual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03. MODELO DE NEGOCIO</w:t>
            </w:r>
          </w:p>
          <w:p>
            <w:pPr>
              <w:spacing w:after="0" w:before="40"/>
            </w:pPr>
            <w:r>
              <w:rPr>
                <w:rFonts w:ascii="Arial" w:cs="Arial" w:eastAsia="Arial" w:hAnsi="Arial"/>
                <w:i/>
                <w:iCs/>
                <w:color w:val="00B8E0"/>
                <w:sz w:val="19"/>
                <w:szCs w:val="19"/>
              </w:rPr>
              <w:t xml:space="preserve">Plataforma SaaS B2B · Suscripción · Intermediación Inteligente</w:t>
            </w:r>
          </w:p>
        </w:tc>
      </w:tr>
    </w:tbl>
    <w:p>
      <w:pPr>
        <w:spacing w:after="80" w:before="0"/>
      </w:pPr>
    </w:p>
    <w:p>
      <w:pPr>
        <w:pStyle w:val="Heading2"/>
        <w:spacing w:after="120" w:before="280"/>
      </w:pPr>
      <w:r>
        <w:rPr>
          <w:rFonts w:ascii="Arial" w:cs="Arial" w:eastAsia="Arial" w:hAnsi="Arial"/>
          <w:b/>
          <w:bCs/>
          <w:color w:val="1A3DB5"/>
          <w:sz w:val="28"/>
          <w:szCs w:val="28"/>
        </w:rPr>
        <w:t xml:space="preserve">El Modelo en Palabras Simples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59669" w:val="clear"/>
          </w:tcPr>
          <w:p/>
        </w:tc>
        <w:tc>
          <w:tcPr>
            <w:tcW w:type="dxa" w:w="9180"/>
            <w:tcBorders>
              <w:top w:val="none" w:color="FFFFFF" w:sz="0"/>
              <w:left w:val="none" w:color="FFFFFF" w:sz="0"/>
              <w:bottom w:val="none" w:color="FFFFFF" w:sz="0"/>
              <w:right w:val="none" w:color="FFFFFF" w:sz="0"/>
            </w:tcBorders>
            <w:shd w:fill="ECFDF5" w:val="clear"/>
            <w:tcMar>
              <w:top w:type="dxa" w:w="100"/>
              <w:left w:type="dxa" w:w="160"/>
              <w:bottom w:type="dxa" w:w="100"/>
              <w:right w:type="dxa" w:w="160"/>
            </w:tcMar>
          </w:tcPr>
          <w:p>
            <w:pPr>
              <w:spacing w:after="0" w:before="0"/>
            </w:pPr>
            <w:r>
              <w:rPr>
                <w:rFonts w:ascii="Arial" w:cs="Arial" w:eastAsia="Arial" w:hAnsi="Arial"/>
                <w:i/>
                <w:iCs/>
                <w:color w:val="0D1F6E"/>
                <w:sz w:val="21"/>
                <w:szCs w:val="21"/>
              </w:rPr>
              <w:t xml:space="preserve">KallpaPro es un intermediario inteligente impulsado por IA. La PyME cliente nos contrata por suscripción mensual. Nosotros gestionamos sus operaciones de logística, compras, inventario y finanzas con nuestra plataforma. Para cada necesidad del cliente, identificamos y presentamos los 3 mejores proveedores del mercado. El cliente elige. KallpaPro coordina. Todos ganan.</w:t>
            </w:r>
          </w:p>
        </w:tc>
      </w:tr>
    </w:tbl>
    <w:p>
      <w:pPr>
        <w:spacing w:after="80" w:before="0"/>
      </w:pPr>
    </w:p>
    <w:p>
      <w:pPr>
        <w:pStyle w:val="Heading2"/>
        <w:spacing w:after="120" w:before="280"/>
      </w:pPr>
      <w:r>
        <w:rPr>
          <w:rFonts w:ascii="Arial" w:cs="Arial" w:eastAsia="Arial" w:hAnsi="Arial"/>
          <w:b/>
          <w:bCs/>
          <w:color w:val="1A3DB5"/>
          <w:sz w:val="28"/>
          <w:szCs w:val="28"/>
        </w:rPr>
        <w:t xml:space="preserve">Fuentes de Ingresos — 5 Flujos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300"/>
        <w:gridCol w:w="1560"/>
        <w:gridCol w:w="960"/>
      </w:tblGrid>
      <w:tr>
        <w:trPr>
          <w:tblHeader/>
        </w:trPr>
        <w:tc>
          <w:tcPr>
            <w:tcW w:type="dxa" w:w="3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w:t>
            </w:r>
          </w:p>
        </w:tc>
        <w:tc>
          <w:tcPr>
            <w:tcW w:type="dxa" w:w="22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Fuente de Ingreso</w:t>
            </w:r>
          </w:p>
        </w:tc>
        <w:tc>
          <w:tcPr>
            <w:tcW w:type="dxa" w:w="33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Descripción</w:t>
            </w:r>
          </w:p>
        </w:tc>
        <w:tc>
          <w:tcPr>
            <w:tcW w:type="dxa" w:w="15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Precio Base</w:t>
            </w:r>
          </w:p>
        </w:tc>
        <w:tc>
          <w:tcPr>
            <w:tcW w:type="dxa" w:w="9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Margen</w:t>
            </w:r>
          </w:p>
        </w:tc>
      </w:tr>
      <w:tr>
        <w:tc>
          <w:tcPr>
            <w:tcW w:type="dxa" w:w="3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w:t>
            </w:r>
          </w:p>
        </w:tc>
        <w:tc>
          <w:tcPr>
            <w:tcW w:type="dxa" w:w="2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Suscripción SaaS (Core)</w:t>
            </w:r>
          </w:p>
        </w:tc>
        <w:tc>
          <w:tcPr>
            <w:tcW w:type="dxa" w:w="33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Acceso mensual a la plataforma LOGIFI™ con los 4 módulos</w:t>
            </w:r>
          </w:p>
        </w:tc>
        <w:tc>
          <w:tcPr>
            <w:tcW w:type="dxa" w:w="1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$200–$800/mes</w:t>
            </w:r>
          </w:p>
        </w:tc>
        <w:tc>
          <w:tcPr>
            <w:tcW w:type="dxa" w:w="9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75–85%</w:t>
            </w:r>
          </w:p>
        </w:tc>
      </w:tr>
      <w:tr>
        <w:tc>
          <w:tcPr>
            <w:tcW w:type="dxa" w:w="3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Comisión por matching logístico</w:t>
            </w:r>
          </w:p>
        </w:tc>
        <w:tc>
          <w:tcPr>
            <w:tcW w:type="dxa" w:w="33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Take rate sobre el flete coordinado en plataforma</w:t>
            </w:r>
          </w:p>
        </w:tc>
        <w:tc>
          <w:tcPr>
            <w:tcW w:type="dxa" w:w="1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4–8% del flete</w:t>
            </w:r>
          </w:p>
        </w:tc>
        <w:tc>
          <w:tcPr>
            <w:tcW w:type="dxa" w:w="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85–90%</w:t>
            </w:r>
          </w:p>
        </w:tc>
      </w:tr>
      <w:tr>
        <w:tc>
          <w:tcPr>
            <w:tcW w:type="dxa" w:w="3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w:t>
            </w:r>
          </w:p>
        </w:tc>
        <w:tc>
          <w:tcPr>
            <w:tcW w:type="dxa" w:w="2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Fee de Procurement</w:t>
            </w:r>
          </w:p>
        </w:tc>
        <w:tc>
          <w:tcPr>
            <w:tcW w:type="dxa" w:w="33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Comisión por OC gestionadas en el módulo de compras</w:t>
            </w:r>
          </w:p>
        </w:tc>
        <w:tc>
          <w:tcPr>
            <w:tcW w:type="dxa" w:w="1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2–4% del monto OC</w:t>
            </w:r>
          </w:p>
        </w:tc>
        <w:tc>
          <w:tcPr>
            <w:tcW w:type="dxa" w:w="9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75–80%</w:t>
            </w:r>
          </w:p>
        </w:tc>
      </w:tr>
      <w:tr>
        <w:tc>
          <w:tcPr>
            <w:tcW w:type="dxa" w:w="3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Valorización de inventario</w:t>
            </w:r>
          </w:p>
        </w:tc>
        <w:tc>
          <w:tcPr>
            <w:tcW w:type="dxa" w:w="33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Servicio de auditoría y valorización del stock del cliente</w:t>
            </w:r>
          </w:p>
        </w:tc>
        <w:tc>
          <w:tcPr>
            <w:tcW w:type="dxa" w:w="1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$450–$1,500 c/u</w:t>
            </w:r>
          </w:p>
        </w:tc>
        <w:tc>
          <w:tcPr>
            <w:tcW w:type="dxa" w:w="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70–80%</w:t>
            </w:r>
          </w:p>
        </w:tc>
      </w:tr>
      <w:tr>
        <w:tc>
          <w:tcPr>
            <w:tcW w:type="dxa" w:w="3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w:t>
            </w:r>
          </w:p>
        </w:tc>
        <w:tc>
          <w:tcPr>
            <w:tcW w:type="dxa" w:w="2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Servicios financieros / Flujo de Caja</w:t>
            </w:r>
          </w:p>
        </w:tc>
        <w:tc>
          <w:tcPr>
            <w:tcW w:type="dxa" w:w="33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Análisis financiero, valorización empresa, asesoría FCF/EVA</w:t>
            </w:r>
          </w:p>
        </w:tc>
        <w:tc>
          <w:tcPr>
            <w:tcW w:type="dxa" w:w="1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$300–$1,200/mes</w:t>
            </w:r>
          </w:p>
        </w:tc>
        <w:tc>
          <w:tcPr>
            <w:tcW w:type="dxa" w:w="9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80–90%</w:t>
            </w:r>
          </w:p>
        </w:tc>
      </w:tr>
    </w:tbl>
    <w:p>
      <w:pPr>
        <w:spacing w:after="80" w:before="0"/>
      </w:pPr>
    </w:p>
    <w:p>
      <w:pPr>
        <w:pStyle w:val="Heading2"/>
        <w:spacing w:after="120" w:before="280"/>
      </w:pPr>
      <w:r>
        <w:rPr>
          <w:rFonts w:ascii="Arial" w:cs="Arial" w:eastAsia="Arial" w:hAnsi="Arial"/>
          <w:b/>
          <w:bCs/>
          <w:color w:val="1A3DB5"/>
          <w:sz w:val="28"/>
          <w:szCs w:val="28"/>
        </w:rPr>
        <w:t xml:space="preserve">Planes de Suscripción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120"/>
            </w:tcMar>
          </w:tcPr>
          <w:p>
            <w:pPr>
              <w:spacing w:after="0" w:before="0"/>
              <w:jc w:val="center"/>
            </w:pPr>
            <w:r>
              <w:rPr>
                <w:rFonts w:ascii="Arial" w:cs="Arial" w:eastAsia="Arial" w:hAnsi="Arial"/>
                <w:b/>
                <w:bCs/>
                <w:color w:val="0D1F6E"/>
                <w:sz w:val="20"/>
                <w:szCs w:val="20"/>
              </w:rPr>
              <w:t xml:space="preserve">Característica</w:t>
            </w:r>
          </w:p>
        </w:tc>
        <w:tc>
          <w:tcPr>
            <w:tcW w:type="dxa" w:w="234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jc w:val="center"/>
            </w:pPr>
            <w:r>
              <w:rPr>
                <w:rFonts w:ascii="Arial" w:cs="Arial" w:eastAsia="Arial" w:hAnsi="Arial"/>
                <w:b/>
                <w:bCs/>
                <w:color w:val="1A3DB5"/>
                <w:sz w:val="20"/>
                <w:szCs w:val="20"/>
              </w:rPr>
              <w:t xml:space="preserve">🌱 Starter</w:t>
            </w:r>
          </w:p>
        </w:tc>
        <w:tc>
          <w:tcPr>
            <w:tcW w:type="dxa" w:w="2340"/>
            <w:tcBorders>
              <w:top w:val="single" w:color="00B8E0" w:sz="8"/>
              <w:left w:val="single" w:color="00B8E0" w:sz="8"/>
              <w:bottom w:val="single" w:color="00B8E0" w:sz="8"/>
              <w:right w:val="single" w:color="00B8E0" w:sz="8"/>
            </w:tcBorders>
            <w:shd w:fill="E0F7FD" w:val="clear"/>
            <w:tcMar>
              <w:top w:type="dxa" w:w="80"/>
              <w:left w:type="dxa" w:w="120"/>
              <w:bottom w:type="dxa" w:w="80"/>
              <w:right w:type="dxa" w:w="120"/>
            </w:tcMar>
          </w:tcPr>
          <w:p>
            <w:pPr>
              <w:spacing w:after="20" w:before="0"/>
              <w:jc w:val="center"/>
            </w:pPr>
            <w:r>
              <w:rPr>
                <w:rFonts w:ascii="Arial" w:cs="Arial" w:eastAsia="Arial" w:hAnsi="Arial"/>
                <w:b/>
                <w:bCs/>
                <w:color w:val="1A3DB5"/>
                <w:sz w:val="20"/>
                <w:szCs w:val="20"/>
              </w:rPr>
              <w:t xml:space="preserve">🚀 Pro</w:t>
            </w:r>
          </w:p>
          <w:p>
            <w:pPr>
              <w:spacing w:after="0" w:before="0"/>
              <w:jc w:val="center"/>
            </w:pPr>
            <w:r>
              <w:rPr>
                <w:rFonts w:ascii="Arial" w:cs="Arial" w:eastAsia="Arial" w:hAnsi="Arial"/>
                <w:b/>
                <w:bCs/>
                <w:color w:val="00B8E0"/>
                <w:sz w:val="16"/>
                <w:szCs w:val="16"/>
              </w:rPr>
              <w:t xml:space="preserve">RECOMENDADO</w:t>
            </w:r>
          </w:p>
        </w:tc>
        <w:tc>
          <w:tcPr>
            <w:tcW w:type="dxa" w:w="2340"/>
            <w:tcBorders>
              <w:top w:val="single" w:color="1A3DB5" w:sz="8"/>
              <w:left w:val="single" w:color="1A3DB5" w:sz="8"/>
              <w:bottom w:val="single" w:color="1A3DB5" w:sz="8"/>
              <w:right w:val="single" w:color="1A3DB5" w:sz="8"/>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 Enterprise</w:t>
            </w:r>
          </w:p>
        </w:tc>
      </w:tr>
      <w:tr>
        <w:tc>
          <w:tcPr>
            <w:tcW w:type="dxa" w:w="2340"/>
            <w:tcBorders>
              <w:top w:val="single" w:color="E2E8F0" w:sz="4"/>
              <w:left w:val="single" w:color="E2E8F0" w:sz="4"/>
              <w:bottom w:val="single" w:color="E2E8F0" w:sz="4"/>
              <w:right w:val="single" w:color="E2E8F0" w:sz="4"/>
            </w:tcBorders>
            <w:shd w:fill="F8FAFF" w:val="clear"/>
            <w:tcMar>
              <w:top w:type="dxa" w:w="60"/>
              <w:left w:type="dxa" w:w="100"/>
              <w:bottom w:type="dxa" w:w="60"/>
              <w:right w:type="dxa" w:w="100"/>
            </w:tcMar>
          </w:tcPr>
          <w:p>
            <w:pPr>
              <w:spacing w:after="0" w:before="0"/>
            </w:pPr>
            <w:r>
              <w:rPr>
                <w:rFonts w:ascii="Arial" w:cs="Arial" w:eastAsia="Arial" w:hAnsi="Arial"/>
                <w:b/>
                <w:bCs/>
                <w:color w:val="1E293B"/>
                <w:sz w:val="18"/>
                <w:szCs w:val="18"/>
              </w:rPr>
              <w:t xml:space="preserve">Precio mensual</w:t>
            </w:r>
          </w:p>
        </w:tc>
        <w:tc>
          <w:tcPr>
            <w:tcW w:type="dxa" w:w="2340"/>
            <w:tcBorders>
              <w:top w:val="single" w:color="E2E8F0" w:sz="4"/>
              <w:left w:val="single" w:color="E2E8F0" w:sz="4"/>
              <w:bottom w:val="single" w:color="E2E8F0" w:sz="4"/>
              <w:right w:val="single" w:color="E2E8F0" w:sz="4"/>
            </w:tcBorders>
            <w:shd w:fill="EEF2FF" w:val="clear"/>
            <w:tcMar>
              <w:top w:type="dxa" w:w="60"/>
              <w:left w:type="dxa" w:w="100"/>
              <w:bottom w:type="dxa" w:w="60"/>
              <w:right w:type="dxa" w:w="100"/>
            </w:tcMar>
          </w:tcPr>
          <w:p>
            <w:pPr>
              <w:spacing w:after="0" w:before="0"/>
              <w:jc w:val="center"/>
            </w:pPr>
            <w:r>
              <w:rPr>
                <w:rFonts w:ascii="Arial" w:cs="Arial" w:eastAsia="Arial" w:hAnsi="Arial"/>
                <w:color w:val="1E293B"/>
                <w:sz w:val="18"/>
                <w:szCs w:val="18"/>
              </w:rPr>
              <w:t xml:space="preserve">$200/mes</w:t>
            </w:r>
          </w:p>
        </w:tc>
        <w:tc>
          <w:tcPr>
            <w:tcW w:type="dxa" w:w="2340"/>
            <w:tcBorders>
              <w:top w:val="single" w:color="00B8E0" w:sz="4"/>
              <w:left w:val="single" w:color="00B8E0" w:sz="4"/>
              <w:bottom w:val="single" w:color="00B8E0" w:sz="4"/>
              <w:right w:val="single" w:color="00B8E0" w:sz="4"/>
            </w:tcBorders>
            <w:shd w:fill="E0F7FD" w:val="clear"/>
            <w:tcMar>
              <w:top w:type="dxa" w:w="60"/>
              <w:left w:type="dxa" w:w="100"/>
              <w:bottom w:type="dxa" w:w="60"/>
              <w:right w:type="dxa" w:w="100"/>
            </w:tcMar>
          </w:tcPr>
          <w:p>
            <w:pPr>
              <w:spacing w:after="0" w:before="0"/>
              <w:jc w:val="center"/>
            </w:pPr>
            <w:r>
              <w:rPr>
                <w:rFonts w:ascii="Arial" w:cs="Arial" w:eastAsia="Arial" w:hAnsi="Arial"/>
                <w:b/>
                <w:bCs/>
                <w:color w:val="0D1F6E"/>
                <w:sz w:val="18"/>
                <w:szCs w:val="18"/>
              </w:rPr>
              <w:t xml:space="preserve">$450/mes</w:t>
            </w:r>
          </w:p>
        </w:tc>
        <w:tc>
          <w:tcPr>
            <w:tcW w:type="dxa" w:w="2340"/>
            <w:tcBorders>
              <w:top w:val="single" w:color="1A3DB5" w:sz="4"/>
              <w:left w:val="single" w:color="1A3DB5" w:sz="4"/>
              <w:bottom w:val="single" w:color="1A3DB5" w:sz="4"/>
              <w:right w:val="single" w:color="1A3DB5" w:sz="4"/>
            </w:tcBorders>
            <w:shd w:fill="EEF2FF" w:val="clear"/>
            <w:tcMar>
              <w:top w:type="dxa" w:w="60"/>
              <w:left w:type="dxa" w:w="100"/>
              <w:bottom w:type="dxa" w:w="60"/>
              <w:right w:type="dxa" w:w="100"/>
            </w:tcMar>
          </w:tcPr>
          <w:p>
            <w:pPr>
              <w:spacing w:after="0" w:before="0"/>
              <w:jc w:val="center"/>
            </w:pPr>
            <w:r>
              <w:rPr>
                <w:rFonts w:ascii="Arial" w:cs="Arial" w:eastAsia="Arial" w:hAnsi="Arial"/>
                <w:color w:val="0D1F6E"/>
                <w:sz w:val="18"/>
                <w:szCs w:val="18"/>
              </w:rPr>
              <w:t xml:space="preserve">$800/mes</w:t>
            </w:r>
          </w:p>
        </w:tc>
      </w:tr>
      <w:tr>
        <w:tc>
          <w:tcPr>
            <w:tcW w:type="dxa" w:w="23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b/>
                <w:bCs/>
                <w:color w:val="1E293B"/>
                <w:sz w:val="18"/>
                <w:szCs w:val="18"/>
              </w:rPr>
              <w:t xml:space="preserve">Módulos incluidos</w:t>
            </w:r>
          </w:p>
        </w:tc>
        <w:tc>
          <w:tcPr>
            <w:tcW w:type="dxa" w:w="23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jc w:val="center"/>
            </w:pPr>
            <w:r>
              <w:rPr>
                <w:rFonts w:ascii="Arial" w:cs="Arial" w:eastAsia="Arial" w:hAnsi="Arial"/>
                <w:color w:val="1E293B"/>
                <w:sz w:val="18"/>
                <w:szCs w:val="18"/>
              </w:rPr>
              <w:t xml:space="preserve">Logística + Compras</w:t>
            </w:r>
          </w:p>
        </w:tc>
        <w:tc>
          <w:tcPr>
            <w:tcW w:type="dxa" w:w="2340"/>
            <w:tcBorders>
              <w:top w:val="single" w:color="00B8E0" w:sz="4"/>
              <w:left w:val="single" w:color="00B8E0" w:sz="4"/>
              <w:bottom w:val="single" w:color="00B8E0" w:sz="4"/>
              <w:right w:val="single" w:color="00B8E0" w:sz="4"/>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1F6E"/>
                <w:sz w:val="18"/>
                <w:szCs w:val="18"/>
              </w:rPr>
              <w:t xml:space="preserve">4 módulos completos</w:t>
            </w:r>
          </w:p>
        </w:tc>
        <w:tc>
          <w:tcPr>
            <w:tcW w:type="dxa" w:w="2340"/>
            <w:tcBorders>
              <w:top w:val="single" w:color="1A3DB5" w:sz="4"/>
              <w:left w:val="single" w:color="1A3DB5" w:sz="4"/>
              <w:bottom w:val="single" w:color="1A3DB5" w:sz="4"/>
              <w:right w:val="single" w:color="1A3DB5" w:sz="4"/>
            </w:tcBorders>
            <w:shd w:fill="FFFFFF" w:val="clear"/>
            <w:tcMar>
              <w:top w:type="dxa" w:w="60"/>
              <w:left w:type="dxa" w:w="100"/>
              <w:bottom w:type="dxa" w:w="60"/>
              <w:right w:type="dxa" w:w="100"/>
            </w:tcMar>
          </w:tcPr>
          <w:p>
            <w:pPr>
              <w:spacing w:after="0" w:before="0"/>
              <w:jc w:val="center"/>
            </w:pPr>
            <w:r>
              <w:rPr>
                <w:rFonts w:ascii="Arial" w:cs="Arial" w:eastAsia="Arial" w:hAnsi="Arial"/>
                <w:color w:val="0D1F6E"/>
                <w:sz w:val="18"/>
                <w:szCs w:val="18"/>
              </w:rPr>
              <w:t xml:space="preserve">4 módulos + personalizado</w:t>
            </w:r>
          </w:p>
        </w:tc>
      </w:tr>
      <w:tr>
        <w:tc>
          <w:tcPr>
            <w:tcW w:type="dxa" w:w="2340"/>
            <w:tcBorders>
              <w:top w:val="single" w:color="E2E8F0" w:sz="4"/>
              <w:left w:val="single" w:color="E2E8F0" w:sz="4"/>
              <w:bottom w:val="single" w:color="E2E8F0" w:sz="4"/>
              <w:right w:val="single" w:color="E2E8F0" w:sz="4"/>
            </w:tcBorders>
            <w:shd w:fill="F8FAFF" w:val="clear"/>
            <w:tcMar>
              <w:top w:type="dxa" w:w="60"/>
              <w:left w:type="dxa" w:w="100"/>
              <w:bottom w:type="dxa" w:w="60"/>
              <w:right w:type="dxa" w:w="100"/>
            </w:tcMar>
          </w:tcPr>
          <w:p>
            <w:pPr>
              <w:spacing w:after="0" w:before="0"/>
            </w:pPr>
            <w:r>
              <w:rPr>
                <w:rFonts w:ascii="Arial" w:cs="Arial" w:eastAsia="Arial" w:hAnsi="Arial"/>
                <w:b/>
                <w:bCs/>
                <w:color w:val="1E293B"/>
                <w:sz w:val="18"/>
                <w:szCs w:val="18"/>
              </w:rPr>
              <w:t xml:space="preserve">Usuarios</w:t>
            </w:r>
          </w:p>
        </w:tc>
        <w:tc>
          <w:tcPr>
            <w:tcW w:type="dxa" w:w="2340"/>
            <w:tcBorders>
              <w:top w:val="single" w:color="E2E8F0" w:sz="4"/>
              <w:left w:val="single" w:color="E2E8F0" w:sz="4"/>
              <w:bottom w:val="single" w:color="E2E8F0" w:sz="4"/>
              <w:right w:val="single" w:color="E2E8F0" w:sz="4"/>
            </w:tcBorders>
            <w:shd w:fill="EEF2FF" w:val="clear"/>
            <w:tcMar>
              <w:top w:type="dxa" w:w="60"/>
              <w:left w:type="dxa" w:w="100"/>
              <w:bottom w:type="dxa" w:w="60"/>
              <w:right w:type="dxa" w:w="100"/>
            </w:tcMar>
          </w:tcPr>
          <w:p>
            <w:pPr>
              <w:spacing w:after="0" w:before="0"/>
              <w:jc w:val="center"/>
            </w:pPr>
            <w:r>
              <w:rPr>
                <w:rFonts w:ascii="Arial" w:cs="Arial" w:eastAsia="Arial" w:hAnsi="Arial"/>
                <w:color w:val="1E293B"/>
                <w:sz w:val="18"/>
                <w:szCs w:val="18"/>
              </w:rPr>
              <w:t xml:space="preserve">Hasta 5</w:t>
            </w:r>
          </w:p>
        </w:tc>
        <w:tc>
          <w:tcPr>
            <w:tcW w:type="dxa" w:w="2340"/>
            <w:tcBorders>
              <w:top w:val="single" w:color="00B8E0" w:sz="4"/>
              <w:left w:val="single" w:color="00B8E0" w:sz="4"/>
              <w:bottom w:val="single" w:color="00B8E0" w:sz="4"/>
              <w:right w:val="single" w:color="00B8E0" w:sz="4"/>
            </w:tcBorders>
            <w:shd w:fill="E0F7FD" w:val="clear"/>
            <w:tcMar>
              <w:top w:type="dxa" w:w="60"/>
              <w:left w:type="dxa" w:w="100"/>
              <w:bottom w:type="dxa" w:w="60"/>
              <w:right w:type="dxa" w:w="100"/>
            </w:tcMar>
          </w:tcPr>
          <w:p>
            <w:pPr>
              <w:spacing w:after="0" w:before="0"/>
              <w:jc w:val="center"/>
            </w:pPr>
            <w:r>
              <w:rPr>
                <w:rFonts w:ascii="Arial" w:cs="Arial" w:eastAsia="Arial" w:hAnsi="Arial"/>
                <w:b/>
                <w:bCs/>
                <w:color w:val="0D1F6E"/>
                <w:sz w:val="18"/>
                <w:szCs w:val="18"/>
              </w:rPr>
              <w:t xml:space="preserve">Hasta 20</w:t>
            </w:r>
          </w:p>
        </w:tc>
        <w:tc>
          <w:tcPr>
            <w:tcW w:type="dxa" w:w="2340"/>
            <w:tcBorders>
              <w:top w:val="single" w:color="1A3DB5" w:sz="4"/>
              <w:left w:val="single" w:color="1A3DB5" w:sz="4"/>
              <w:bottom w:val="single" w:color="1A3DB5" w:sz="4"/>
              <w:right w:val="single" w:color="1A3DB5" w:sz="4"/>
            </w:tcBorders>
            <w:shd w:fill="EEF2FF" w:val="clear"/>
            <w:tcMar>
              <w:top w:type="dxa" w:w="60"/>
              <w:left w:type="dxa" w:w="100"/>
              <w:bottom w:type="dxa" w:w="60"/>
              <w:right w:type="dxa" w:w="100"/>
            </w:tcMar>
          </w:tcPr>
          <w:p>
            <w:pPr>
              <w:spacing w:after="0" w:before="0"/>
              <w:jc w:val="center"/>
            </w:pPr>
            <w:r>
              <w:rPr>
                <w:rFonts w:ascii="Arial" w:cs="Arial" w:eastAsia="Arial" w:hAnsi="Arial"/>
                <w:color w:val="0D1F6E"/>
                <w:sz w:val="18"/>
                <w:szCs w:val="18"/>
              </w:rPr>
              <w:t xml:space="preserve">Ilimitados</w:t>
            </w:r>
          </w:p>
        </w:tc>
      </w:tr>
      <w:tr>
        <w:tc>
          <w:tcPr>
            <w:tcW w:type="dxa" w:w="23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b/>
                <w:bCs/>
                <w:color w:val="1E293B"/>
                <w:sz w:val="18"/>
                <w:szCs w:val="18"/>
              </w:rPr>
              <w:t xml:space="preserve">Matching de proveedores</w:t>
            </w:r>
          </w:p>
        </w:tc>
        <w:tc>
          <w:tcPr>
            <w:tcW w:type="dxa" w:w="23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jc w:val="center"/>
            </w:pPr>
            <w:r>
              <w:rPr>
                <w:rFonts w:ascii="Arial" w:cs="Arial" w:eastAsia="Arial" w:hAnsi="Arial"/>
                <w:color w:val="1E293B"/>
                <w:sz w:val="18"/>
                <w:szCs w:val="18"/>
              </w:rPr>
              <w:t xml:space="preserve">Básico (1 opción)</w:t>
            </w:r>
          </w:p>
        </w:tc>
        <w:tc>
          <w:tcPr>
            <w:tcW w:type="dxa" w:w="2340"/>
            <w:tcBorders>
              <w:top w:val="single" w:color="00B8E0" w:sz="4"/>
              <w:left w:val="single" w:color="00B8E0" w:sz="4"/>
              <w:bottom w:val="single" w:color="00B8E0" w:sz="4"/>
              <w:right w:val="single" w:color="00B8E0" w:sz="4"/>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1F6E"/>
                <w:sz w:val="18"/>
                <w:szCs w:val="18"/>
              </w:rPr>
              <w:t xml:space="preserve">Top 3 proveedores</w:t>
            </w:r>
          </w:p>
        </w:tc>
        <w:tc>
          <w:tcPr>
            <w:tcW w:type="dxa" w:w="2340"/>
            <w:tcBorders>
              <w:top w:val="single" w:color="1A3DB5" w:sz="4"/>
              <w:left w:val="single" w:color="1A3DB5" w:sz="4"/>
              <w:bottom w:val="single" w:color="1A3DB5" w:sz="4"/>
              <w:right w:val="single" w:color="1A3DB5" w:sz="4"/>
            </w:tcBorders>
            <w:shd w:fill="FFFFFF" w:val="clear"/>
            <w:tcMar>
              <w:top w:type="dxa" w:w="60"/>
              <w:left w:type="dxa" w:w="100"/>
              <w:bottom w:type="dxa" w:w="60"/>
              <w:right w:type="dxa" w:w="100"/>
            </w:tcMar>
          </w:tcPr>
          <w:p>
            <w:pPr>
              <w:spacing w:after="0" w:before="0"/>
              <w:jc w:val="center"/>
            </w:pPr>
            <w:r>
              <w:rPr>
                <w:rFonts w:ascii="Arial" w:cs="Arial" w:eastAsia="Arial" w:hAnsi="Arial"/>
                <w:color w:val="0D1F6E"/>
                <w:sz w:val="18"/>
                <w:szCs w:val="18"/>
              </w:rPr>
              <w:t xml:space="preserve">Top 5 + análisis IA</w:t>
            </w:r>
          </w:p>
        </w:tc>
      </w:tr>
      <w:tr>
        <w:tc>
          <w:tcPr>
            <w:tcW w:type="dxa" w:w="2340"/>
            <w:tcBorders>
              <w:top w:val="single" w:color="E2E8F0" w:sz="4"/>
              <w:left w:val="single" w:color="E2E8F0" w:sz="4"/>
              <w:bottom w:val="single" w:color="E2E8F0" w:sz="4"/>
              <w:right w:val="single" w:color="E2E8F0" w:sz="4"/>
            </w:tcBorders>
            <w:shd w:fill="F8FAFF" w:val="clear"/>
            <w:tcMar>
              <w:top w:type="dxa" w:w="60"/>
              <w:left w:type="dxa" w:w="100"/>
              <w:bottom w:type="dxa" w:w="60"/>
              <w:right w:type="dxa" w:w="100"/>
            </w:tcMar>
          </w:tcPr>
          <w:p>
            <w:pPr>
              <w:spacing w:after="0" w:before="0"/>
            </w:pPr>
            <w:r>
              <w:rPr>
                <w:rFonts w:ascii="Arial" w:cs="Arial" w:eastAsia="Arial" w:hAnsi="Arial"/>
                <w:b/>
                <w:bCs/>
                <w:color w:val="1E293B"/>
                <w:sz w:val="18"/>
                <w:szCs w:val="18"/>
              </w:rPr>
              <w:t xml:space="preserve">Dashboard financiero</w:t>
            </w:r>
          </w:p>
        </w:tc>
        <w:tc>
          <w:tcPr>
            <w:tcW w:type="dxa" w:w="2340"/>
            <w:tcBorders>
              <w:top w:val="single" w:color="E2E8F0" w:sz="4"/>
              <w:left w:val="single" w:color="E2E8F0" w:sz="4"/>
              <w:bottom w:val="single" w:color="E2E8F0" w:sz="4"/>
              <w:right w:val="single" w:color="E2E8F0" w:sz="4"/>
            </w:tcBorders>
            <w:shd w:fill="EEF2FF" w:val="clear"/>
            <w:tcMar>
              <w:top w:type="dxa" w:w="60"/>
              <w:left w:type="dxa" w:w="100"/>
              <w:bottom w:type="dxa" w:w="60"/>
              <w:right w:type="dxa" w:w="100"/>
            </w:tcMar>
          </w:tcPr>
          <w:p>
            <w:pPr>
              <w:spacing w:after="0" w:before="0"/>
              <w:jc w:val="center"/>
            </w:pPr>
            <w:r>
              <w:rPr>
                <w:rFonts w:ascii="Arial" w:cs="Arial" w:eastAsia="Arial" w:hAnsi="Arial"/>
                <w:color w:val="1E293B"/>
                <w:sz w:val="18"/>
                <w:szCs w:val="18"/>
              </w:rPr>
              <w:t xml:space="preserve">No</w:t>
            </w:r>
          </w:p>
        </w:tc>
        <w:tc>
          <w:tcPr>
            <w:tcW w:type="dxa" w:w="2340"/>
            <w:tcBorders>
              <w:top w:val="single" w:color="00B8E0" w:sz="4"/>
              <w:left w:val="single" w:color="00B8E0" w:sz="4"/>
              <w:bottom w:val="single" w:color="00B8E0" w:sz="4"/>
              <w:right w:val="single" w:color="00B8E0" w:sz="4"/>
            </w:tcBorders>
            <w:shd w:fill="E0F7FD" w:val="clear"/>
            <w:tcMar>
              <w:top w:type="dxa" w:w="60"/>
              <w:left w:type="dxa" w:w="100"/>
              <w:bottom w:type="dxa" w:w="60"/>
              <w:right w:type="dxa" w:w="100"/>
            </w:tcMar>
          </w:tcPr>
          <w:p>
            <w:pPr>
              <w:spacing w:after="0" w:before="0"/>
              <w:jc w:val="center"/>
            </w:pPr>
            <w:r>
              <w:rPr>
                <w:rFonts w:ascii="Arial" w:cs="Arial" w:eastAsia="Arial" w:hAnsi="Arial"/>
                <w:b/>
                <w:bCs/>
                <w:color w:val="0D1F6E"/>
                <w:sz w:val="18"/>
                <w:szCs w:val="18"/>
              </w:rPr>
              <w:t xml:space="preserve">Básico</w:t>
            </w:r>
          </w:p>
        </w:tc>
        <w:tc>
          <w:tcPr>
            <w:tcW w:type="dxa" w:w="2340"/>
            <w:tcBorders>
              <w:top w:val="single" w:color="1A3DB5" w:sz="4"/>
              <w:left w:val="single" w:color="1A3DB5" w:sz="4"/>
              <w:bottom w:val="single" w:color="1A3DB5" w:sz="4"/>
              <w:right w:val="single" w:color="1A3DB5" w:sz="4"/>
            </w:tcBorders>
            <w:shd w:fill="EEF2FF" w:val="clear"/>
            <w:tcMar>
              <w:top w:type="dxa" w:w="60"/>
              <w:left w:type="dxa" w:w="100"/>
              <w:bottom w:type="dxa" w:w="60"/>
              <w:right w:type="dxa" w:w="100"/>
            </w:tcMar>
          </w:tcPr>
          <w:p>
            <w:pPr>
              <w:spacing w:after="0" w:before="0"/>
              <w:jc w:val="center"/>
            </w:pPr>
            <w:r>
              <w:rPr>
                <w:rFonts w:ascii="Arial" w:cs="Arial" w:eastAsia="Arial" w:hAnsi="Arial"/>
                <w:color w:val="0D1F6E"/>
                <w:sz w:val="18"/>
                <w:szCs w:val="18"/>
              </w:rPr>
              <w:t xml:space="preserve">Completo + FCF + EVA</w:t>
            </w:r>
          </w:p>
        </w:tc>
      </w:tr>
      <w:tr>
        <w:tc>
          <w:tcPr>
            <w:tcW w:type="dxa" w:w="23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b/>
                <w:bCs/>
                <w:color w:val="1E293B"/>
                <w:sz w:val="18"/>
                <w:szCs w:val="18"/>
              </w:rPr>
              <w:t xml:space="preserve">Valorización inventario</w:t>
            </w:r>
          </w:p>
        </w:tc>
        <w:tc>
          <w:tcPr>
            <w:tcW w:type="dxa" w:w="23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jc w:val="center"/>
            </w:pPr>
            <w:r>
              <w:rPr>
                <w:rFonts w:ascii="Arial" w:cs="Arial" w:eastAsia="Arial" w:hAnsi="Arial"/>
                <w:color w:val="1E293B"/>
                <w:sz w:val="18"/>
                <w:szCs w:val="18"/>
              </w:rPr>
              <w:t xml:space="preserve">No</w:t>
            </w:r>
          </w:p>
        </w:tc>
        <w:tc>
          <w:tcPr>
            <w:tcW w:type="dxa" w:w="2340"/>
            <w:tcBorders>
              <w:top w:val="single" w:color="00B8E0" w:sz="4"/>
              <w:left w:val="single" w:color="00B8E0" w:sz="4"/>
              <w:bottom w:val="single" w:color="00B8E0" w:sz="4"/>
              <w:right w:val="single" w:color="00B8E0" w:sz="4"/>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1F6E"/>
                <w:sz w:val="18"/>
                <w:szCs w:val="18"/>
              </w:rPr>
              <w:t xml:space="preserve">1 vez/trimestre</w:t>
            </w:r>
          </w:p>
        </w:tc>
        <w:tc>
          <w:tcPr>
            <w:tcW w:type="dxa" w:w="2340"/>
            <w:tcBorders>
              <w:top w:val="single" w:color="1A3DB5" w:sz="4"/>
              <w:left w:val="single" w:color="1A3DB5" w:sz="4"/>
              <w:bottom w:val="single" w:color="1A3DB5" w:sz="4"/>
              <w:right w:val="single" w:color="1A3DB5" w:sz="4"/>
            </w:tcBorders>
            <w:shd w:fill="FFFFFF" w:val="clear"/>
            <w:tcMar>
              <w:top w:type="dxa" w:w="60"/>
              <w:left w:type="dxa" w:w="100"/>
              <w:bottom w:type="dxa" w:w="60"/>
              <w:right w:type="dxa" w:w="100"/>
            </w:tcMar>
          </w:tcPr>
          <w:p>
            <w:pPr>
              <w:spacing w:after="0" w:before="0"/>
              <w:jc w:val="center"/>
            </w:pPr>
            <w:r>
              <w:rPr>
                <w:rFonts w:ascii="Arial" w:cs="Arial" w:eastAsia="Arial" w:hAnsi="Arial"/>
                <w:color w:val="0D1F6E"/>
                <w:sz w:val="18"/>
                <w:szCs w:val="18"/>
              </w:rPr>
              <w:t xml:space="preserve">Mensual ilimitado</w:t>
            </w:r>
          </w:p>
        </w:tc>
      </w:tr>
      <w:tr>
        <w:tc>
          <w:tcPr>
            <w:tcW w:type="dxa" w:w="2340"/>
            <w:tcBorders>
              <w:top w:val="single" w:color="E2E8F0" w:sz="4"/>
              <w:left w:val="single" w:color="E2E8F0" w:sz="4"/>
              <w:bottom w:val="single" w:color="E2E8F0" w:sz="4"/>
              <w:right w:val="single" w:color="E2E8F0" w:sz="4"/>
            </w:tcBorders>
            <w:shd w:fill="F8FAFF" w:val="clear"/>
            <w:tcMar>
              <w:top w:type="dxa" w:w="60"/>
              <w:left w:type="dxa" w:w="100"/>
              <w:bottom w:type="dxa" w:w="60"/>
              <w:right w:type="dxa" w:w="100"/>
            </w:tcMar>
          </w:tcPr>
          <w:p>
            <w:pPr>
              <w:spacing w:after="0" w:before="0"/>
            </w:pPr>
            <w:r>
              <w:rPr>
                <w:rFonts w:ascii="Arial" w:cs="Arial" w:eastAsia="Arial" w:hAnsi="Arial"/>
                <w:b/>
                <w:bCs/>
                <w:color w:val="1E293B"/>
                <w:sz w:val="18"/>
                <w:szCs w:val="18"/>
              </w:rPr>
              <w:t xml:space="preserve">Soporte</w:t>
            </w:r>
          </w:p>
        </w:tc>
        <w:tc>
          <w:tcPr>
            <w:tcW w:type="dxa" w:w="2340"/>
            <w:tcBorders>
              <w:top w:val="single" w:color="E2E8F0" w:sz="4"/>
              <w:left w:val="single" w:color="E2E8F0" w:sz="4"/>
              <w:bottom w:val="single" w:color="E2E8F0" w:sz="4"/>
              <w:right w:val="single" w:color="E2E8F0" w:sz="4"/>
            </w:tcBorders>
            <w:shd w:fill="EEF2FF" w:val="clear"/>
            <w:tcMar>
              <w:top w:type="dxa" w:w="60"/>
              <w:left w:type="dxa" w:w="100"/>
              <w:bottom w:type="dxa" w:w="60"/>
              <w:right w:type="dxa" w:w="100"/>
            </w:tcMar>
          </w:tcPr>
          <w:p>
            <w:pPr>
              <w:spacing w:after="0" w:before="0"/>
              <w:jc w:val="center"/>
            </w:pPr>
            <w:r>
              <w:rPr>
                <w:rFonts w:ascii="Arial" w:cs="Arial" w:eastAsia="Arial" w:hAnsi="Arial"/>
                <w:color w:val="1E293B"/>
                <w:sz w:val="18"/>
                <w:szCs w:val="18"/>
              </w:rPr>
              <w:t xml:space="preserve">Email 48h</w:t>
            </w:r>
          </w:p>
        </w:tc>
        <w:tc>
          <w:tcPr>
            <w:tcW w:type="dxa" w:w="2340"/>
            <w:tcBorders>
              <w:top w:val="single" w:color="00B8E0" w:sz="4"/>
              <w:left w:val="single" w:color="00B8E0" w:sz="4"/>
              <w:bottom w:val="single" w:color="00B8E0" w:sz="4"/>
              <w:right w:val="single" w:color="00B8E0" w:sz="4"/>
            </w:tcBorders>
            <w:shd w:fill="E0F7FD" w:val="clear"/>
            <w:tcMar>
              <w:top w:type="dxa" w:w="60"/>
              <w:left w:type="dxa" w:w="100"/>
              <w:bottom w:type="dxa" w:w="60"/>
              <w:right w:type="dxa" w:w="100"/>
            </w:tcMar>
          </w:tcPr>
          <w:p>
            <w:pPr>
              <w:spacing w:after="0" w:before="0"/>
              <w:jc w:val="center"/>
            </w:pPr>
            <w:r>
              <w:rPr>
                <w:rFonts w:ascii="Arial" w:cs="Arial" w:eastAsia="Arial" w:hAnsi="Arial"/>
                <w:b/>
                <w:bCs/>
                <w:color w:val="0D1F6E"/>
                <w:sz w:val="18"/>
                <w:szCs w:val="18"/>
              </w:rPr>
              <w:t xml:space="preserve">Chat + Email 24h</w:t>
            </w:r>
          </w:p>
        </w:tc>
        <w:tc>
          <w:tcPr>
            <w:tcW w:type="dxa" w:w="2340"/>
            <w:tcBorders>
              <w:top w:val="single" w:color="1A3DB5" w:sz="4"/>
              <w:left w:val="single" w:color="1A3DB5" w:sz="4"/>
              <w:bottom w:val="single" w:color="1A3DB5" w:sz="4"/>
              <w:right w:val="single" w:color="1A3DB5" w:sz="4"/>
            </w:tcBorders>
            <w:shd w:fill="EEF2FF" w:val="clear"/>
            <w:tcMar>
              <w:top w:type="dxa" w:w="60"/>
              <w:left w:type="dxa" w:w="100"/>
              <w:bottom w:type="dxa" w:w="60"/>
              <w:right w:type="dxa" w:w="100"/>
            </w:tcMar>
          </w:tcPr>
          <w:p>
            <w:pPr>
              <w:spacing w:after="0" w:before="0"/>
              <w:jc w:val="center"/>
            </w:pPr>
            <w:r>
              <w:rPr>
                <w:rFonts w:ascii="Arial" w:cs="Arial" w:eastAsia="Arial" w:hAnsi="Arial"/>
                <w:color w:val="0D1F6E"/>
                <w:sz w:val="18"/>
                <w:szCs w:val="18"/>
              </w:rPr>
              <w:t xml:space="preserve">Dedicado + WhatsApp</w:t>
            </w:r>
          </w:p>
        </w:tc>
      </w:tr>
      <w:tr>
        <w:tc>
          <w:tcPr>
            <w:tcW w:type="dxa" w:w="23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b/>
                <w:bCs/>
                <w:color w:val="1E293B"/>
                <w:sz w:val="18"/>
                <w:szCs w:val="18"/>
              </w:rPr>
              <w:t xml:space="preserve">API / Integraciones ERP</w:t>
            </w:r>
          </w:p>
        </w:tc>
        <w:tc>
          <w:tcPr>
            <w:tcW w:type="dxa" w:w="23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jc w:val="center"/>
            </w:pPr>
            <w:r>
              <w:rPr>
                <w:rFonts w:ascii="Arial" w:cs="Arial" w:eastAsia="Arial" w:hAnsi="Arial"/>
                <w:color w:val="1E293B"/>
                <w:sz w:val="18"/>
                <w:szCs w:val="18"/>
              </w:rPr>
              <w:t xml:space="preserve">No</w:t>
            </w:r>
          </w:p>
        </w:tc>
        <w:tc>
          <w:tcPr>
            <w:tcW w:type="dxa" w:w="2340"/>
            <w:tcBorders>
              <w:top w:val="single" w:color="00B8E0" w:sz="4"/>
              <w:left w:val="single" w:color="00B8E0" w:sz="4"/>
              <w:bottom w:val="single" w:color="00B8E0" w:sz="4"/>
              <w:right w:val="single" w:color="00B8E0" w:sz="4"/>
            </w:tcBorders>
            <w:shd w:fill="FFFFFF" w:val="clear"/>
            <w:tcMar>
              <w:top w:type="dxa" w:w="60"/>
              <w:left w:type="dxa" w:w="100"/>
              <w:bottom w:type="dxa" w:w="60"/>
              <w:right w:type="dxa" w:w="100"/>
            </w:tcMar>
          </w:tcPr>
          <w:p>
            <w:pPr>
              <w:spacing w:after="0" w:before="0"/>
              <w:jc w:val="center"/>
            </w:pPr>
            <w:r>
              <w:rPr>
                <w:rFonts w:ascii="Arial" w:cs="Arial" w:eastAsia="Arial" w:hAnsi="Arial"/>
                <w:b/>
                <w:bCs/>
                <w:color w:val="0D1F6E"/>
                <w:sz w:val="18"/>
                <w:szCs w:val="18"/>
              </w:rPr>
              <w:t xml:space="preserve">Limitado</w:t>
            </w:r>
          </w:p>
        </w:tc>
        <w:tc>
          <w:tcPr>
            <w:tcW w:type="dxa" w:w="2340"/>
            <w:tcBorders>
              <w:top w:val="single" w:color="1A3DB5" w:sz="4"/>
              <w:left w:val="single" w:color="1A3DB5" w:sz="4"/>
              <w:bottom w:val="single" w:color="1A3DB5" w:sz="4"/>
              <w:right w:val="single" w:color="1A3DB5" w:sz="4"/>
            </w:tcBorders>
            <w:shd w:fill="FFFFFF" w:val="clear"/>
            <w:tcMar>
              <w:top w:type="dxa" w:w="60"/>
              <w:left w:type="dxa" w:w="100"/>
              <w:bottom w:type="dxa" w:w="60"/>
              <w:right w:type="dxa" w:w="100"/>
            </w:tcMar>
          </w:tcPr>
          <w:p>
            <w:pPr>
              <w:spacing w:after="0" w:before="0"/>
              <w:jc w:val="center"/>
            </w:pPr>
            <w:r>
              <w:rPr>
                <w:rFonts w:ascii="Arial" w:cs="Arial" w:eastAsia="Arial" w:hAnsi="Arial"/>
                <w:color w:val="0D1F6E"/>
                <w:sz w:val="18"/>
                <w:szCs w:val="18"/>
              </w:rPr>
              <w:t xml:space="preserve">Completo</w:t>
            </w:r>
          </w:p>
        </w:tc>
      </w:tr>
      <w:tr>
        <w:tc>
          <w:tcPr>
            <w:tcW w:type="dxa" w:w="2340"/>
            <w:tcBorders>
              <w:top w:val="single" w:color="E2E8F0" w:sz="4"/>
              <w:left w:val="single" w:color="E2E8F0" w:sz="4"/>
              <w:bottom w:val="single" w:color="E2E8F0" w:sz="4"/>
              <w:right w:val="single" w:color="E2E8F0" w:sz="4"/>
            </w:tcBorders>
            <w:shd w:fill="F8FAFF" w:val="clear"/>
            <w:tcMar>
              <w:top w:type="dxa" w:w="60"/>
              <w:left w:type="dxa" w:w="100"/>
              <w:bottom w:type="dxa" w:w="60"/>
              <w:right w:type="dxa" w:w="100"/>
            </w:tcMar>
          </w:tcPr>
          <w:p>
            <w:pPr>
              <w:spacing w:after="0" w:before="0"/>
            </w:pPr>
            <w:r>
              <w:rPr>
                <w:rFonts w:ascii="Arial" w:cs="Arial" w:eastAsia="Arial" w:hAnsi="Arial"/>
                <w:b/>
                <w:bCs/>
                <w:color w:val="1E293B"/>
                <w:sz w:val="18"/>
                <w:szCs w:val="18"/>
              </w:rPr>
              <w:t xml:space="preserve">Personalización de dominio</w:t>
            </w:r>
          </w:p>
        </w:tc>
        <w:tc>
          <w:tcPr>
            <w:tcW w:type="dxa" w:w="2340"/>
            <w:tcBorders>
              <w:top w:val="single" w:color="E2E8F0" w:sz="4"/>
              <w:left w:val="single" w:color="E2E8F0" w:sz="4"/>
              <w:bottom w:val="single" w:color="E2E8F0" w:sz="4"/>
              <w:right w:val="single" w:color="E2E8F0" w:sz="4"/>
            </w:tcBorders>
            <w:shd w:fill="EEF2FF" w:val="clear"/>
            <w:tcMar>
              <w:top w:type="dxa" w:w="60"/>
              <w:left w:type="dxa" w:w="100"/>
              <w:bottom w:type="dxa" w:w="60"/>
              <w:right w:type="dxa" w:w="100"/>
            </w:tcMar>
          </w:tcPr>
          <w:p>
            <w:pPr>
              <w:spacing w:after="0" w:before="0"/>
              <w:jc w:val="center"/>
            </w:pPr>
            <w:r>
              <w:rPr>
                <w:rFonts w:ascii="Arial" w:cs="Arial" w:eastAsia="Arial" w:hAnsi="Arial"/>
                <w:color w:val="1E293B"/>
                <w:sz w:val="18"/>
                <w:szCs w:val="18"/>
              </w:rPr>
              <w:t xml:space="preserve">No</w:t>
            </w:r>
          </w:p>
        </w:tc>
        <w:tc>
          <w:tcPr>
            <w:tcW w:type="dxa" w:w="2340"/>
            <w:tcBorders>
              <w:top w:val="single" w:color="00B8E0" w:sz="4"/>
              <w:left w:val="single" w:color="00B8E0" w:sz="4"/>
              <w:bottom w:val="single" w:color="00B8E0" w:sz="4"/>
              <w:right w:val="single" w:color="00B8E0" w:sz="4"/>
            </w:tcBorders>
            <w:shd w:fill="E0F7FD" w:val="clear"/>
            <w:tcMar>
              <w:top w:type="dxa" w:w="60"/>
              <w:left w:type="dxa" w:w="100"/>
              <w:bottom w:type="dxa" w:w="60"/>
              <w:right w:type="dxa" w:w="100"/>
            </w:tcMar>
          </w:tcPr>
          <w:p>
            <w:pPr>
              <w:spacing w:after="0" w:before="0"/>
              <w:jc w:val="center"/>
            </w:pPr>
            <w:r>
              <w:rPr>
                <w:rFonts w:ascii="Arial" w:cs="Arial" w:eastAsia="Arial" w:hAnsi="Arial"/>
                <w:b/>
                <w:bCs/>
                <w:color w:val="0D1F6E"/>
                <w:sz w:val="18"/>
                <w:szCs w:val="18"/>
              </w:rPr>
              <w:t xml:space="preserve">Subdominio</w:t>
            </w:r>
          </w:p>
        </w:tc>
        <w:tc>
          <w:tcPr>
            <w:tcW w:type="dxa" w:w="2340"/>
            <w:tcBorders>
              <w:top w:val="single" w:color="1A3DB5" w:sz="4"/>
              <w:left w:val="single" w:color="1A3DB5" w:sz="4"/>
              <w:bottom w:val="single" w:color="1A3DB5" w:sz="4"/>
              <w:right w:val="single" w:color="1A3DB5" w:sz="4"/>
            </w:tcBorders>
            <w:shd w:fill="EEF2FF" w:val="clear"/>
            <w:tcMar>
              <w:top w:type="dxa" w:w="60"/>
              <w:left w:type="dxa" w:w="100"/>
              <w:bottom w:type="dxa" w:w="60"/>
              <w:right w:type="dxa" w:w="100"/>
            </w:tcMar>
          </w:tcPr>
          <w:p>
            <w:pPr>
              <w:spacing w:after="0" w:before="0"/>
              <w:jc w:val="center"/>
            </w:pPr>
            <w:r>
              <w:rPr>
                <w:rFonts w:ascii="Arial" w:cs="Arial" w:eastAsia="Arial" w:hAnsi="Arial"/>
                <w:color w:val="0D1F6E"/>
                <w:sz w:val="18"/>
                <w:szCs w:val="18"/>
              </w:rPr>
              <w:t xml:space="preserve">Dominio propio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04. ESTRATEGIA COMERCIAL Y MARKETING</w:t>
            </w:r>
          </w:p>
          <w:p>
            <w:pPr>
              <w:spacing w:after="0" w:before="40"/>
            </w:pPr>
            <w:r>
              <w:rPr>
                <w:rFonts w:ascii="Arial" w:cs="Arial" w:eastAsia="Arial" w:hAnsi="Arial"/>
                <w:i/>
                <w:iCs/>
                <w:color w:val="00B8E0"/>
                <w:sz w:val="19"/>
                <w:szCs w:val="19"/>
              </w:rPr>
              <w:t xml:space="preserve">Método de Venta B2B · Go-to-Market · Captación de Clientes</w:t>
            </w:r>
          </w:p>
        </w:tc>
      </w:tr>
    </w:tbl>
    <w:p>
      <w:pPr>
        <w:spacing w:after="80" w:before="0"/>
      </w:pPr>
    </w:p>
    <w:p>
      <w:pPr>
        <w:pStyle w:val="Heading2"/>
        <w:spacing w:after="120" w:before="280"/>
      </w:pPr>
      <w:r>
        <w:rPr>
          <w:rFonts w:ascii="Arial" w:cs="Arial" w:eastAsia="Arial" w:hAnsi="Arial"/>
          <w:b/>
          <w:bCs/>
          <w:color w:val="1A3DB5"/>
          <w:sz w:val="28"/>
          <w:szCs w:val="28"/>
        </w:rPr>
        <w:t xml:space="preserve">Método de Venta B2B — 5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213"/>
        <w:gridCol w:w="1702"/>
        <w:gridCol w:w="213"/>
        <w:gridCol w:w="1702"/>
        <w:gridCol w:w="213"/>
        <w:gridCol w:w="1702"/>
        <w:gridCol w:w="213"/>
        <w:gridCol w:w="1702"/>
      </w:tblGrid>
      <w:tr>
        <w:tc>
          <w:tcPr>
            <w:tcW w:type="dxa" w:w="1702"/>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1</w:t>
            </w:r>
          </w:p>
          <w:p>
            <w:pPr>
              <w:spacing w:after="0" w:before="20"/>
              <w:jc w:val="center"/>
            </w:pPr>
            <w:r>
              <w:rPr>
                <w:rFonts w:ascii="Arial" w:cs="Arial" w:eastAsia="Arial" w:hAnsi="Arial"/>
                <w:color w:val="1E293B"/>
                <w:sz w:val="17"/>
                <w:szCs w:val="17"/>
              </w:rPr>
              <w:t xml:space="preserve">Prospección</w:t>
            </w:r>
          </w:p>
        </w:tc>
        <w:tc>
          <w:tcPr>
            <w:tcW w:type="dxa" w:w="213"/>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702"/>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2</w:t>
            </w:r>
          </w:p>
          <w:p>
            <w:pPr>
              <w:spacing w:after="0" w:before="20"/>
              <w:jc w:val="center"/>
            </w:pPr>
            <w:r>
              <w:rPr>
                <w:rFonts w:ascii="Arial" w:cs="Arial" w:eastAsia="Arial" w:hAnsi="Arial"/>
                <w:color w:val="1E293B"/>
                <w:sz w:val="17"/>
                <w:szCs w:val="17"/>
              </w:rPr>
              <w:t xml:space="preserve">Diagnóstico</w:t>
            </w:r>
          </w:p>
        </w:tc>
        <w:tc>
          <w:tcPr>
            <w:tcW w:type="dxa" w:w="213"/>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702"/>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3</w:t>
            </w:r>
          </w:p>
          <w:p>
            <w:pPr>
              <w:spacing w:after="0" w:before="20"/>
              <w:jc w:val="center"/>
            </w:pPr>
            <w:r>
              <w:rPr>
                <w:rFonts w:ascii="Arial" w:cs="Arial" w:eastAsia="Arial" w:hAnsi="Arial"/>
                <w:color w:val="1E293B"/>
                <w:sz w:val="17"/>
                <w:szCs w:val="17"/>
              </w:rPr>
              <w:t xml:space="preserve">Propuesta</w:t>
            </w:r>
          </w:p>
        </w:tc>
        <w:tc>
          <w:tcPr>
            <w:tcW w:type="dxa" w:w="213"/>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702"/>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4</w:t>
            </w:r>
          </w:p>
          <w:p>
            <w:pPr>
              <w:spacing w:after="0" w:before="20"/>
              <w:jc w:val="center"/>
            </w:pPr>
            <w:r>
              <w:rPr>
                <w:rFonts w:ascii="Arial" w:cs="Arial" w:eastAsia="Arial" w:hAnsi="Arial"/>
                <w:color w:val="1E293B"/>
                <w:sz w:val="17"/>
                <w:szCs w:val="17"/>
              </w:rPr>
              <w:t xml:space="preserve">Negociación</w:t>
            </w:r>
          </w:p>
        </w:tc>
        <w:tc>
          <w:tcPr>
            <w:tcW w:type="dxa" w:w="213"/>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702"/>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5</w:t>
            </w:r>
          </w:p>
          <w:p>
            <w:pPr>
              <w:spacing w:after="0" w:before="20"/>
              <w:jc w:val="center"/>
            </w:pPr>
            <w:r>
              <w:rPr>
                <w:rFonts w:ascii="Arial" w:cs="Arial" w:eastAsia="Arial" w:hAnsi="Arial"/>
                <w:color w:val="1E293B"/>
                <w:sz w:val="17"/>
                <w:szCs w:val="17"/>
              </w:rPr>
              <w:t xml:space="preserve">Onboarding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00"/>
        <w:gridCol w:w="2060"/>
      </w:tblGrid>
      <w:tr>
        <w:trPr>
          <w:tblHeader/>
        </w:trPr>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Etapa</w:t>
            </w:r>
          </w:p>
        </w:tc>
        <w:tc>
          <w:tcPr>
            <w:tcW w:type="dxa" w:w="3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Actividades</w:t>
            </w:r>
          </w:p>
        </w:tc>
        <w:tc>
          <w:tcPr>
            <w:tcW w:type="dxa" w:w="25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Herramienta KallpaPro</w:t>
            </w:r>
          </w:p>
        </w:tc>
        <w:tc>
          <w:tcPr>
            <w:tcW w:type="dxa" w:w="20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KPI</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 Prospección</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LinkedIn outreach, referidos, cámaras de comercio, visitas en frío a parques industriales</w:t>
            </w:r>
          </w:p>
        </w:tc>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CRM integrado en LOGIFI™</w:t>
            </w:r>
          </w:p>
        </w:tc>
        <w:tc>
          <w:tcPr>
            <w:tcW w:type="dxa" w:w="20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50 prospectos/mes</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 Diagnóstico (60 min)</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Levantamiento de costos logísticos actuales. Cuantificar el dolor en $$$. Sin diagnóstico = sin propuesta</w:t>
            </w:r>
          </w:p>
        </w:tc>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Calculadora de ROI de la plataforma</w:t>
            </w:r>
          </w:p>
        </w:tc>
        <w:tc>
          <w:tcPr>
            <w:tcW w:type="dxa" w:w="20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 diagnósticos/mes</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 Propuesta de valor</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Presentar 3 opciones con ROI proyectado. Entrega en 48h post-diagnóstico. Siempre con anticipo del 50%</w:t>
            </w:r>
          </w:p>
        </w:tc>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Plantilla de propuesta con logo cliente</w:t>
            </w:r>
          </w:p>
        </w:tc>
        <w:tc>
          <w:tcPr>
            <w:tcW w:type="dxa" w:w="20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CR Diagnóstico→Propuesta: 60%</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 Negociación</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Máx 2 semanas. Nunca bajar precio, sí ajustar alcance. Piloto de 30 días gratis como acelerador</w:t>
            </w:r>
          </w:p>
        </w:tc>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de contratos digitales</w:t>
            </w:r>
          </w:p>
        </w:tc>
        <w:tc>
          <w:tcPr>
            <w:tcW w:type="dxa" w:w="20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CR Propuesta→Cierre: 35%</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 Onboarding</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 sesiones de capacitación. Supervisor KallpaPro asignado. POV del primer mes garantizado</w:t>
            </w:r>
          </w:p>
        </w:tc>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Plataforma LOGIFI™ + soporte dedicado</w:t>
            </w:r>
          </w:p>
        </w:tc>
        <w:tc>
          <w:tcPr>
            <w:tcW w:type="dxa" w:w="20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NPS Onboarding &gt; 8/10</w:t>
            </w:r>
          </w:p>
        </w:tc>
      </w:tr>
    </w:tbl>
    <w:p>
      <w:pPr>
        <w:spacing w:after="80" w:before="0"/>
      </w:pPr>
    </w:p>
    <w:p>
      <w:pPr>
        <w:pStyle w:val="Heading2"/>
        <w:spacing w:after="120" w:before="280"/>
      </w:pPr>
      <w:r>
        <w:rPr>
          <w:rFonts w:ascii="Arial" w:cs="Arial" w:eastAsia="Arial" w:hAnsi="Arial"/>
          <w:b/>
          <w:bCs/>
          <w:color w:val="1A3DB5"/>
          <w:sz w:val="28"/>
          <w:szCs w:val="28"/>
        </w:rPr>
        <w:t xml:space="preserve">Estrategia de Marketing Digital</w:t>
      </w:r>
    </w:p>
    <w:p>
      <w:pPr>
        <w:pStyle w:val="Heading3"/>
        <w:spacing w:after="80" w:before="200"/>
      </w:pPr>
      <w:r>
        <w:rPr>
          <w:rFonts w:ascii="Arial" w:cs="Arial" w:eastAsia="Arial" w:hAnsi="Arial"/>
          <w:b/>
          <w:bCs/>
          <w:color w:val="0D1F6E"/>
          <w:sz w:val="24"/>
          <w:szCs w:val="24"/>
        </w:rPr>
        <w:t xml:space="preserve">Canales de Captación —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560"/>
        <w:gridCol w:w="2800"/>
      </w:tblGrid>
      <w:tr>
        <w:trPr>
          <w:tblHeader/>
        </w:trPr>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Canal</w:t>
            </w:r>
          </w:p>
        </w:tc>
        <w:tc>
          <w:tcPr>
            <w:tcW w:type="dxa" w:w="32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Táctica</w:t>
            </w:r>
          </w:p>
        </w:tc>
        <w:tc>
          <w:tcPr>
            <w:tcW w:type="dxa" w:w="15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Presupuesto/mes</w:t>
            </w:r>
          </w:p>
        </w:tc>
        <w:tc>
          <w:tcPr>
            <w:tcW w:type="dxa" w:w="2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Leads esperados</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LinkedIn B2B</w:t>
            </w:r>
          </w:p>
        </w:tc>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Posts educativos 4x/semana, InMail a gerentes de operaciones/finanzas PyMES</w:t>
            </w:r>
          </w:p>
        </w:tc>
        <w:tc>
          <w:tcPr>
            <w:tcW w:type="dxa" w:w="1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$150/mes (anuncios)</w:t>
            </w:r>
          </w:p>
        </w:tc>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15–25 leads/mes</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Google Ads</w:t>
            </w:r>
          </w:p>
        </w:tc>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Keywords: "logística Ecuador PyME", "control inventario Ecuador"</w:t>
            </w:r>
          </w:p>
        </w:tc>
        <w:tc>
          <w:tcPr>
            <w:tcW w:type="dxa" w:w="1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$200/mes</w:t>
            </w:r>
          </w:p>
        </w:tc>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10–20 leads/mes</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Diagnóstico gratuito (inbound)</w:t>
            </w:r>
          </w:p>
        </w:tc>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Landing page con calculadora de ahorro logístico. CTA: "Descubre cuánto pierdes"</w:t>
            </w:r>
          </w:p>
        </w:tc>
        <w:tc>
          <w:tcPr>
            <w:tcW w:type="dxa" w:w="1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$100/mes (contenido)</w:t>
            </w:r>
          </w:p>
        </w:tc>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8–15 leads/mes</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Webinar mensual</w:t>
            </w:r>
          </w:p>
        </w:tc>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"Cómo reducir tu costo logístico en 90 días" — captación de leads calificados</w:t>
            </w:r>
          </w:p>
        </w:tc>
        <w:tc>
          <w:tcPr>
            <w:tcW w:type="dxa" w:w="1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$50/mes (plataforma)</w:t>
            </w:r>
          </w:p>
        </w:tc>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20–40 asistentes</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Alianzas estratégicas</w:t>
            </w:r>
          </w:p>
        </w:tc>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Estudios contables (comisión 5%), gremios empresariales, cámaras de industria</w:t>
            </w:r>
          </w:p>
        </w:tc>
        <w:tc>
          <w:tcPr>
            <w:tcW w:type="dxa" w:w="1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$0 directo</w:t>
            </w:r>
          </w:p>
        </w:tc>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5–10 referidos/mes</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SERCOP (licitaciones)</w:t>
            </w:r>
          </w:p>
        </w:tc>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Monitorear licitaciones públicas de transporte y logística</w:t>
            </w:r>
          </w:p>
        </w:tc>
        <w:tc>
          <w:tcPr>
            <w:tcW w:type="dxa" w:w="1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$0</w:t>
            </w:r>
          </w:p>
        </w:tc>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2–4 oportunidades/mes</w:t>
            </w:r>
          </w:p>
        </w:tc>
      </w:tr>
    </w:tbl>
    <w:p>
      <w:pPr>
        <w:spacing w:after="80" w:before="0"/>
      </w:pPr>
    </w:p>
    <w:p>
      <w:pPr>
        <w:pStyle w:val="Heading3"/>
        <w:spacing w:after="80" w:before="200"/>
      </w:pPr>
      <w:r>
        <w:rPr>
          <w:rFonts w:ascii="Arial" w:cs="Arial" w:eastAsia="Arial" w:hAnsi="Arial"/>
          <w:b/>
          <w:bCs/>
          <w:color w:val="0D1F6E"/>
          <w:sz w:val="24"/>
          <w:szCs w:val="24"/>
        </w:rPr>
        <w:t xml:space="preserve">Propuesta de Valor Comercial por Interlocutor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Cargo del Cliente</w:t>
            </w:r>
          </w:p>
        </w:tc>
        <w:tc>
          <w:tcPr>
            <w:tcW w:type="dxa" w:w="3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Su Dolor Principal</w:t>
            </w:r>
          </w:p>
        </w:tc>
        <w:tc>
          <w:tcPr>
            <w:tcW w:type="dxa" w:w="43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Nuestro Argumento</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Gerente General / Dueño</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No sabe si su logística y compras son eficientes. Pierde dinero sin saberlo</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"Le garantizamos visibilidad total de sus costos desde el día 30 o le devolvemos el primer mes."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Gerente de Operaciones</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Caos en coordinación de transporte, proveedores poco confiables, retrasos constantes</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"Su OTIF pasará del X% actual al 94%+ en 90 días con nuestro sistema."</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Gerente de Compras</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Sobrecosto en compras urgentes, sin trazabilidad, proveedores no homologados</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"Auditaremos sus últimas 50 OC y le mostraremos cuánto pagó de más. Sin costo inicial."</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CFO / Director Financiero</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No puede medir su flujo de caja real. El ERP no le da el FCF neto por proyecto</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"Nuestro dashboard financiero muestra el Flujo Neto Real y el EVA de su empresa en tiempo real."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05. FLUJOGRAMAS DE PROCESOS</w:t>
            </w:r>
          </w:p>
          <w:p>
            <w:pPr>
              <w:spacing w:after="0" w:before="40"/>
            </w:pPr>
            <w:r>
              <w:rPr>
                <w:rFonts w:ascii="Arial" w:cs="Arial" w:eastAsia="Arial" w:hAnsi="Arial"/>
                <w:i/>
                <w:iCs/>
                <w:color w:val="00B8E0"/>
                <w:sz w:val="19"/>
                <w:szCs w:val="19"/>
              </w:rPr>
              <w:t xml:space="preserve">Los 4 Procesos Core Integrados en LOGIFI™</w:t>
            </w:r>
          </w:p>
        </w:tc>
      </w:tr>
    </w:tbl>
    <w:p>
      <w:pPr>
        <w:spacing w:after="80" w:before="0"/>
      </w:pPr>
    </w:p>
    <w:p>
      <w:pPr>
        <w:pStyle w:val="Heading2"/>
        <w:spacing w:after="120" w:before="280"/>
      </w:pPr>
      <w:r>
        <w:rPr>
          <w:rFonts w:ascii="Arial" w:cs="Arial" w:eastAsia="Arial" w:hAnsi="Arial"/>
          <w:b/>
          <w:bCs/>
          <w:color w:val="1A3DB5"/>
          <w:sz w:val="28"/>
          <w:szCs w:val="28"/>
        </w:rPr>
        <w:t xml:space="preserve">5.1 Proceso de Logística</w:t>
      </w:r>
    </w:p>
    <w:p>
      <w:pPr>
        <w:spacing w:after="80" w:before="60"/>
      </w:pPr>
      <w:r>
        <w:rPr>
          <w:rFonts w:ascii="Arial" w:cs="Arial" w:eastAsia="Arial" w:hAnsi="Arial"/>
          <w:color w:val="1E293B"/>
          <w:sz w:val="22"/>
          <w:szCs w:val="22"/>
        </w:rPr>
        <w:t xml:space="preserve">El módulo de logística conecta directamente al cliente con operadores de transporte sin intermediarios. KallpaPro actúa como el coordinador inteligente, no como el transportista.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200"/>
        <w:gridCol w:w="3800"/>
        <w:gridCol w:w="3940"/>
      </w:tblGrid>
      <w:tr>
        <w:trPr>
          <w:tblHeader/>
        </w:trPr>
        <w:tc>
          <w:tcPr>
            <w:tcW w:type="dxa" w:w="42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Paso</w:t>
            </w:r>
          </w:p>
        </w:tc>
        <w:tc>
          <w:tcPr>
            <w:tcW w:type="dxa" w:w="12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Actor</w:t>
            </w:r>
          </w:p>
        </w:tc>
        <w:tc>
          <w:tcPr>
            <w:tcW w:type="dxa" w:w="3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Acción</w:t>
            </w:r>
          </w:p>
        </w:tc>
        <w:tc>
          <w:tcPr>
            <w:tcW w:type="dxa" w:w="394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Sistema LOGIFI™</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Cliente</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Ingresa solicitud de transporte en la plataforma (origen, destino, tipo de carga, fecha)</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Logística &gt; Nueva Solicitud</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IA KallpaPro</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Evalúa la solicitud y selecciona los Top 3 operadores disponibles según OTIF histórico, zona y precio</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Motor de matching IA</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Cliente</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Compara las 3 opciones (precio, OTIF, ETA) y selecciona al proveedor</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Dashboard de comparación</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Genera contrato digital automático. Notifica al proveedor por WhatsApp y email</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Contratos + Notificaciones</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Proveedor</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Confirma la operación. Conductor recibe la orden en su app móvil con checklist obligatorio</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App conductor (PWA)</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6</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GPS en Vivo</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Tracking en tiempo real cada 30 segundos. Alertas automáticas de temperatura/desvío/retraso</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GPS en Vivo</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Conductor</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Registra entrega con foto + firma digital + geolocalización. POD generado automáticamente</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POD Digital en App</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Cierra operación. Emite factura. Actualiza KPIs (OTIF, lead time, costo/km)</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Reportes y POV automático</w:t>
            </w:r>
          </w:p>
        </w:tc>
      </w:tr>
    </w:tbl>
    <w:p>
      <w:pPr>
        <w:spacing w:after="80" w:before="0"/>
      </w:pPr>
    </w:p>
    <w:p>
      <w:pPr>
        <w:pStyle w:val="Heading3"/>
        <w:spacing w:after="80" w:before="200"/>
      </w:pPr>
      <w:r>
        <w:rPr>
          <w:rFonts w:ascii="Arial" w:cs="Arial" w:eastAsia="Arial" w:hAnsi="Arial"/>
          <w:b/>
          <w:bCs/>
          <w:color w:val="0D1F6E"/>
          <w:sz w:val="24"/>
          <w:szCs w:val="24"/>
        </w:rPr>
        <w:t xml:space="preserve">KPIs del Módulo Logística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≥94%</w:t>
            </w:r>
          </w:p>
          <w:p>
            <w:pPr>
              <w:spacing w:after="0" w:before="0"/>
              <w:jc w:val="center"/>
            </w:pPr>
            <w:r>
              <w:rPr>
                <w:rFonts w:ascii="Arial" w:cs="Arial" w:eastAsia="Arial" w:hAnsi="Arial"/>
                <w:i/>
                <w:iCs/>
                <w:color w:val="64748B"/>
                <w:sz w:val="17"/>
                <w:szCs w:val="17"/>
              </w:rPr>
              <w:t xml:space="preserve">OTIF objetivo</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&lt;50ms</w:t>
            </w:r>
          </w:p>
          <w:p>
            <w:pPr>
              <w:spacing w:after="0" w:before="0"/>
              <w:jc w:val="center"/>
            </w:pPr>
            <w:r>
              <w:rPr>
                <w:rFonts w:ascii="Arial" w:cs="Arial" w:eastAsia="Arial" w:hAnsi="Arial"/>
                <w:i/>
                <w:iCs/>
                <w:color w:val="64748B"/>
                <w:sz w:val="17"/>
                <w:szCs w:val="17"/>
              </w:rPr>
              <w:t xml:space="preserve">Latencia GPS</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&lt;2h</w:t>
            </w:r>
          </w:p>
          <w:p>
            <w:pPr>
              <w:spacing w:after="0" w:before="0"/>
              <w:jc w:val="center"/>
            </w:pPr>
            <w:r>
              <w:rPr>
                <w:rFonts w:ascii="Arial" w:cs="Arial" w:eastAsia="Arial" w:hAnsi="Arial"/>
                <w:i/>
                <w:iCs/>
                <w:color w:val="64748B"/>
                <w:sz w:val="17"/>
                <w:szCs w:val="17"/>
              </w:rPr>
              <w:t xml:space="preserve">Tiempo de matching</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-15%</w:t>
            </w:r>
          </w:p>
          <w:p>
            <w:pPr>
              <w:spacing w:after="0" w:before="0"/>
              <w:jc w:val="center"/>
            </w:pPr>
            <w:r>
              <w:rPr>
                <w:rFonts w:ascii="Arial" w:cs="Arial" w:eastAsia="Arial" w:hAnsi="Arial"/>
                <w:i/>
                <w:iCs/>
                <w:color w:val="64748B"/>
                <w:sz w:val="17"/>
                <w:szCs w:val="17"/>
              </w:rPr>
              <w:t xml:space="preserve">Reducción costo flete</w:t>
            </w:r>
          </w:p>
        </w:tc>
      </w:tr>
    </w:tbl>
    <w:p>
      <w:pPr>
        <w:spacing w:after="160" w:before="0"/>
      </w:pPr>
    </w:p>
    <w:p>
      <w:pPr>
        <w:pStyle w:val="Heading2"/>
        <w:spacing w:after="120" w:before="280"/>
      </w:pPr>
      <w:r>
        <w:rPr>
          <w:rFonts w:ascii="Arial" w:cs="Arial" w:eastAsia="Arial" w:hAnsi="Arial"/>
          <w:b/>
          <w:bCs/>
          <w:color w:val="1A3DB5"/>
          <w:sz w:val="28"/>
          <w:szCs w:val="28"/>
        </w:rPr>
        <w:t xml:space="preserve">5.2 Proceso de Compras (Procurement)</w:t>
      </w:r>
    </w:p>
    <w:p>
      <w:pPr>
        <w:spacing w:after="80" w:before="60"/>
      </w:pPr>
      <w:r>
        <w:rPr>
          <w:rFonts w:ascii="Arial" w:cs="Arial" w:eastAsia="Arial" w:hAnsi="Arial"/>
          <w:color w:val="1E293B"/>
          <w:sz w:val="22"/>
          <w:szCs w:val="22"/>
        </w:rPr>
        <w:t xml:space="preserve">El módulo de compras gestiona el ciclo completo: desde la necesidad del cliente hasta la recepción del bien, con trazabilidad total y selección IA de los mejores proveedores.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200"/>
        <w:gridCol w:w="3800"/>
        <w:gridCol w:w="3940"/>
      </w:tblGrid>
      <w:tr>
        <w:trPr>
          <w:tblHeader/>
        </w:trPr>
        <w:tc>
          <w:tcPr>
            <w:tcW w:type="dxa" w:w="42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Paso</w:t>
            </w:r>
          </w:p>
        </w:tc>
        <w:tc>
          <w:tcPr>
            <w:tcW w:type="dxa" w:w="12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Actor</w:t>
            </w:r>
          </w:p>
        </w:tc>
        <w:tc>
          <w:tcPr>
            <w:tcW w:type="dxa" w:w="3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Acción</w:t>
            </w:r>
          </w:p>
        </w:tc>
        <w:tc>
          <w:tcPr>
            <w:tcW w:type="dxa" w:w="394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Sistema LOGIFI™</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Usuario cliente</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Crea requisición de compra con especificaciones técnicas y presupuesto referencial</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Compras &gt; Requisición</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IA KallpaPro</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Busca en la base de proveedores homologados y emite automáticamente el RFQ a los Top 3</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Motor RFQ Automático</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Proveedores</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Responden el RFQ en el portal de proveedores con precio, plazo y condiciones</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Portal de Proveedores</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 IA</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Genera comparativa automática multi-criterio (precio 40%, plazo 30%, rating 30%)</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Evaluación automática IA</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Gerente cliente</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Aprueba la mejor oferta en la plataforma (flujo de aprobaciones configurable por monto)</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Aprobaciones</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6</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Emite Orden de Compra digital al proveedor ganador. Registra en el sistema</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OC Digital + SRI</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Área receptora</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Registra recepción del bien con checklist de calidad. Aprueba o rechaza con evidencia</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Recepción digital</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Genera reporte de ahorro (precio KallpaPro vs precio mercado). Actualiza scorecard proveedor</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POV + Proveedores</w:t>
            </w:r>
          </w:p>
        </w:tc>
      </w:tr>
    </w:tbl>
    <w:p>
      <w:pPr>
        <w:spacing w:after="80" w:before="0"/>
      </w:pPr>
    </w:p>
    <w:p>
      <w:pPr>
        <w:pStyle w:val="Heading3"/>
        <w:spacing w:after="80" w:before="200"/>
      </w:pPr>
      <w:r>
        <w:rPr>
          <w:rFonts w:ascii="Arial" w:cs="Arial" w:eastAsia="Arial" w:hAnsi="Arial"/>
          <w:b/>
          <w:bCs/>
          <w:color w:val="0D1F6E"/>
          <w:sz w:val="24"/>
          <w:szCs w:val="24"/>
        </w:rPr>
        <w:t xml:space="preserve">KPIs del Módulo Compras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-12%</w:t>
            </w:r>
          </w:p>
          <w:p>
            <w:pPr>
              <w:spacing w:after="0" w:before="0"/>
              <w:jc w:val="center"/>
            </w:pPr>
            <w:r>
              <w:rPr>
                <w:rFonts w:ascii="Arial" w:cs="Arial" w:eastAsia="Arial" w:hAnsi="Arial"/>
                <w:i/>
                <w:iCs/>
                <w:color w:val="64748B"/>
                <w:sz w:val="17"/>
                <w:szCs w:val="17"/>
              </w:rPr>
              <w:t xml:space="preserve">Ahorro vs mercado</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3</w:t>
            </w:r>
          </w:p>
          <w:p>
            <w:pPr>
              <w:spacing w:after="0" w:before="0"/>
              <w:jc w:val="center"/>
            </w:pPr>
            <w:r>
              <w:rPr>
                <w:rFonts w:ascii="Arial" w:cs="Arial" w:eastAsia="Arial" w:hAnsi="Arial"/>
                <w:i/>
                <w:iCs/>
                <w:color w:val="64748B"/>
                <w:sz w:val="17"/>
                <w:szCs w:val="17"/>
              </w:rPr>
              <w:t xml:space="preserve">Opciones por RFQ</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100%</w:t>
            </w:r>
          </w:p>
          <w:p>
            <w:pPr>
              <w:spacing w:after="0" w:before="0"/>
              <w:jc w:val="center"/>
            </w:pPr>
            <w:r>
              <w:rPr>
                <w:rFonts w:ascii="Arial" w:cs="Arial" w:eastAsia="Arial" w:hAnsi="Arial"/>
                <w:i/>
                <w:iCs/>
                <w:color w:val="64748B"/>
                <w:sz w:val="17"/>
                <w:szCs w:val="17"/>
              </w:rPr>
              <w:t xml:space="preserve">Trazabilidad OC</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&lt;48h</w:t>
            </w:r>
          </w:p>
          <w:p>
            <w:pPr>
              <w:spacing w:after="0" w:before="0"/>
              <w:jc w:val="center"/>
            </w:pPr>
            <w:r>
              <w:rPr>
                <w:rFonts w:ascii="Arial" w:cs="Arial" w:eastAsia="Arial" w:hAnsi="Arial"/>
                <w:i/>
                <w:iCs/>
                <w:color w:val="64748B"/>
                <w:sz w:val="17"/>
                <w:szCs w:val="17"/>
              </w:rPr>
              <w:t xml:space="preserve">Tiempo de cotización</w:t>
            </w:r>
          </w:p>
        </w:tc>
      </w:tr>
    </w:tbl>
    <w:p>
      <w:pPr>
        <w:spacing w:after="160" w:before="0"/>
      </w:pPr>
    </w:p>
    <w:p>
      <w:pPr>
        <w:pStyle w:val="Heading2"/>
        <w:spacing w:after="120" w:before="280"/>
      </w:pPr>
      <w:r>
        <w:rPr>
          <w:rFonts w:ascii="Arial" w:cs="Arial" w:eastAsia="Arial" w:hAnsi="Arial"/>
          <w:b/>
          <w:bCs/>
          <w:color w:val="1A3DB5"/>
          <w:sz w:val="28"/>
          <w:szCs w:val="28"/>
        </w:rPr>
        <w:t xml:space="preserve">5.3 Proceso de Inventario</w:t>
      </w:r>
    </w:p>
    <w:p>
      <w:pPr>
        <w:spacing w:after="80" w:before="60"/>
      </w:pPr>
      <w:r>
        <w:rPr>
          <w:rFonts w:ascii="Arial" w:cs="Arial" w:eastAsia="Arial" w:hAnsi="Arial"/>
          <w:color w:val="1E293B"/>
          <w:sz w:val="22"/>
          <w:szCs w:val="22"/>
        </w:rPr>
        <w:t xml:space="preserve">El módulo de inventario provee visibilidad en tiempo real del stock, valorización actualizada y alertas automáticas de reposición. Elimina el Excel como herramienta de control.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200"/>
        <w:gridCol w:w="3800"/>
        <w:gridCol w:w="3940"/>
      </w:tblGrid>
      <w:tr>
        <w:trPr>
          <w:tblHeader/>
        </w:trPr>
        <w:tc>
          <w:tcPr>
            <w:tcW w:type="dxa" w:w="42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Paso</w:t>
            </w:r>
          </w:p>
        </w:tc>
        <w:tc>
          <w:tcPr>
            <w:tcW w:type="dxa" w:w="12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Actor</w:t>
            </w:r>
          </w:p>
        </w:tc>
        <w:tc>
          <w:tcPr>
            <w:tcW w:type="dxa" w:w="3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Acción</w:t>
            </w:r>
          </w:p>
        </w:tc>
        <w:tc>
          <w:tcPr>
            <w:tcW w:type="dxa" w:w="394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Sistema LOGIFI™</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Cliente (setup)</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Carga catálogo de productos con SKU, unidad de medida, costo y punto de reorden</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Inventario &gt; Catálogo</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Sincroniza automáticamente con el módulo de compras (OC recibida → aumenta stock)</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Integración compras-inventario</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Operaciones</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Registra salidas de inventario (despachos, consumos) con referencia del pedido</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Movimientos de inventario</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 IA</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Monitorea niveles en tiempo real. Alerta cuando stock &lt; punto de reorden</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Alertas automáticas</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KallpaPro</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Genera recomendación de reposición con el proveedor de mejor precio-plazo histórico</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Recomendación IA</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6</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KallpaPro</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Ejecuta valorización mensual del inventario (FIFO/LIFO/Promedio según política)</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Valorización</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Produce reporte financiero: valor del inventario, rotación, días de inventario, obsolescencia</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Reportes financieros</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CFO cliente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Recibe análisis de inventario con impacto en el balance y flujo de caja</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Dashboard CFO</w:t>
            </w:r>
          </w:p>
        </w:tc>
      </w:tr>
    </w:tbl>
    <w:p>
      <w:pPr>
        <w:spacing w:after="80" w:before="0"/>
      </w:pPr>
    </w:p>
    <w:p>
      <w:pPr>
        <w:pStyle w:val="Heading3"/>
        <w:spacing w:after="80" w:before="200"/>
      </w:pPr>
      <w:r>
        <w:rPr>
          <w:rFonts w:ascii="Arial" w:cs="Arial" w:eastAsia="Arial" w:hAnsi="Arial"/>
          <w:b/>
          <w:bCs/>
          <w:color w:val="0D1F6E"/>
          <w:sz w:val="24"/>
          <w:szCs w:val="24"/>
        </w:rPr>
        <w:t xml:space="preserve">KPIs del Módulo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100%</w:t>
            </w:r>
          </w:p>
          <w:p>
            <w:pPr>
              <w:spacing w:after="0" w:before="0"/>
              <w:jc w:val="center"/>
            </w:pPr>
            <w:r>
              <w:rPr>
                <w:rFonts w:ascii="Arial" w:cs="Arial" w:eastAsia="Arial" w:hAnsi="Arial"/>
                <w:i/>
                <w:iCs/>
                <w:color w:val="64748B"/>
                <w:sz w:val="17"/>
                <w:szCs w:val="17"/>
              </w:rPr>
              <w:t xml:space="preserve">Visibilidad en tiempo real</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&lt;5%</w:t>
            </w:r>
          </w:p>
          <w:p>
            <w:pPr>
              <w:spacing w:after="0" w:before="0"/>
              <w:jc w:val="center"/>
            </w:pPr>
            <w:r>
              <w:rPr>
                <w:rFonts w:ascii="Arial" w:cs="Arial" w:eastAsia="Arial" w:hAnsi="Arial"/>
                <w:i/>
                <w:iCs/>
                <w:color w:val="64748B"/>
                <w:sz w:val="17"/>
                <w:szCs w:val="17"/>
              </w:rPr>
              <w:t xml:space="preserve">Error de valorización</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Mensual</w:t>
            </w:r>
          </w:p>
          <w:p>
            <w:pPr>
              <w:spacing w:after="0" w:before="0"/>
              <w:jc w:val="center"/>
            </w:pPr>
            <w:r>
              <w:rPr>
                <w:rFonts w:ascii="Arial" w:cs="Arial" w:eastAsia="Arial" w:hAnsi="Arial"/>
                <w:i/>
                <w:iCs/>
                <w:color w:val="64748B"/>
                <w:sz w:val="17"/>
                <w:szCs w:val="17"/>
              </w:rPr>
              <w:t xml:space="preserve">Valorización automática</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-20%</w:t>
            </w:r>
          </w:p>
          <w:p>
            <w:pPr>
              <w:spacing w:after="0" w:before="0"/>
              <w:jc w:val="center"/>
            </w:pPr>
            <w:r>
              <w:rPr>
                <w:rFonts w:ascii="Arial" w:cs="Arial" w:eastAsia="Arial" w:hAnsi="Arial"/>
                <w:i/>
                <w:iCs/>
                <w:color w:val="64748B"/>
                <w:sz w:val="17"/>
                <w:szCs w:val="17"/>
              </w:rPr>
              <w:t xml:space="preserve">Reducción obsolescencia</w:t>
            </w:r>
          </w:p>
        </w:tc>
      </w:tr>
    </w:tbl>
    <w:p>
      <w:pPr>
        <w:spacing w:after="160" w:before="0"/>
      </w:pPr>
    </w:p>
    <w:p>
      <w:pPr>
        <w:pStyle w:val="Heading2"/>
        <w:spacing w:after="120" w:before="280"/>
      </w:pPr>
      <w:r>
        <w:rPr>
          <w:rFonts w:ascii="Arial" w:cs="Arial" w:eastAsia="Arial" w:hAnsi="Arial"/>
          <w:b/>
          <w:bCs/>
          <w:color w:val="1A3DB5"/>
          <w:sz w:val="28"/>
          <w:szCs w:val="28"/>
        </w:rPr>
        <w:t xml:space="preserve">5.4 Proceso Financiero (Flujo de Caja y Valorización)</w:t>
      </w:r>
    </w:p>
    <w:p>
      <w:pPr>
        <w:spacing w:after="80" w:before="60"/>
      </w:pPr>
      <w:r>
        <w:rPr>
          <w:rFonts w:ascii="Arial" w:cs="Arial" w:eastAsia="Arial" w:hAnsi="Arial"/>
          <w:color w:val="1E293B"/>
          <w:sz w:val="22"/>
          <w:szCs w:val="22"/>
        </w:rPr>
        <w:t xml:space="preserve">El módulo financiero es el diferenciador más poderoso de KallpaPro para PyMES: automatiza el análisis de Flujo Neto Real, Flujo de Caja Libre (FCF) y valor de la empresa. Lo que antes tomaba semanas de trabajo contable, LOGIFI™ lo genera en minutos.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200"/>
        <w:gridCol w:w="3800"/>
        <w:gridCol w:w="3940"/>
      </w:tblGrid>
      <w:tr>
        <w:trPr>
          <w:tblHeader/>
        </w:trPr>
        <w:tc>
          <w:tcPr>
            <w:tcW w:type="dxa" w:w="42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Paso</w:t>
            </w:r>
          </w:p>
        </w:tc>
        <w:tc>
          <w:tcPr>
            <w:tcW w:type="dxa" w:w="12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Actor</w:t>
            </w:r>
          </w:p>
        </w:tc>
        <w:tc>
          <w:tcPr>
            <w:tcW w:type="dxa" w:w="3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Acción</w:t>
            </w:r>
          </w:p>
        </w:tc>
        <w:tc>
          <w:tcPr>
            <w:tcW w:type="dxa" w:w="394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Sistema LOGIFI™</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Integra automáticamente datos de los 3 módulos (logística, compras, inventario) al módulo financiero</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Integración transversal</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Construye el Estado de Flujo de Caja real-time: operativo, inversión y financiamiento</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Motor FCF Automático</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KallpaPro</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Proyecta flujo de caja libre (FCF) a 12 meses con escenarios (base, optimista, pesimista)</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Proyección FCF + IA</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Calcula indicadores: EBITDA, EBIT, Margen FCF, Capital de Trabajo Neto, VPN, TIR por proyecto</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Dashboard CFO</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CPA. (KallpaPro)</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Revisa resultados y añade narrativa ejecutiva y recomendaciones de optimización</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Servicio asesoría incluido</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6</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Valoriza la empresa usando múltiplos de industria y método DCF (Descuento Flujos Futuros)</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Valorización empresa</w:t>
            </w:r>
          </w:p>
        </w:tc>
      </w:tr>
      <w:tr>
        <w:tc>
          <w:tcPr>
            <w:tcW w:type="dxa" w:w="42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w:t>
            </w:r>
          </w:p>
        </w:tc>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Cliente</w:t>
            </w:r>
          </w:p>
        </w:tc>
        <w:tc>
          <w:tcPr>
            <w:tcW w:type="dxa" w:w="3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Recibe el reporte POV financiero mensual: qué generé, qué consumí, qué vale mi empresa hoy</w:t>
            </w:r>
          </w:p>
        </w:tc>
        <w:tc>
          <w:tcPr>
            <w:tcW w:type="dxa" w:w="394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Reporte ejecutivo mensual</w:t>
            </w:r>
          </w:p>
        </w:tc>
      </w:tr>
      <w:tr>
        <w:tc>
          <w:tcPr>
            <w:tcW w:type="dxa" w:w="42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KallpaPro</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Identifica oportunidades de financiamiento, refinanciación o inversión con instituciones aliadas</w:t>
            </w:r>
          </w:p>
        </w:tc>
        <w:tc>
          <w:tcPr>
            <w:tcW w:type="dxa" w:w="394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Servicios Financieros</w:t>
            </w:r>
          </w:p>
        </w:tc>
      </w:tr>
    </w:tbl>
    <w:p>
      <w:pPr>
        <w:spacing w:after="80" w:before="0"/>
      </w:pPr>
    </w:p>
    <w:p>
      <w:pPr>
        <w:pStyle w:val="Heading3"/>
        <w:spacing w:after="80" w:before="200"/>
      </w:pPr>
      <w:r>
        <w:rPr>
          <w:rFonts w:ascii="Arial" w:cs="Arial" w:eastAsia="Arial" w:hAnsi="Arial"/>
          <w:b/>
          <w:bCs/>
          <w:color w:val="0D1F6E"/>
          <w:sz w:val="24"/>
          <w:szCs w:val="24"/>
        </w:rPr>
        <w:t xml:space="preserve">KPIs del Módulo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FCF</w:t>
            </w:r>
          </w:p>
          <w:p>
            <w:pPr>
              <w:spacing w:after="0" w:before="0"/>
              <w:jc w:val="center"/>
            </w:pPr>
            <w:r>
              <w:rPr>
                <w:rFonts w:ascii="Arial" w:cs="Arial" w:eastAsia="Arial" w:hAnsi="Arial"/>
                <w:i/>
                <w:iCs/>
                <w:color w:val="64748B"/>
                <w:sz w:val="17"/>
                <w:szCs w:val="17"/>
              </w:rPr>
              <w:t xml:space="preserve">Flujo Neto Real</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DCF</w:t>
            </w:r>
          </w:p>
          <w:p>
            <w:pPr>
              <w:spacing w:after="0" w:before="0"/>
              <w:jc w:val="center"/>
            </w:pPr>
            <w:r>
              <w:rPr>
                <w:rFonts w:ascii="Arial" w:cs="Arial" w:eastAsia="Arial" w:hAnsi="Arial"/>
                <w:i/>
                <w:iCs/>
                <w:color w:val="64748B"/>
                <w:sz w:val="17"/>
                <w:szCs w:val="17"/>
              </w:rPr>
              <w:t xml:space="preserve">Valorización empresa</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EVA</w:t>
            </w:r>
          </w:p>
          <w:p>
            <w:pPr>
              <w:spacing w:after="0" w:before="0"/>
              <w:jc w:val="center"/>
            </w:pPr>
            <w:r>
              <w:rPr>
                <w:rFonts w:ascii="Arial" w:cs="Arial" w:eastAsia="Arial" w:hAnsi="Arial"/>
                <w:i/>
                <w:iCs/>
                <w:color w:val="64748B"/>
                <w:sz w:val="17"/>
                <w:szCs w:val="17"/>
              </w:rPr>
              <w:t xml:space="preserve">Valor Económico Agregado</w:t>
            </w:r>
          </w:p>
        </w:tc>
        <w:tc>
          <w:tcPr>
            <w:tcW w:type="dxa" w:w="2340"/>
            <w:tcBorders>
              <w:top w:val="single" w:color="B3E9F7" w:sz="4"/>
              <w:left w:val="single" w:color="B3E9F7" w:sz="4"/>
              <w:bottom w:val="single" w:color="B3E9F7" w:sz="4"/>
              <w:right w:val="single" w:color="B3E9F7" w:sz="4"/>
            </w:tcBorders>
            <w:shd w:fill="EEF2FF" w:val="clear"/>
            <w:tcMar>
              <w:top w:type="dxa" w:w="100"/>
              <w:left w:type="dxa" w:w="120"/>
              <w:bottom w:type="dxa" w:w="100"/>
              <w:right w:type="dxa" w:w="120"/>
            </w:tcMar>
            <w:vAlign w:val="center"/>
          </w:tcPr>
          <w:p>
            <w:pPr>
              <w:spacing w:after="20" w:before="0"/>
              <w:jc w:val="center"/>
            </w:pPr>
            <w:r>
              <w:rPr>
                <w:rFonts w:ascii="Arial" w:cs="Arial" w:eastAsia="Arial" w:hAnsi="Arial"/>
                <w:b/>
                <w:bCs/>
                <w:color w:val="1A3DB5"/>
                <w:sz w:val="32"/>
                <w:szCs w:val="32"/>
              </w:rPr>
              <w:t xml:space="preserve">&lt;24h</w:t>
            </w:r>
          </w:p>
          <w:p>
            <w:pPr>
              <w:spacing w:after="0" w:before="0"/>
              <w:jc w:val="center"/>
            </w:pPr>
            <w:r>
              <w:rPr>
                <w:rFonts w:ascii="Arial" w:cs="Arial" w:eastAsia="Arial" w:hAnsi="Arial"/>
                <w:i/>
                <w:iCs/>
                <w:color w:val="64748B"/>
                <w:sz w:val="17"/>
                <w:szCs w:val="17"/>
              </w:rPr>
              <w:t xml:space="preserve">Generación de reporte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06. ARQUITECTURA DE LA APLICACIÓN LOGIFI™</w:t>
            </w:r>
          </w:p>
          <w:p>
            <w:pPr>
              <w:spacing w:after="0" w:before="40"/>
            </w:pPr>
            <w:r>
              <w:rPr>
                <w:rFonts w:ascii="Arial" w:cs="Arial" w:eastAsia="Arial" w:hAnsi="Arial"/>
                <w:i/>
                <w:iCs/>
                <w:color w:val="00B8E0"/>
                <w:sz w:val="19"/>
                <w:szCs w:val="19"/>
              </w:rPr>
              <w:t xml:space="preserve">Stack Tecnológico · Módulos · Flujo de Datos · Integraciones</w:t>
            </w:r>
          </w:p>
        </w:tc>
      </w:tr>
    </w:tbl>
    <w:p>
      <w:pPr>
        <w:spacing w:after="80" w:before="0"/>
      </w:pPr>
    </w:p>
    <w:p>
      <w:pPr>
        <w:pStyle w:val="Heading2"/>
        <w:spacing w:after="120" w:before="280"/>
      </w:pPr>
      <w:r>
        <w:rPr>
          <w:rFonts w:ascii="Arial" w:cs="Arial" w:eastAsia="Arial" w:hAnsi="Arial"/>
          <w:b/>
          <w:bCs/>
          <w:color w:val="1A3DB5"/>
          <w:sz w:val="28"/>
          <w:szCs w:val="28"/>
        </w:rPr>
        <w:t xml:space="preserve">Decisión Arquitectónica: Monolito Modular + Microservicios Selectivos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3DB5" w:val="clear"/>
          </w:tcPr>
          <w:p/>
        </w:tc>
        <w:tc>
          <w:tcPr>
            <w:tcW w:type="dxa" w:w="9180"/>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tcPr>
          <w:p>
            <w:pPr>
              <w:spacing w:after="0" w:before="0"/>
            </w:pPr>
            <w:r>
              <w:rPr>
                <w:rFonts w:ascii="Arial" w:cs="Arial" w:eastAsia="Arial" w:hAnsi="Arial"/>
                <w:i/>
                <w:iCs/>
                <w:color w:val="0D1F6E"/>
                <w:sz w:val="21"/>
                <w:szCs w:val="21"/>
              </w:rPr>
              <w:t xml:space="preserve">No comenzamos con microservicios puros (complejidad operacional prematura). El Core Business Logic (pedidos, compras, usuarios, inventario, finanzas) vive en un monolito modular Node.js/Fastify. Solo los módulos de alto volumen o alta frecuencia (Tracking GPS, IA, Notificaciones) se despliegan como microservicios independientes.</w:t>
            </w:r>
          </w:p>
        </w:tc>
      </w:tr>
    </w:tbl>
    <w:p>
      <w:pPr>
        <w:spacing w:after="80" w:before="0"/>
      </w:pPr>
    </w:p>
    <w:p>
      <w:pPr>
        <w:pStyle w:val="Heading2"/>
        <w:spacing w:after="120" w:before="280"/>
      </w:pPr>
      <w:r>
        <w:rPr>
          <w:rFonts w:ascii="Arial" w:cs="Arial" w:eastAsia="Arial" w:hAnsi="Arial"/>
          <w:b/>
          <w:bCs/>
          <w:color w:val="1A3DB5"/>
          <w:sz w:val="28"/>
          <w:szCs w:val="28"/>
        </w:rPr>
        <w:t xml:space="preserve">Stack Tecnológico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Capa</w:t>
            </w:r>
          </w:p>
        </w:tc>
        <w:tc>
          <w:tcPr>
            <w:tcW w:type="dxa" w:w="3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Tecnología</w:t>
            </w:r>
          </w:p>
        </w:tc>
        <w:tc>
          <w:tcPr>
            <w:tcW w:type="dxa" w:w="43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Justificación</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Frontend Web</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Next.js 14 + React 18 + TypeScript + Tailwind CSS</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SSR para SEO, RSC para performance, layouts por tenant, tipo seguro</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App Móvil Conductor</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React Native + Expo (iOS + Android)</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Código compartido con web, funciona offline, notificaciones push nativas</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Backend Core</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Node.js 20 + Fastify 4 + TypeScript + Prisma ORM</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Fastify es 3x más rápido que Express, validación built-in, plugins escalables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Base de Datos Principal</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PostgreSQL 16 con Row-Level Security (multi-tenant)</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Aislamiento por tenant sin bases de datos separadas. ACID garantizado</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Series de Tiempo GPS</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TimescaleDB (extensión PostgreSQL)</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Compresión 20x datos GPS. Queries time-series nativas y eficientes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Cache y Sesiones</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Redis 7 Cluster</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Cache de respuestas IA, sesiones de usuario, pub/sub para WebSockets</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Event Bus</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Apache Kafka 3.x (3 brokers, replicación factor-3)</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Procesamiento de eventos GPS, pedidos y alertas sin pérdida de datos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IA Principal</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Claude API (Anthropic) — claude-3.5-sonnet</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200K tokens de contexto. Function calling para agente logístico autónomo</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API Gateway</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Kong Open Source + JWT Validation + Rate Limiting</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Punto único de entrada, autenticación centralizada, routing por tenant</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Archivos y PODs</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Cloudflare R2 (compatible S3)</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Almacenamiento fotos POD, contratos, reportes. URLs firmadas 1h</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CDN y WAF</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Cloudflare (Pro Plan)</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WAF OWASP Top 10, DDoS protection, CDN global, SSL automático custom domains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Infraestructura</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AWS (EKS + RDS + ElastiCache + MSK)</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Kubernetes para autoscaling, servicios managed para reducir overhead operativo</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DevOps</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GitHub Actions + Docker + Terraform</w:t>
            </w:r>
          </w:p>
        </w:tc>
        <w:tc>
          <w:tcPr>
            <w:tcW w:type="dxa" w:w="4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CI/CD automatizado, IaC para reproducibilidad, containers para portabilidad</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Monitoring</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Grafana + Prometheus + Sentry + OpenTelemetry</w:t>
            </w:r>
          </w:p>
        </w:tc>
        <w:tc>
          <w:tcPr>
            <w:tcW w:type="dxa" w:w="4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Observabilidad completa: métricas, trazas, errores, alertas</w:t>
            </w:r>
          </w:p>
        </w:tc>
      </w:tr>
    </w:tbl>
    <w:p>
      <w:pPr>
        <w:spacing w:after="80" w:before="0"/>
      </w:pPr>
    </w:p>
    <w:p>
      <w:pPr>
        <w:pStyle w:val="Heading2"/>
        <w:spacing w:after="120" w:before="280"/>
      </w:pPr>
      <w:r>
        <w:rPr>
          <w:rFonts w:ascii="Arial" w:cs="Arial" w:eastAsia="Arial" w:hAnsi="Arial"/>
          <w:b/>
          <w:bCs/>
          <w:color w:val="1A3DB5"/>
          <w:sz w:val="28"/>
          <w:szCs w:val="28"/>
        </w:rPr>
        <w:t xml:space="preserve">Módulos de la Plataforma LOGIFI™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2000"/>
        <w:gridCol w:w="1060"/>
      </w:tblGrid>
      <w:tr>
        <w:trPr>
          <w:tblHeader/>
        </w:trPr>
        <w:tc>
          <w:tcPr>
            <w:tcW w:type="dxa" w:w="2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Módulo</w:t>
            </w:r>
          </w:p>
        </w:tc>
        <w:tc>
          <w:tcPr>
            <w:tcW w:type="dxa" w:w="33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Funcionalidades Core</w:t>
            </w:r>
          </w:p>
        </w:tc>
        <w:tc>
          <w:tcPr>
            <w:tcW w:type="dxa" w:w="2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Integraciones</w:t>
            </w:r>
          </w:p>
        </w:tc>
        <w:tc>
          <w:tcPr>
            <w:tcW w:type="dxa" w:w="10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Plan mínimo</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Logística / TMS</w:t>
            </w:r>
          </w:p>
        </w:tc>
        <w:tc>
          <w:tcPr>
            <w:tcW w:type="dxa" w:w="33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Nueva solicitud, matching IA, tracking GPS en vivo, POD digital, OTIF automático, alertas temperatura</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Geotab, Mapon, WhatsApp API</w:t>
            </w:r>
          </w:p>
        </w:tc>
        <w:tc>
          <w:tcPr>
            <w:tcW w:type="dxa" w:w="10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Starter</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Compras / Procurement</w:t>
            </w:r>
          </w:p>
        </w:tc>
        <w:tc>
          <w:tcPr>
            <w:tcW w:type="dxa" w:w="33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RFQ automático, portal proveedores, comparativa IA, OC digital, scorecard proveedores, ahorro documentado</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ERP cliente, SRI Ecuador</w:t>
            </w:r>
          </w:p>
        </w:tc>
        <w:tc>
          <w:tcPr>
            <w:tcW w:type="dxa" w:w="10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Starter</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Inventario / WMS</w:t>
            </w:r>
          </w:p>
        </w:tc>
        <w:tc>
          <w:tcPr>
            <w:tcW w:type="dxa" w:w="33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Catálogo SKU, movimientos, alertas reposición, valorización FIFO/LIFO, rotación, días inventario</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Compras (automático)</w:t>
            </w:r>
          </w:p>
        </w:tc>
        <w:tc>
          <w:tcPr>
            <w:tcW w:type="dxa" w:w="10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Financiero / CFO</w:t>
            </w:r>
          </w:p>
        </w:tc>
        <w:tc>
          <w:tcPr>
            <w:tcW w:type="dxa" w:w="33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FCF en tiempo real, DCF valorización, EVA, proyecciones 12 meses, reporte POV mensual</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SRI Ecuador, Kushki pagos</w:t>
            </w:r>
          </w:p>
        </w:tc>
        <w:tc>
          <w:tcPr>
            <w:tcW w:type="dxa" w:w="10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Dashboard Ejecutivo</w:t>
            </w:r>
          </w:p>
        </w:tc>
        <w:tc>
          <w:tcPr>
            <w:tcW w:type="dxa" w:w="33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KPIs en tiempo real de los 4 módulos, mapa GPS, alertas, actividad reciente, comparativo histórico</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Todos los módulos</w:t>
            </w:r>
          </w:p>
        </w:tc>
        <w:tc>
          <w:tcPr>
            <w:tcW w:type="dxa" w:w="10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Todos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Gestión de Usuarios</w:t>
            </w:r>
          </w:p>
        </w:tc>
        <w:tc>
          <w:tcPr>
            <w:tcW w:type="dxa" w:w="33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RBAC roles, MFA, dominios personalizados, auditoría de accesos, invitaciones, SSO enterprise</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LDAP/SAML (Enterprise)</w:t>
            </w:r>
          </w:p>
        </w:tc>
        <w:tc>
          <w:tcPr>
            <w:tcW w:type="dxa" w:w="10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Todos</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Asistente IA (Claude)</w:t>
            </w:r>
          </w:p>
        </w:tc>
        <w:tc>
          <w:tcPr>
            <w:tcW w:type="dxa" w:w="33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Co-piloto operativo en cada módulo, recomendaciones contextuales, detección de anomalías, alertas predictivas</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Todos los módulos + API Claude</w:t>
            </w:r>
          </w:p>
        </w:tc>
        <w:tc>
          <w:tcPr>
            <w:tcW w:type="dxa" w:w="10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Portal Proveedor</w:t>
            </w:r>
          </w:p>
        </w:tc>
        <w:tc>
          <w:tcPr>
            <w:tcW w:type="dxa" w:w="33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Perfil, disponibilidad, cotizaciones RFQ, historial operaciones, rating y evaluaciones, pagos</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WhatsApp, email</w:t>
            </w:r>
          </w:p>
        </w:tc>
        <w:tc>
          <w:tcPr>
            <w:tcW w:type="dxa" w:w="10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Gratuito proveedores</w:t>
            </w:r>
          </w:p>
        </w:tc>
      </w:tr>
    </w:tbl>
    <w:p>
      <w:pPr>
        <w:spacing w:after="80" w:before="0"/>
      </w:pPr>
    </w:p>
    <w:p>
      <w:pPr>
        <w:pStyle w:val="Heading2"/>
        <w:spacing w:after="120" w:before="280"/>
      </w:pPr>
      <w:r>
        <w:rPr>
          <w:rFonts w:ascii="Arial" w:cs="Arial" w:eastAsia="Arial" w:hAnsi="Arial"/>
          <w:b/>
          <w:bCs/>
          <w:color w:val="1A3DB5"/>
          <w:sz w:val="28"/>
          <w:szCs w:val="28"/>
        </w:rPr>
        <w:t xml:space="preserve">Flujo de Datos — De la Solicitud al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3"/>
        <w:gridCol w:w="177"/>
        <w:gridCol w:w="1413"/>
        <w:gridCol w:w="177"/>
        <w:gridCol w:w="1413"/>
        <w:gridCol w:w="177"/>
        <w:gridCol w:w="1413"/>
        <w:gridCol w:w="177"/>
        <w:gridCol w:w="1413"/>
        <w:gridCol w:w="177"/>
        <w:gridCol w:w="1413"/>
      </w:tblGrid>
      <w:tr>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1</w:t>
            </w:r>
          </w:p>
          <w:p>
            <w:pPr>
              <w:spacing w:after="0" w:before="20"/>
              <w:jc w:val="center"/>
            </w:pPr>
            <w:r>
              <w:rPr>
                <w:rFonts w:ascii="Arial" w:cs="Arial" w:eastAsia="Arial" w:hAnsi="Arial"/>
                <w:color w:val="1E293B"/>
                <w:sz w:val="17"/>
                <w:szCs w:val="17"/>
              </w:rPr>
              <w:t xml:space="preserve">Cliente crea solicitud en LOGIFI™</w:t>
            </w:r>
          </w:p>
        </w:tc>
        <w:tc>
          <w:tcPr>
            <w:tcW w:type="dxa" w:w="177"/>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2</w:t>
            </w:r>
          </w:p>
          <w:p>
            <w:pPr>
              <w:spacing w:after="0" w:before="20"/>
              <w:jc w:val="center"/>
            </w:pPr>
            <w:r>
              <w:rPr>
                <w:rFonts w:ascii="Arial" w:cs="Arial" w:eastAsia="Arial" w:hAnsi="Arial"/>
                <w:color w:val="1E293B"/>
                <w:sz w:val="17"/>
                <w:szCs w:val="17"/>
              </w:rPr>
              <w:t xml:space="preserve">IA evalúa y hace matching</w:t>
            </w:r>
          </w:p>
        </w:tc>
        <w:tc>
          <w:tcPr>
            <w:tcW w:type="dxa" w:w="177"/>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3</w:t>
            </w:r>
          </w:p>
          <w:p>
            <w:pPr>
              <w:spacing w:after="0" w:before="20"/>
              <w:jc w:val="center"/>
            </w:pPr>
            <w:r>
              <w:rPr>
                <w:rFonts w:ascii="Arial" w:cs="Arial" w:eastAsia="Arial" w:hAnsi="Arial"/>
                <w:color w:val="1E293B"/>
                <w:sz w:val="17"/>
                <w:szCs w:val="17"/>
              </w:rPr>
              <w:t xml:space="preserve">Proveedor confirma y ejecuta</w:t>
            </w:r>
          </w:p>
        </w:tc>
        <w:tc>
          <w:tcPr>
            <w:tcW w:type="dxa" w:w="177"/>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4</w:t>
            </w:r>
          </w:p>
          <w:p>
            <w:pPr>
              <w:spacing w:after="0" w:before="20"/>
              <w:jc w:val="center"/>
            </w:pPr>
            <w:r>
              <w:rPr>
                <w:rFonts w:ascii="Arial" w:cs="Arial" w:eastAsia="Arial" w:hAnsi="Arial"/>
                <w:color w:val="1E293B"/>
                <w:sz w:val="17"/>
                <w:szCs w:val="17"/>
              </w:rPr>
              <w:t xml:space="preserve">GPS actualiza posición (30s)</w:t>
            </w:r>
          </w:p>
        </w:tc>
        <w:tc>
          <w:tcPr>
            <w:tcW w:type="dxa" w:w="177"/>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5</w:t>
            </w:r>
          </w:p>
          <w:p>
            <w:pPr>
              <w:spacing w:after="0" w:before="20"/>
              <w:jc w:val="center"/>
            </w:pPr>
            <w:r>
              <w:rPr>
                <w:rFonts w:ascii="Arial" w:cs="Arial" w:eastAsia="Arial" w:hAnsi="Arial"/>
                <w:color w:val="1E293B"/>
                <w:sz w:val="17"/>
                <w:szCs w:val="17"/>
              </w:rPr>
              <w:t xml:space="preserve">KPIs actualizados en vivo</w:t>
            </w:r>
          </w:p>
        </w:tc>
        <w:tc>
          <w:tcPr>
            <w:tcW w:type="dxa" w:w="177"/>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6</w:t>
            </w:r>
          </w:p>
          <w:p>
            <w:pPr>
              <w:spacing w:after="0" w:before="20"/>
              <w:jc w:val="center"/>
            </w:pPr>
            <w:r>
              <w:rPr>
                <w:rFonts w:ascii="Arial" w:cs="Arial" w:eastAsia="Arial" w:hAnsi="Arial"/>
                <w:color w:val="1E293B"/>
                <w:sz w:val="17"/>
                <w:szCs w:val="17"/>
              </w:rPr>
              <w:t xml:space="preserve">Reporte POV generado auto</w:t>
            </w:r>
          </w:p>
        </w:tc>
      </w:tr>
    </w:tbl>
    <w:p>
      <w:pPr>
        <w:spacing w:after="80" w:before="0"/>
      </w:pPr>
    </w:p>
    <w:p>
      <w:pPr>
        <w:pStyle w:val="Heading2"/>
        <w:spacing w:after="120" w:before="280"/>
      </w:pPr>
      <w:r>
        <w:rPr>
          <w:rFonts w:ascii="Arial" w:cs="Arial" w:eastAsia="Arial" w:hAnsi="Arial"/>
          <w:b/>
          <w:bCs/>
          <w:color w:val="1A3DB5"/>
          <w:sz w:val="28"/>
          <w:szCs w:val="28"/>
        </w:rPr>
        <w:t xml:space="preserve">Arquitectura Multi-Tenant y Dominios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Modelo de aislamiento</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Row-Level Security (RLS) en PostgreSQL. Cada query se ejecuta con el tenant_id del usuario autenticado. Imposible ver datos de otro tenant incluso con bugs en el código.</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Dominios personalizados</w:t>
            </w:r>
          </w:p>
        </w:tc>
        <w:tc>
          <w:tcPr>
            <w:tcW w:type="dxa" w:w="6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Admin configura: empresa.kallpapro.com o logistica.empresa.com (CNAME propio). Cloudflare propaga en &lt;60 segundos con SSL automático via Let's Encrypt.</w:t>
            </w:r>
          </w:p>
        </w:tc>
      </w:tr>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Branding por tenant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Logo, colores primarios, nombre de la plataforma y dominio configurables desde el panel de administración. Sin tocar código.</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Separación de datos</w:t>
            </w:r>
          </w:p>
        </w:tc>
        <w:tc>
          <w:tcPr>
            <w:tcW w:type="dxa" w:w="6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Datos operativos separados por tenant_id. Datos de analítica agregados anonimizados para benchmarks del mercado.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07. ESTRATEGIA DE PÁGINA WEB</w:t>
            </w:r>
          </w:p>
          <w:p>
            <w:pPr>
              <w:spacing w:after="0" w:before="40"/>
            </w:pPr>
            <w:r>
              <w:rPr>
                <w:rFonts w:ascii="Arial" w:cs="Arial" w:eastAsia="Arial" w:hAnsi="Arial"/>
                <w:i/>
                <w:iCs/>
                <w:color w:val="00B8E0"/>
                <w:sz w:val="19"/>
                <w:szCs w:val="19"/>
              </w:rPr>
              <w:t xml:space="preserve">Qué mostrar · Qué no mostrar · Estructura recomendada</w:t>
            </w:r>
          </w:p>
        </w:tc>
      </w:tr>
    </w:tbl>
    <w:p>
      <w:pPr>
        <w:spacing w:after="80" w:before="0"/>
      </w:pPr>
    </w:p>
    <w:p>
      <w:pPr>
        <w:pStyle w:val="Heading2"/>
        <w:spacing w:after="120" w:before="280"/>
      </w:pPr>
      <w:r>
        <w:rPr>
          <w:rFonts w:ascii="Arial" w:cs="Arial" w:eastAsia="Arial" w:hAnsi="Arial"/>
          <w:b/>
          <w:bCs/>
          <w:color w:val="1A3DB5"/>
          <w:sz w:val="28"/>
          <w:szCs w:val="28"/>
        </w:rPr>
        <w:t xml:space="preserve">Objetivo de la Página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59669" w:val="clear"/>
          </w:tcPr>
          <w:p/>
        </w:tc>
        <w:tc>
          <w:tcPr>
            <w:tcW w:type="dxa" w:w="9180"/>
            <w:tcBorders>
              <w:top w:val="none" w:color="FFFFFF" w:sz="0"/>
              <w:left w:val="none" w:color="FFFFFF" w:sz="0"/>
              <w:bottom w:val="none" w:color="FFFFFF" w:sz="0"/>
              <w:right w:val="none" w:color="FFFFFF" w:sz="0"/>
            </w:tcBorders>
            <w:shd w:fill="ECFDF5" w:val="clear"/>
            <w:tcMar>
              <w:top w:type="dxa" w:w="100"/>
              <w:left w:type="dxa" w:w="160"/>
              <w:bottom w:type="dxa" w:w="100"/>
              <w:right w:type="dxa" w:w="160"/>
            </w:tcMar>
          </w:tcPr>
          <w:p>
            <w:pPr>
              <w:spacing w:after="0" w:before="0"/>
            </w:pPr>
            <w:r>
              <w:rPr>
                <w:rFonts w:ascii="Arial" w:cs="Arial" w:eastAsia="Arial" w:hAnsi="Arial"/>
                <w:i/>
                <w:iCs/>
                <w:color w:val="0D1F6E"/>
                <w:sz w:val="21"/>
                <w:szCs w:val="21"/>
              </w:rPr>
              <w:t xml:space="preserve">La página web de KallpaPro NO es el producto. Es el canal de captación y credibilidad. Su único objetivo es convertir visitantes en leads calificados que agendan un diagnóstico gratuito. Todo lo que no contribuye a eso, sobra.</w:t>
            </w:r>
          </w:p>
        </w:tc>
      </w:tr>
    </w:tbl>
    <w:p>
      <w:pPr>
        <w:spacing w:after="80" w:before="0"/>
      </w:pPr>
    </w:p>
    <w:p>
      <w:pPr>
        <w:pStyle w:val="Heading2"/>
        <w:spacing w:after="120" w:before="280"/>
      </w:pPr>
      <w:r>
        <w:rPr>
          <w:rFonts w:ascii="Arial" w:cs="Arial" w:eastAsia="Arial" w:hAnsi="Arial"/>
          <w:b/>
          <w:bCs/>
          <w:color w:val="1A3DB5"/>
          <w:sz w:val="28"/>
          <w:szCs w:val="28"/>
        </w:rPr>
        <w:t xml:space="preserve">Estructura de la Página Web — Secciones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160"/>
      </w:tblGrid>
      <w:tr>
        <w:trPr>
          <w:tblHeader/>
        </w:trPr>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Sección</w:t>
            </w:r>
          </w:p>
        </w:tc>
        <w:tc>
          <w:tcPr>
            <w:tcW w:type="dxa" w:w="32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Contenido</w:t>
            </w:r>
          </w:p>
        </w:tc>
        <w:tc>
          <w:tcPr>
            <w:tcW w:type="dxa" w:w="22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CTA Principal</w:t>
            </w:r>
          </w:p>
        </w:tc>
        <w:tc>
          <w:tcPr>
            <w:tcW w:type="dxa" w:w="11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Mostrar</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Hero / Portada</w:t>
            </w:r>
          </w:p>
        </w:tc>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"Gestiona tu logística, compras, inventario y finanzas en una sola plataforma inteligente." + video de 60s del demo</w:t>
            </w:r>
          </w:p>
        </w:tc>
        <w:tc>
          <w:tcPr>
            <w:tcW w:type="dxa" w:w="2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Agenda tu diagnóstico gratuito</w:t>
            </w:r>
          </w:p>
        </w:tc>
        <w:tc>
          <w:tcPr>
            <w:tcW w:type="dxa" w:w="11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SÍ</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El problema que resolvemos</w:t>
            </w:r>
          </w:p>
        </w:tc>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 cajas: % de sobrecosto en logística PyME, % de compras sin control, % sin visibilidad de inventario, % sin FCF real</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Calcula cuánto pierdes</w:t>
            </w:r>
          </w:p>
        </w:tc>
        <w:tc>
          <w:tcPr>
            <w:tcW w:type="dxa" w:w="1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SÍ</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Nuestra solución (los 4 módulos)</w:t>
            </w:r>
          </w:p>
        </w:tc>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Logística, Compras, Inventario, Finanzas — con screenshots reales del producto</w:t>
            </w:r>
          </w:p>
        </w:tc>
        <w:tc>
          <w:tcPr>
            <w:tcW w:type="dxa" w:w="2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Ver demo en vivo</w:t>
            </w:r>
          </w:p>
        </w:tc>
        <w:tc>
          <w:tcPr>
            <w:tcW w:type="dxa" w:w="11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SÍ</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Cómo funciona</w:t>
            </w:r>
          </w:p>
        </w:tc>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 pasos: 1. Te suscribes → 2. Configuramos tu plataforma → 3. Ves resultados en 30 días</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Empezar ahora</w:t>
            </w:r>
          </w:p>
        </w:tc>
        <w:tc>
          <w:tcPr>
            <w:tcW w:type="dxa" w:w="1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SÍ</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Pricing transparente</w:t>
            </w:r>
          </w:p>
        </w:tc>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 planes con precios visibles (Starter $200, Pro $450, Enterprise $800). Comparativa de funciones</w:t>
            </w:r>
          </w:p>
        </w:tc>
        <w:tc>
          <w:tcPr>
            <w:tcW w:type="dxa" w:w="2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Probar 30 días gratis</w:t>
            </w:r>
          </w:p>
        </w:tc>
        <w:tc>
          <w:tcPr>
            <w:tcW w:type="dxa" w:w="11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SÍ</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Casos de éxito / Testimonios</w:t>
            </w:r>
          </w:p>
        </w:tc>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 casos reales con nombre de empresa, sector, antes/después con datos de ahorro</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Ver caso completo</w:t>
            </w:r>
          </w:p>
        </w:tc>
        <w:tc>
          <w:tcPr>
            <w:tcW w:type="dxa" w:w="1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SÍ (Mes 3+)</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Calculadora de ROI</w:t>
            </w:r>
          </w:p>
        </w:tc>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"Cuánto puedes ahorrar con KallpaPro" — sliders de volumen de compras y operaciones logísticas</w:t>
            </w:r>
          </w:p>
        </w:tc>
        <w:tc>
          <w:tcPr>
            <w:tcW w:type="dxa" w:w="2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Quiero este ahorro</w:t>
            </w:r>
          </w:p>
        </w:tc>
        <w:tc>
          <w:tcPr>
            <w:tcW w:type="dxa" w:w="11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SÍ</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Sobre nosotros</w:t>
            </w:r>
          </w:p>
        </w:tc>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Fotos profesionales de ambos socios, brevísimo bio enfocado en resultados, no en CV</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Contáctanos</w:t>
            </w:r>
          </w:p>
        </w:tc>
        <w:tc>
          <w:tcPr>
            <w:tcW w:type="dxa" w:w="1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SÍ</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Blog / Recursos</w:t>
            </w:r>
          </w:p>
        </w:tc>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 artículos/mes: "Cómo calcular tu FCF", "Gestión de proveedores sin intermediarios"</w:t>
            </w:r>
          </w:p>
        </w:tc>
        <w:tc>
          <w:tcPr>
            <w:tcW w:type="dxa" w:w="2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Descargar guía gratis</w:t>
            </w:r>
          </w:p>
        </w:tc>
        <w:tc>
          <w:tcPr>
            <w:tcW w:type="dxa" w:w="11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SÍ (Mes 2+)</w:t>
            </w:r>
          </w:p>
        </w:tc>
      </w:tr>
    </w:tbl>
    <w:p>
      <w:pPr>
        <w:spacing w:after="80" w:before="0"/>
      </w:pPr>
    </w:p>
    <w:p>
      <w:pPr>
        <w:pStyle w:val="Heading2"/>
        <w:spacing w:after="120" w:before="280"/>
      </w:pPr>
      <w:r>
        <w:rPr>
          <w:rFonts w:ascii="Arial" w:cs="Arial" w:eastAsia="Arial" w:hAnsi="Arial"/>
          <w:b/>
          <w:bCs/>
          <w:color w:val="1A3DB5"/>
          <w:sz w:val="28"/>
          <w:szCs w:val="28"/>
        </w:rPr>
        <w:t xml:space="preserve">Qué NO Mostrar en la Página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NO mostrar</w:t>
            </w:r>
          </w:p>
        </w:tc>
        <w:tc>
          <w:tcPr>
            <w:tcW w:type="dxa" w:w="65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Razón</w:t>
            </w:r>
          </w:p>
        </w:tc>
      </w:tr>
      <w:tr>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Precios de servicios adicionales (valorización, asesoría)</w:t>
            </w:r>
          </w:p>
        </w:tc>
        <w:tc>
          <w:tcPr>
            <w:tcW w:type="dxa" w:w="6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Requieren diagnóstico previo. Precios genéricos asustan sin contexto.</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Documentación técnica de la API</w:t>
            </w:r>
          </w:p>
        </w:tc>
        <w:tc>
          <w:tcPr>
            <w:tcW w:type="dxa" w:w="6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Va en portal de desarrolladores separado. La web es para decisores de negocio, no técnicos.</w:t>
            </w:r>
          </w:p>
        </w:tc>
      </w:tr>
      <w:tr>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Información de proveedores (transportistas, etc.)</w:t>
            </w:r>
          </w:p>
        </w:tc>
        <w:tc>
          <w:tcPr>
            <w:tcW w:type="dxa" w:w="6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El matching es confidencial. No queremos que los clientes contacten proveedores directamente.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Estructura accionaria o legal detallada</w:t>
            </w:r>
          </w:p>
        </w:tc>
        <w:tc>
          <w:tcPr>
            <w:tcW w:type="dxa" w:w="6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Información confidencial que va en materiales para inversores, no en la web pública.</w:t>
            </w:r>
          </w:p>
        </w:tc>
      </w:tr>
      <w:tr>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Roadmap detallado del producto</w:t>
            </w:r>
          </w:p>
        </w:tc>
        <w:tc>
          <w:tcPr>
            <w:tcW w:type="dxa" w:w="6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Mantiene flexibilidad estratégica. Solo mostrar "Próximamente" para funciones futuras.</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Comparativas con competidores por nombre</w:t>
            </w:r>
          </w:p>
        </w:tc>
        <w:tc>
          <w:tcPr>
            <w:tcW w:type="dxa" w:w="6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Riesgo legal y de percepción negativa. Sí hacer "vs método tradicional".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08. PRESUPUESTO Y MÉTODO DE VALORIZACIÓN</w:t>
            </w:r>
          </w:p>
          <w:p>
            <w:pPr>
              <w:spacing w:after="0" w:before="40"/>
            </w:pPr>
            <w:r>
              <w:rPr>
                <w:rFonts w:ascii="Arial" w:cs="Arial" w:eastAsia="Arial" w:hAnsi="Arial"/>
                <w:i/>
                <w:iCs/>
                <w:color w:val="00B8E0"/>
                <w:sz w:val="19"/>
                <w:szCs w:val="19"/>
              </w:rPr>
              <w:t xml:space="preserve">CAPEX · OPEX · Proyección de Ingresos · Punto de Equilibrio · Valorización de la Compañía</w:t>
            </w:r>
          </w:p>
        </w:tc>
      </w:tr>
    </w:tbl>
    <w:p>
      <w:pPr>
        <w:spacing w:after="80" w:before="0"/>
      </w:pPr>
    </w:p>
    <w:p>
      <w:pPr>
        <w:pStyle w:val="Heading2"/>
        <w:spacing w:after="120" w:before="280"/>
      </w:pPr>
      <w:r>
        <w:rPr>
          <w:rFonts w:ascii="Arial" w:cs="Arial" w:eastAsia="Arial" w:hAnsi="Arial"/>
          <w:b/>
          <w:bCs/>
          <w:color w:val="1A3DB5"/>
          <w:sz w:val="28"/>
          <w:szCs w:val="28"/>
        </w:rPr>
        <w:t xml:space="preserve">8.1 Inversión Inicial (CAPEX)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1560"/>
        <w:gridCol w:w="1900"/>
      </w:tblGrid>
      <w:tr>
        <w:trPr>
          <w:tblHeader/>
        </w:trPr>
        <w:tc>
          <w:tcPr>
            <w:tcW w:type="dxa" w:w="24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Ítem</w:t>
            </w:r>
          </w:p>
        </w:tc>
        <w:tc>
          <w:tcPr>
            <w:tcW w:type="dxa" w:w="35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Descripción</w:t>
            </w:r>
          </w:p>
        </w:tc>
        <w:tc>
          <w:tcPr>
            <w:tcW w:type="dxa" w:w="15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Costo USD</w:t>
            </w:r>
          </w:p>
        </w:tc>
        <w:tc>
          <w:tcPr>
            <w:tcW w:type="dxa" w:w="19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Mes</w:t>
            </w:r>
          </w:p>
        </w:tc>
      </w:tr>
      <w:tr>
        <w:tc>
          <w:tcPr>
            <w:tcW w:type="dxa" w:w="24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Constitución legal</w:t>
            </w:r>
          </w:p>
        </w:tc>
        <w:tc>
          <w:tcPr>
            <w:tcW w:type="dxa" w:w="3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Cía. Ltda., notaría, SUPERCIAS, RUC, patentes municipales</w:t>
            </w:r>
          </w:p>
        </w:tc>
        <w:tc>
          <w:tcPr>
            <w:tcW w:type="dxa" w:w="1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$1,200</w:t>
            </w:r>
          </w:p>
        </w:tc>
        <w:tc>
          <w:tcPr>
            <w:tcW w:type="dxa" w:w="19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1</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Desarrollo MVP LOGIFI™</w:t>
            </w:r>
          </w:p>
        </w:tc>
        <w:tc>
          <w:tcPr>
            <w:tcW w:type="dxa" w:w="3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Bubble.io / código inicial — 4 módulos básicos funcionales</w:t>
            </w:r>
          </w:p>
        </w:tc>
        <w:tc>
          <w:tcPr>
            <w:tcW w:type="dxa" w:w="1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$12,000</w:t>
            </w:r>
          </w:p>
        </w:tc>
        <w:tc>
          <w:tcPr>
            <w:tcW w:type="dxa" w:w="19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1–2</w:t>
            </w:r>
          </w:p>
        </w:tc>
      </w:tr>
      <w:tr>
        <w:tc>
          <w:tcPr>
            <w:tcW w:type="dxa" w:w="24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Diseño UX/UI profesional</w:t>
            </w:r>
          </w:p>
        </w:tc>
        <w:tc>
          <w:tcPr>
            <w:tcW w:type="dxa" w:w="3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 de diseño, wireframes, mockups en Figma, design system</w:t>
            </w:r>
          </w:p>
        </w:tc>
        <w:tc>
          <w:tcPr>
            <w:tcW w:type="dxa" w:w="1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$3,500</w:t>
            </w:r>
          </w:p>
        </w:tc>
        <w:tc>
          <w:tcPr>
            <w:tcW w:type="dxa" w:w="19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1</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Página web corporativa</w:t>
            </w:r>
          </w:p>
        </w:tc>
        <w:tc>
          <w:tcPr>
            <w:tcW w:type="dxa" w:w="3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Next.js, diseño profesional, SEO técnico, integración CRM</w:t>
            </w:r>
          </w:p>
        </w:tc>
        <w:tc>
          <w:tcPr>
            <w:tcW w:type="dxa" w:w="1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$4,000</w:t>
            </w:r>
          </w:p>
        </w:tc>
        <w:tc>
          <w:tcPr>
            <w:tcW w:type="dxa" w:w="19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2</w:t>
            </w:r>
          </w:p>
        </w:tc>
      </w:tr>
      <w:tr>
        <w:tc>
          <w:tcPr>
            <w:tcW w:type="dxa" w:w="24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Infraestructura cloud (setup)</w:t>
            </w:r>
          </w:p>
        </w:tc>
        <w:tc>
          <w:tcPr>
            <w:tcW w:type="dxa" w:w="3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AWS, Cloudflare, bases de datos, monitoring — configuración inicial</w:t>
            </w:r>
          </w:p>
        </w:tc>
        <w:tc>
          <w:tcPr>
            <w:tcW w:type="dxa" w:w="1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$2,500</w:t>
            </w:r>
          </w:p>
        </w:tc>
        <w:tc>
          <w:tcPr>
            <w:tcW w:type="dxa" w:w="19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1</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Marca y comunicaciones</w:t>
            </w:r>
          </w:p>
        </w:tc>
        <w:tc>
          <w:tcPr>
            <w:tcW w:type="dxa" w:w="3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Manual de marca, papelería, perfil LinkedIn, material comercial</w:t>
            </w:r>
          </w:p>
        </w:tc>
        <w:tc>
          <w:tcPr>
            <w:tcW w:type="dxa" w:w="1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$1,500</w:t>
            </w:r>
          </w:p>
        </w:tc>
        <w:tc>
          <w:tcPr>
            <w:tcW w:type="dxa" w:w="19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1</w:t>
            </w:r>
          </w:p>
        </w:tc>
      </w:tr>
      <w:tr>
        <w:tc>
          <w:tcPr>
            <w:tcW w:type="dxa" w:w="24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Capital de trabajo (6 meses)</w:t>
            </w:r>
          </w:p>
        </w:tc>
        <w:tc>
          <w:tcPr>
            <w:tcW w:type="dxa" w:w="3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Reserva operativa para meses de baja facturación</w:t>
            </w:r>
          </w:p>
        </w:tc>
        <w:tc>
          <w:tcPr>
            <w:tcW w:type="dxa" w:w="1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$20,000</w:t>
            </w:r>
          </w:p>
        </w:tc>
        <w:tc>
          <w:tcPr>
            <w:tcW w:type="dxa" w:w="19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1</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Permisos ANT (si aplica)</w:t>
            </w:r>
          </w:p>
        </w:tc>
        <w:tc>
          <w:tcPr>
            <w:tcW w:type="dxa" w:w="3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Habilitación como intermediario de transporte</w:t>
            </w:r>
          </w:p>
        </w:tc>
        <w:tc>
          <w:tcPr>
            <w:tcW w:type="dxa" w:w="1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$800</w:t>
            </w:r>
          </w:p>
        </w:tc>
        <w:tc>
          <w:tcPr>
            <w:tcW w:type="dxa" w:w="19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single" w:color="1A3DB5" w:sz="6"/>
              <w:left w:val="single" w:color="1A3DB5" w:sz="6"/>
              <w:bottom w:val="single" w:color="1A3DB5" w:sz="6"/>
              <w:right w:val="single" w:color="1A3DB5" w:sz="6"/>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2"/>
                <w:szCs w:val="22"/>
              </w:rPr>
              <w:t xml:space="preserve">TOTAL CAPEX ESTIMADO (inversión inicial)</w:t>
            </w:r>
          </w:p>
        </w:tc>
        <w:tc>
          <w:tcPr>
            <w:tcW w:type="dxa" w:w="15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24"/>
                <w:szCs w:val="24"/>
              </w:rPr>
              <w:t xml:space="preserve">$45,500</w:t>
            </w:r>
          </w:p>
        </w:tc>
      </w:tr>
    </w:tbl>
    <w:p>
      <w:pPr>
        <w:spacing w:after="80" w:before="0"/>
      </w:pPr>
    </w:p>
    <w:p>
      <w:pPr>
        <w:pStyle w:val="Heading2"/>
        <w:spacing w:after="120" w:before="280"/>
      </w:pPr>
      <w:r>
        <w:rPr>
          <w:rFonts w:ascii="Arial" w:cs="Arial" w:eastAsia="Arial" w:hAnsi="Arial"/>
          <w:b/>
          <w:bCs/>
          <w:color w:val="1A3DB5"/>
          <w:sz w:val="28"/>
          <w:szCs w:val="28"/>
        </w:rPr>
        <w:t xml:space="preserve">8.2 Costos Operativos Mensuales (OPEX)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Costo</w:t>
            </w:r>
          </w:p>
        </w:tc>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Año 1 / mes</w:t>
            </w:r>
          </w:p>
        </w:tc>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Año 2 / mes</w:t>
            </w:r>
          </w:p>
        </w:tc>
        <w:tc>
          <w:tcPr>
            <w:tcW w:type="dxa" w:w="25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Naturaleza</w:t>
            </w:r>
          </w:p>
        </w:tc>
      </w:tr>
      <w:tr>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Nómina socios (diferida Mes 1-6)</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$5,000 → $5,000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$8,000</w:t>
            </w:r>
          </w:p>
        </w:tc>
        <w:tc>
          <w:tcPr>
            <w:tcW w:type="dxa" w:w="2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Semifijo</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Nómina equipo operativo (4 personas)</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$4,500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$8,000</w:t>
            </w:r>
          </w:p>
        </w:tc>
        <w:tc>
          <w:tcPr>
            <w:tcW w:type="dxa" w:w="2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Fijo</w:t>
            </w:r>
          </w:p>
        </w:tc>
      </w:tr>
      <w:tr>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Infraestructura cloud (AWS + Cloudflare)</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$880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$2,200</w:t>
            </w:r>
          </w:p>
        </w:tc>
        <w:tc>
          <w:tcPr>
            <w:tcW w:type="dxa" w:w="2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Variable</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Claude API (Anthropic) — IA</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$90 → $300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$600</w:t>
            </w:r>
          </w:p>
        </w:tc>
        <w:tc>
          <w:tcPr>
            <w:tcW w:type="dxa" w:w="2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Variable</w:t>
            </w:r>
          </w:p>
        </w:tc>
      </w:tr>
      <w:tr>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Marketing digital (LinkedIn + Google)</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$500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$1,500</w:t>
            </w:r>
          </w:p>
        </w:tc>
        <w:tc>
          <w:tcPr>
            <w:tcW w:type="dxa" w:w="2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Fijo</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Herramientas SaaS (CRM, email, comunicaciones)</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$300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$500</w:t>
            </w:r>
          </w:p>
        </w:tc>
        <w:tc>
          <w:tcPr>
            <w:tcW w:type="dxa" w:w="2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Fijo</w:t>
            </w:r>
          </w:p>
        </w:tc>
      </w:tr>
      <w:tr>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Oficina / cowork (Guayaquil)</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$400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$800</w:t>
            </w:r>
          </w:p>
        </w:tc>
        <w:tc>
          <w:tcPr>
            <w:tcW w:type="dxa" w:w="2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Fijo</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Seguros y permisos anuales</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$200</w:t>
            </w:r>
          </w:p>
        </w:tc>
        <w:tc>
          <w:tcPr>
            <w:tcW w:type="dxa" w:w="2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Fijo</w:t>
            </w:r>
          </w:p>
        </w:tc>
      </w:tr>
      <w:tr>
        <w:tc>
          <w:tcPr>
            <w:tcW w:type="dxa" w:w="3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Contabilidad y auditoría externa</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$300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$500</w:t>
            </w:r>
          </w:p>
        </w:tc>
        <w:tc>
          <w:tcPr>
            <w:tcW w:type="dxa" w:w="2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Fijo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1A3DB5" w:sz="6"/>
              <w:left w:val="single" w:color="1A3DB5" w:sz="6"/>
              <w:bottom w:val="single" w:color="1A3DB5" w:sz="6"/>
              <w:right w:val="single" w:color="1A3DB5" w:sz="6"/>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TOTAL OPEX MENSUAL</w:t>
            </w:r>
          </w:p>
        </w:tc>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22"/>
                <w:szCs w:val="22"/>
              </w:rPr>
              <w:t xml:space="preserve">~$12,120</w:t>
            </w:r>
          </w:p>
        </w:tc>
        <w:tc>
          <w:tcPr>
            <w:tcW w:type="dxa" w:w="1800"/>
            <w:tcBorders>
              <w:top w:val="single" w:color="1A3DB5" w:sz="6"/>
              <w:left w:val="single" w:color="1A3DB5" w:sz="6"/>
              <w:bottom w:val="single" w:color="1A3DB5" w:sz="6"/>
              <w:right w:val="single" w:color="1A3DB5" w:sz="6"/>
            </w:tcBorders>
            <w:shd w:fill="00B8E0" w:val="clear"/>
            <w:tcMar>
              <w:top w:type="dxa" w:w="80"/>
              <w:left w:type="dxa" w:w="120"/>
              <w:bottom w:type="dxa" w:w="80"/>
              <w:right w:type="dxa" w:w="120"/>
            </w:tcMar>
          </w:tcPr>
          <w:p>
            <w:pPr>
              <w:spacing w:after="0" w:before="0"/>
              <w:jc w:val="center"/>
            </w:pPr>
            <w:r>
              <w:rPr>
                <w:rFonts w:ascii="Arial" w:cs="Arial" w:eastAsia="Arial" w:hAnsi="Arial"/>
                <w:b/>
                <w:bCs/>
                <w:color w:val="FFFFFF"/>
                <w:sz w:val="22"/>
                <w:szCs w:val="22"/>
              </w:rPr>
              <w:t xml:space="preserve">~$22,300</w:t>
            </w:r>
          </w:p>
        </w:tc>
        <w:tc>
          <w:tcPr>
            <w:tcW w:type="dxa" w:w="2560"/>
            <w:tcBorders>
              <w:top w:val="single" w:color="1A3DB5" w:sz="6"/>
              <w:left w:val="single" w:color="1A3DB5" w:sz="6"/>
              <w:bottom w:val="single" w:color="1A3DB5" w:sz="6"/>
              <w:right w:val="single" w:color="1A3DB5" w:sz="6"/>
            </w:tcBorders>
            <w:shd w:fill="EEF2FF" w:val="clear"/>
            <w:tcMar>
              <w:top w:type="dxa" w:w="80"/>
              <w:left w:type="dxa" w:w="120"/>
              <w:bottom w:type="dxa" w:w="80"/>
              <w:right w:type="dxa" w:w="120"/>
            </w:tcMar>
          </w:tcPr>
          <w:p>
            <w:pPr>
              <w:spacing w:after="0" w:before="0"/>
            </w:pPr>
            <w:r>
              <w:rPr>
                <w:rFonts w:ascii="Arial" w:cs="Arial" w:eastAsia="Arial" w:hAnsi="Arial"/>
                <w:color w:val="1A3DB5"/>
                <w:sz w:val="18"/>
                <w:szCs w:val="18"/>
              </w:rPr>
              <w:t xml:space="preserve">Punto equilibrio Mes 8</w:t>
            </w:r>
          </w:p>
        </w:tc>
      </w:tr>
    </w:tbl>
    <w:p>
      <w:pPr>
        <w:spacing w:after="80" w:before="0"/>
      </w:pPr>
    </w:p>
    <w:p>
      <w:pPr>
        <w:pStyle w:val="Heading2"/>
        <w:spacing w:after="120" w:before="280"/>
      </w:pPr>
      <w:r>
        <w:rPr>
          <w:rFonts w:ascii="Arial" w:cs="Arial" w:eastAsia="Arial" w:hAnsi="Arial"/>
          <w:b/>
          <w:bCs/>
          <w:color w:val="1A3DB5"/>
          <w:sz w:val="28"/>
          <w:szCs w:val="28"/>
        </w:rPr>
        <w:t xml:space="preserve">8.3 Proyección de Ingresos 24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360"/>
      </w:tblGrid>
      <w:tr>
        <w:trPr>
          <w:tblHeader/>
        </w:trPr>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Período</w:t>
            </w:r>
          </w:p>
        </w:tc>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Clientes activos</w:t>
            </w:r>
          </w:p>
        </w:tc>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MRR SaaS</w:t>
            </w:r>
          </w:p>
        </w:tc>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GMV logístico</w:t>
            </w:r>
          </w:p>
        </w:tc>
        <w:tc>
          <w:tcPr>
            <w:tcW w:type="dxa" w:w="1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Revenue total</w:t>
            </w:r>
          </w:p>
        </w:tc>
        <w:tc>
          <w:tcPr>
            <w:tcW w:type="dxa" w:w="13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EBITDA</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1–3 (piloto)</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2–5</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$800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$15,000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$1,600</w:t>
            </w:r>
          </w:p>
        </w:tc>
        <w:tc>
          <w:tcPr>
            <w:tcW w:type="dxa" w:w="1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Negativo</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4–6</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5–10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$3,500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$60,000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$7,500</w:t>
            </w:r>
          </w:p>
        </w:tc>
        <w:tc>
          <w:tcPr>
            <w:tcW w:type="dxa" w:w="1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Negativo</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7–9</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10–15</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$8,000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$150,000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$16,500</w:t>
            </w:r>
          </w:p>
        </w:tc>
        <w:tc>
          <w:tcPr>
            <w:tcW w:type="dxa" w:w="1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Breakeven</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Mes 10–12</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15–25</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$14,000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$280,000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$28,000</w:t>
            </w:r>
          </w:p>
        </w:tc>
        <w:tc>
          <w:tcPr>
            <w:tcW w:type="dxa" w:w="1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Año 1 Total</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25 prom.</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$1.2M GMV</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~$90,000</w:t>
            </w:r>
          </w:p>
        </w:tc>
        <w:tc>
          <w:tcPr>
            <w:tcW w:type="dxa" w:w="1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Positivo</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Año 2 Q1</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30–40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$22,000</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$400K/mes</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$42,000/mes</w:t>
            </w:r>
          </w:p>
        </w:tc>
        <w:tc>
          <w:tcPr>
            <w:tcW w:type="dxa" w:w="1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+22%</w:t>
            </w:r>
          </w:p>
        </w:tc>
      </w:tr>
      <w:tr>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Año 2 Q4</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80–100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$52,000</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$900K/mes</w:t>
            </w:r>
          </w:p>
        </w:tc>
        <w:tc>
          <w:tcPr>
            <w:tcW w:type="dxa" w:w="1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$95,000/mes</w:t>
            </w:r>
          </w:p>
        </w:tc>
        <w:tc>
          <w:tcPr>
            <w:tcW w:type="dxa" w:w="1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+35%</w:t>
            </w:r>
          </w:p>
        </w:tc>
      </w:tr>
      <w:tr>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Año 2 Total</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60 prom.</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$7.5M GMV</w:t>
            </w:r>
          </w:p>
        </w:tc>
        <w:tc>
          <w:tcPr>
            <w:tcW w:type="dxa" w:w="1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~$780,000</w:t>
            </w:r>
          </w:p>
        </w:tc>
        <w:tc>
          <w:tcPr>
            <w:tcW w:type="dxa" w:w="1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+28%</w:t>
            </w:r>
          </w:p>
        </w:tc>
      </w:tr>
    </w:tbl>
    <w:p>
      <w:pPr>
        <w:spacing w:after="80" w:before="0"/>
      </w:pPr>
    </w:p>
    <w:p>
      <w:pPr>
        <w:pStyle w:val="Heading2"/>
        <w:spacing w:after="120" w:before="280"/>
      </w:pPr>
      <w:r>
        <w:rPr>
          <w:rFonts w:ascii="Arial" w:cs="Arial" w:eastAsia="Arial" w:hAnsi="Arial"/>
          <w:b/>
          <w:bCs/>
          <w:color w:val="1A3DB5"/>
          <w:sz w:val="28"/>
          <w:szCs w:val="28"/>
        </w:rPr>
        <w:t xml:space="preserve">8.4 Punto de Equilibrio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OPEX mensual fijo</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$12,120/mes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Margen bruto promedio</w:t>
            </w:r>
          </w:p>
        </w:tc>
        <w:tc>
          <w:tcPr>
            <w:tcW w:type="dxa" w:w="6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68% (SaaS 80% + Comisiones 60% + Servicios 55%)</w:t>
            </w:r>
          </w:p>
        </w:tc>
      </w:tr>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Facturación necesaria para break-even</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$17,824/mes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Clientes necesarios (ticket promedio $600/mes)</w:t>
            </w:r>
          </w:p>
        </w:tc>
        <w:tc>
          <w:tcPr>
            <w:tcW w:type="dxa" w:w="6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30 clientes activos</w:t>
            </w:r>
          </w:p>
        </w:tc>
      </w:tr>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Arial" w:cs="Arial" w:eastAsia="Arial" w:hAnsi="Arial"/>
                <w:b/>
                <w:bCs/>
                <w:color w:val="0D1F6E"/>
                <w:sz w:val="20"/>
                <w:szCs w:val="20"/>
              </w:rPr>
              <w:t xml:space="preserve">Mes estimado de equilibrio</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Mes 8 con ejecución agresiva de ventas</w:t>
            </w:r>
          </w:p>
        </w:tc>
      </w:tr>
    </w:tbl>
    <w:p>
      <w:pPr>
        <w:spacing w:after="80" w:before="0"/>
      </w:pPr>
    </w:p>
    <w:p>
      <w:pPr>
        <w:pStyle w:val="Heading2"/>
        <w:spacing w:after="120" w:before="280"/>
      </w:pPr>
      <w:r>
        <w:rPr>
          <w:rFonts w:ascii="Arial" w:cs="Arial" w:eastAsia="Arial" w:hAnsi="Arial"/>
          <w:b/>
          <w:bCs/>
          <w:color w:val="1A3DB5"/>
          <w:sz w:val="28"/>
          <w:szCs w:val="28"/>
        </w:rPr>
        <w:t xml:space="preserve">8.5 Valorización de la Compañía — Método DCF</w:t>
      </w:r>
    </w:p>
    <w:p>
      <w:pPr>
        <w:spacing w:after="80" w:before="60"/>
      </w:pPr>
      <w:r>
        <w:rPr>
          <w:rFonts w:ascii="Arial" w:cs="Arial" w:eastAsia="Arial" w:hAnsi="Arial"/>
          <w:i/>
          <w:iCs/>
          <w:color w:val="1E293B"/>
          <w:sz w:val="22"/>
          <w:szCs w:val="22"/>
        </w:rPr>
        <w:t xml:space="preserve">Aplicamos el mismo modelo que ofrecemos a nuestros clientes: valorización por Flujo de Caja Descontado (DCF).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Variable</w:t>
            </w:r>
          </w:p>
        </w:tc>
        <w:tc>
          <w:tcPr>
            <w:tcW w:type="dxa" w:w="2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Año 1</w:t>
            </w:r>
          </w:p>
        </w:tc>
        <w:tc>
          <w:tcPr>
            <w:tcW w:type="dxa" w:w="2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Año 2</w:t>
            </w:r>
          </w:p>
        </w:tc>
        <w:tc>
          <w:tcPr>
            <w:tcW w:type="dxa" w:w="28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Año 3</w:t>
            </w:r>
          </w:p>
        </w:tc>
      </w:tr>
      <w:tr>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Revenue total</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$90,000</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$780,000</w:t>
            </w:r>
          </w:p>
        </w:tc>
        <w:tc>
          <w:tcPr>
            <w:tcW w:type="dxa" w:w="28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$2,800,000</w:t>
            </w:r>
          </w:p>
        </w:tc>
      </w:tr>
      <w:tr>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EBITDA</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-$20,000</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$218,000</w:t>
            </w:r>
          </w:p>
        </w:tc>
        <w:tc>
          <w:tcPr>
            <w:tcW w:type="dxa" w:w="28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$980,000</w:t>
            </w:r>
          </w:p>
        </w:tc>
      </w:tr>
      <w:tr>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Múltiplo SaaS (x ARR)</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5x</w:t>
            </w:r>
          </w:p>
        </w:tc>
        <w:tc>
          <w:tcPr>
            <w:tcW w:type="dxa" w:w="28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8x</w:t>
            </w:r>
          </w:p>
        </w:tc>
      </w:tr>
      <w:tr>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Valorización estimada (múltiplo ARR)</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$0.45M</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$3.9M</w:t>
            </w:r>
          </w:p>
        </w:tc>
        <w:tc>
          <w:tcPr>
            <w:tcW w:type="dxa" w:w="28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$22.4M</w:t>
            </w:r>
          </w:p>
        </w:tc>
      </w:tr>
      <w:tr>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Valorización por DCF (WACC 15%)</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$0.3M</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$2.8M</w:t>
            </w:r>
          </w:p>
        </w:tc>
        <w:tc>
          <w:tcPr>
            <w:tcW w:type="dxa" w:w="28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$16.5M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09. CRONOGRAMA DE TRABAJO — DIAGRAMA DE GANTT</w:t>
            </w:r>
          </w:p>
          <w:p>
            <w:pPr>
              <w:spacing w:after="0" w:before="40"/>
            </w:pPr>
            <w:r>
              <w:rPr>
                <w:rFonts w:ascii="Arial" w:cs="Arial" w:eastAsia="Arial" w:hAnsi="Arial"/>
                <w:i/>
                <w:iCs/>
                <w:color w:val="00B8E0"/>
                <w:sz w:val="19"/>
                <w:szCs w:val="19"/>
              </w:rPr>
              <w:t xml:space="preserve">36 meses de ejecución por fases</w:t>
            </w:r>
          </w:p>
        </w:tc>
      </w:tr>
    </w:tbl>
    <w:p>
      <w:pPr>
        <w:spacing w:after="80" w:before="0"/>
      </w:pPr>
    </w:p>
    <w:p>
      <w:pPr>
        <w:pStyle w:val="Heading2"/>
        <w:spacing w:after="120" w:before="280"/>
      </w:pPr>
      <w:r>
        <w:rPr>
          <w:rFonts w:ascii="Arial" w:cs="Arial" w:eastAsia="Arial" w:hAnsi="Arial"/>
          <w:b/>
          <w:bCs/>
          <w:color w:val="1A3DB5"/>
          <w:sz w:val="28"/>
          <w:szCs w:val="28"/>
        </w:rPr>
        <w:t xml:space="preserve">Fases de Implementación</w:t>
      </w:r>
    </w:p>
    <w:p>
      <w:pPr>
        <w:spacing w:after="80" w:before="60"/>
      </w:pPr>
      <w:r>
        <w:rPr>
          <w:rFonts w:ascii="Arial" w:cs="Arial" w:eastAsia="Arial" w:hAnsi="Arial"/>
          <w:color w:val="1E293B"/>
          <w:sz w:val="22"/>
          <w:szCs w:val="22"/>
        </w:rPr>
        <w:t xml:space="preserve">■ = Activo durante el período   |   Resp: CM = Ing. Cristhan Matamoros   |   SS = CPA. Steven Sánchez</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900"/>
        <w:gridCol w:w="900"/>
        <w:gridCol w:w="900"/>
        <w:gridCol w:w="260"/>
      </w:tblGrid>
      <w:tr>
        <w:trPr>
          <w:tblHeader/>
        </w:trPr>
        <w:tc>
          <w:tcPr>
            <w:tcW w:type="dxa" w:w="2800"/>
            <w:tcBorders>
              <w:top w:val="single" w:color="1A3DB5" w:sz="6"/>
              <w:left w:val="single" w:color="1A3DB5" w:sz="6"/>
              <w:bottom w:val="single" w:color="1A3DB5" w:sz="6"/>
              <w:right w:val="single" w:color="1A3DB5" w:sz="6"/>
            </w:tcBorders>
            <w:shd w:fill="0D1F6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Actividad / Entregable</w:t>
            </w:r>
          </w:p>
        </w:tc>
        <w:tc>
          <w:tcPr>
            <w:tcW w:type="dxa" w:w="1200"/>
            <w:tcBorders>
              <w:top w:val="single" w:color="1A3DB5" w:sz="6"/>
              <w:left w:val="single" w:color="1A3DB5" w:sz="6"/>
              <w:bottom w:val="single" w:color="1A3DB5" w:sz="6"/>
              <w:right w:val="single" w:color="1A3DB5" w:sz="6"/>
            </w:tcBorders>
            <w:shd w:fill="0D1F6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Mes 1-2</w:t>
            </w:r>
          </w:p>
        </w:tc>
        <w:tc>
          <w:tcPr>
            <w:tcW w:type="dxa" w:w="1200"/>
            <w:tcBorders>
              <w:top w:val="single" w:color="1A3DB5" w:sz="6"/>
              <w:left w:val="single" w:color="1A3DB5" w:sz="6"/>
              <w:bottom w:val="single" w:color="1A3DB5" w:sz="6"/>
              <w:right w:val="single" w:color="1A3DB5" w:sz="6"/>
            </w:tcBorders>
            <w:shd w:fill="0D1F6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Mes 3-4</w:t>
            </w:r>
          </w:p>
        </w:tc>
        <w:tc>
          <w:tcPr>
            <w:tcW w:type="dxa" w:w="1200"/>
            <w:tcBorders>
              <w:top w:val="single" w:color="1A3DB5" w:sz="6"/>
              <w:left w:val="single" w:color="1A3DB5" w:sz="6"/>
              <w:bottom w:val="single" w:color="1A3DB5" w:sz="6"/>
              <w:right w:val="single" w:color="1A3DB5" w:sz="6"/>
            </w:tcBorders>
            <w:shd w:fill="0D1F6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Mes 5-6</w:t>
            </w:r>
          </w:p>
        </w:tc>
        <w:tc>
          <w:tcPr>
            <w:tcW w:type="dxa" w:w="900"/>
            <w:tcBorders>
              <w:top w:val="single" w:color="1A3DB5" w:sz="6"/>
              <w:left w:val="single" w:color="1A3DB5" w:sz="6"/>
              <w:bottom w:val="single" w:color="1A3DB5" w:sz="6"/>
              <w:right w:val="single" w:color="1A3DB5" w:sz="6"/>
            </w:tcBorders>
            <w:shd w:fill="0D1F6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Mes 7-9</w:t>
            </w:r>
          </w:p>
        </w:tc>
        <w:tc>
          <w:tcPr>
            <w:tcW w:type="dxa" w:w="900"/>
            <w:tcBorders>
              <w:top w:val="single" w:color="1A3DB5" w:sz="6"/>
              <w:left w:val="single" w:color="1A3DB5" w:sz="6"/>
              <w:bottom w:val="single" w:color="1A3DB5" w:sz="6"/>
              <w:right w:val="single" w:color="1A3DB5" w:sz="6"/>
            </w:tcBorders>
            <w:shd w:fill="0D1F6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Mes 10-12</w:t>
            </w:r>
          </w:p>
        </w:tc>
        <w:tc>
          <w:tcPr>
            <w:tcW w:type="dxa" w:w="900"/>
            <w:tcBorders>
              <w:top w:val="single" w:color="1A3DB5" w:sz="6"/>
              <w:left w:val="single" w:color="1A3DB5" w:sz="6"/>
              <w:bottom w:val="single" w:color="1A3DB5" w:sz="6"/>
              <w:right w:val="single" w:color="1A3DB5" w:sz="6"/>
            </w:tcBorders>
            <w:shd w:fill="0D1F6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Año 2</w:t>
            </w:r>
          </w:p>
        </w:tc>
        <w:tc>
          <w:tcPr>
            <w:tcW w:type="dxa" w:w="260"/>
            <w:tcBorders>
              <w:top w:val="single" w:color="1A3DB5" w:sz="6"/>
              <w:left w:val="single" w:color="1A3DB5" w:sz="6"/>
              <w:bottom w:val="single" w:color="1A3DB5" w:sz="6"/>
              <w:right w:val="single" w:color="1A3DB5" w:sz="6"/>
            </w:tcBorders>
            <w:shd w:fill="0D1F6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Resp.</w:t>
            </w:r>
          </w:p>
        </w:tc>
      </w:tr>
      <w:tr>
        <w:tc>
          <w:tcPr>
            <w:gridSpan w:val="8"/>
            <w:tcBorders>
              <w:top w:val="single" w:color="1A3DB5" w:sz="6"/>
              <w:left w:val="single" w:color="1A3DB5" w:sz="6"/>
              <w:bottom w:val="single" w:color="1A3DB5" w:sz="6"/>
              <w:right w:val="single" w:color="1A3DB5" w:sz="6"/>
            </w:tcBorders>
            <w:shd w:fill="1A3DB5"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FASE 1: FUNDACIÓN Y MVP (Meses 1–6)</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Constitución Cía. Ltda. + RUC + permisos</w:t>
            </w:r>
          </w:p>
        </w:tc>
        <w:tc>
          <w:tcPr>
            <w:tcW w:type="dxa" w:w="12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Diseño de marca y comunicaciones</w:t>
            </w:r>
          </w:p>
        </w:tc>
        <w:tc>
          <w:tcPr>
            <w:tcW w:type="dxa" w:w="12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Desarrollo MVP LOGIFI™ (4 módulos básicos)</w:t>
            </w:r>
          </w:p>
        </w:tc>
        <w:tc>
          <w:tcPr>
            <w:tcW w:type="dxa" w:w="12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12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Página web corporativa y landing page</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Configuración infraestructura AWS/Cloudflare</w:t>
            </w:r>
          </w:p>
        </w:tc>
        <w:tc>
          <w:tcPr>
            <w:tcW w:type="dxa" w:w="12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Contratación equipo inicial (2 personas)</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Onboarding primeros 3 clientes piloto</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12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Validación y ajustes del producto</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gridSpan w:val="8"/>
            <w:tcBorders>
              <w:top w:val="single" w:color="1A3DB5" w:sz="6"/>
              <w:left w:val="single" w:color="1A3DB5" w:sz="6"/>
              <w:bottom w:val="single" w:color="1A3DB5" w:sz="6"/>
              <w:right w:val="single" w:color="1A3DB5" w:sz="6"/>
            </w:tcBorders>
            <w:shd w:fill="1A3DB5"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FASE 2: CRECIMIENTO (Meses 7–12)</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Lanzamiento comercial oficial LOGIFI™</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Integración GPS Geotab/Mapon en producción</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Integración WhatsApp Business API</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Módulo financiero completo (FCF + DCF)</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App móvil conductor (React Native)</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Integ. SRI facturación electrónica</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Campaña marketing LinkedIn + Google Ads</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Alcanzar 25 clientes activos</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Certificación ISO 9001 (proceso)</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gridSpan w:val="8"/>
            <w:tcBorders>
              <w:top w:val="single" w:color="1A3DB5" w:sz="6"/>
              <w:left w:val="single" w:color="1A3DB5" w:sz="6"/>
              <w:bottom w:val="single" w:color="1A3DB5" w:sz="6"/>
              <w:right w:val="single" w:color="1A3DB5" w:sz="6"/>
            </w:tcBorders>
            <w:shd w:fill="1A3DB5"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FASE 3–4: ESCALA (Año 2+)</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Módulo valorización empresa completo (DCF)</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API pública documentada (OpenAPI 3.1)</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Expansión Quito y Cuenca</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Marketplace B2B de productos (Capa 3)</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Alianzas con instituciones financieras</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Arial" w:cs="Arial" w:eastAsia="Arial" w:hAnsi="Arial"/>
                <w:color w:val="1E293B"/>
                <w:sz w:val="18"/>
                <w:szCs w:val="18"/>
              </w:rPr>
              <w:t xml:space="preserve">Primera ronda inversión (angel/VC)</w:t>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12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FFFFFF"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
            </w:r>
          </w:p>
        </w:tc>
        <w:tc>
          <w:tcPr>
            <w:tcW w:type="dxa" w:w="90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c>
          <w:tcPr>
            <w:tcW w:type="dxa" w:w="260"/>
            <w:tcBorders>
              <w:top w:val="single" w:color="E2E8F0" w:sz="4"/>
              <w:left w:val="single" w:color="E2E8F0" w:sz="4"/>
              <w:bottom w:val="single" w:color="E2E8F0" w:sz="4"/>
              <w:right w:val="single" w:color="E2E8F0" w:sz="4"/>
            </w:tcBorders>
            <w:shd w:fill="E0F7FD" w:val="clear"/>
            <w:tcMar>
              <w:top w:type="dxa" w:w="60"/>
              <w:left w:type="dxa" w:w="60"/>
              <w:bottom w:type="dxa" w:w="60"/>
              <w:right w:type="dxa" w:w="60"/>
            </w:tcMar>
            <w:vAlign w:val="center"/>
          </w:tcPr>
          <w:p>
            <w:pPr>
              <w:spacing w:after="0" w:before="0"/>
              <w:jc w:val="center"/>
            </w:pPr>
            <w:r>
              <w:rPr>
                <w:rFonts w:ascii="Arial" w:cs="Arial" w:eastAsia="Arial" w:hAnsi="Arial"/>
                <w:b/>
                <w:bCs/>
                <w:color w:val="00B8E0"/>
                <w:sz w:val="20"/>
                <w:szCs w:val="20"/>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10. POLÍTICAS INTERNAS</w:t>
            </w:r>
          </w:p>
          <w:p>
            <w:pPr>
              <w:spacing w:after="0" w:before="40"/>
            </w:pPr>
            <w:r>
              <w:rPr>
                <w:rFonts w:ascii="Arial" w:cs="Arial" w:eastAsia="Arial" w:hAnsi="Arial"/>
                <w:i/>
                <w:iCs/>
                <w:color w:val="00B8E0"/>
                <w:sz w:val="19"/>
                <w:szCs w:val="19"/>
              </w:rPr>
              <w:t xml:space="preserve">Gobierno Corporativo · RRHH · Datos · Calidad · Ética</w:t>
            </w:r>
          </w:p>
        </w:tc>
      </w:tr>
    </w:tbl>
    <w:p>
      <w:pPr>
        <w:spacing w:after="80" w:before="0"/>
      </w:pPr>
    </w:p>
    <w:p>
      <w:pPr>
        <w:pStyle w:val="Heading2"/>
        <w:spacing w:after="120" w:before="280"/>
      </w:pPr>
      <w:r>
        <w:rPr>
          <w:rFonts w:ascii="Arial" w:cs="Arial" w:eastAsia="Arial" w:hAnsi="Arial"/>
          <w:b/>
          <w:bCs/>
          <w:color w:val="1A3DB5"/>
          <w:sz w:val="28"/>
          <w:szCs w:val="28"/>
        </w:rPr>
        <w:t xml:space="preserve">10.1 Política de Gobierno Corporativo</w:t>
      </w:r>
    </w:p>
    <w:p>
      <w:pPr>
        <w:pStyle w:val="ListParagraph"/>
        <w:numPr>
          <w:ilvl w:val="0"/>
          <w:numId w:val="3"/>
        </w:numPr>
        <w:spacing w:after="60" w:before="40"/>
      </w:pPr>
      <w:r>
        <w:rPr>
          <w:rFonts w:ascii="Arial" w:cs="Arial" w:eastAsia="Arial" w:hAnsi="Arial"/>
          <w:color w:val="1E293B"/>
          <w:sz w:val="21"/>
          <w:szCs w:val="21"/>
        </w:rPr>
        <w:t xml:space="preserve">Las decisiones estratégicas (nuevos mercados, rondas de inversión, cambios de modelo) requieren consenso de ambos socios.</w:t>
      </w:r>
    </w:p>
    <w:p>
      <w:pPr>
        <w:pStyle w:val="ListParagraph"/>
        <w:numPr>
          <w:ilvl w:val="0"/>
          <w:numId w:val="3"/>
        </w:numPr>
        <w:spacing w:after="60" w:before="40"/>
      </w:pPr>
      <w:r>
        <w:rPr>
          <w:rFonts w:ascii="Arial" w:cs="Arial" w:eastAsia="Arial" w:hAnsi="Arial"/>
          <w:color w:val="1E293B"/>
          <w:sz w:val="21"/>
          <w:szCs w:val="21"/>
        </w:rPr>
        <w:t xml:space="preserve">Las decisiones operativas dentro del portafolio de cada socio se toman autónomamente, con reporte mensual al directorio.</w:t>
      </w:r>
    </w:p>
    <w:p>
      <w:pPr>
        <w:pStyle w:val="ListParagraph"/>
        <w:numPr>
          <w:ilvl w:val="0"/>
          <w:numId w:val="3"/>
        </w:numPr>
        <w:spacing w:after="60" w:before="40"/>
      </w:pPr>
      <w:r>
        <w:rPr>
          <w:rFonts w:ascii="Arial" w:cs="Arial" w:eastAsia="Arial" w:hAnsi="Arial"/>
          <w:color w:val="1E293B"/>
          <w:sz w:val="21"/>
          <w:szCs w:val="21"/>
        </w:rPr>
        <w:t xml:space="preserve">Reunión de directorio: mensual (primer lunes de cada mes). Acta documentada en plataforma interna.</w:t>
      </w:r>
    </w:p>
    <w:p>
      <w:pPr>
        <w:pStyle w:val="ListParagraph"/>
        <w:numPr>
          <w:ilvl w:val="0"/>
          <w:numId w:val="3"/>
        </w:numPr>
        <w:spacing w:after="60" w:before="40"/>
      </w:pPr>
      <w:r>
        <w:rPr>
          <w:rFonts w:ascii="Arial" w:cs="Arial" w:eastAsia="Arial" w:hAnsi="Arial"/>
          <w:color w:val="1E293B"/>
          <w:sz w:val="21"/>
          <w:szCs w:val="21"/>
        </w:rPr>
        <w:t xml:space="preserve">Distribución de utilidades: trimestral, a partir del Mes 7 y siempre que el FCF operativo sea positivo por 2 meses consecutivos.</w:t>
      </w:r>
    </w:p>
    <w:p>
      <w:pPr>
        <w:pStyle w:val="ListParagraph"/>
        <w:numPr>
          <w:ilvl w:val="0"/>
          <w:numId w:val="3"/>
        </w:numPr>
        <w:spacing w:after="60" w:before="40"/>
      </w:pPr>
      <w:r>
        <w:rPr>
          <w:rFonts w:ascii="Arial" w:cs="Arial" w:eastAsia="Arial" w:hAnsi="Arial"/>
          <w:color w:val="1E293B"/>
          <w:sz w:val="21"/>
          <w:szCs w:val="21"/>
        </w:rPr>
        <w:t xml:space="preserve">Conflictos entre socios: resolución mediante mediación privada antes de arbitraje legal. Cláusula drag-along y tag-along para futuros inversores.</w:t>
      </w:r>
    </w:p>
    <w:p>
      <w:pPr>
        <w:spacing w:after="80" w:before="0"/>
      </w:pPr>
    </w:p>
    <w:p>
      <w:pPr>
        <w:pStyle w:val="Heading2"/>
        <w:spacing w:after="120" w:before="280"/>
      </w:pPr>
      <w:r>
        <w:rPr>
          <w:rFonts w:ascii="Arial" w:cs="Arial" w:eastAsia="Arial" w:hAnsi="Arial"/>
          <w:b/>
          <w:bCs/>
          <w:color w:val="1A3DB5"/>
          <w:sz w:val="28"/>
          <w:szCs w:val="28"/>
        </w:rPr>
        <w:t xml:space="preserve">10.2 Política de Recursos Humanos</w:t>
      </w:r>
    </w:p>
    <w:p>
      <w:pPr>
        <w:pStyle w:val="ListParagraph"/>
        <w:numPr>
          <w:ilvl w:val="0"/>
          <w:numId w:val="3"/>
        </w:numPr>
        <w:spacing w:after="60" w:before="40"/>
      </w:pPr>
      <w:r>
        <w:rPr>
          <w:rFonts w:ascii="Arial" w:cs="Arial" w:eastAsia="Arial" w:hAnsi="Arial"/>
          <w:color w:val="1E293B"/>
          <w:sz w:val="21"/>
          <w:szCs w:val="21"/>
        </w:rPr>
        <w:t xml:space="preserve">Contratos de plazo fijo iniciales (1 año renovable). Formalización IESS desde el primer día de trabajo.</w:t>
      </w:r>
    </w:p>
    <w:p>
      <w:pPr>
        <w:pStyle w:val="ListParagraph"/>
        <w:numPr>
          <w:ilvl w:val="0"/>
          <w:numId w:val="3"/>
        </w:numPr>
        <w:spacing w:after="60" w:before="40"/>
      </w:pPr>
      <w:r>
        <w:rPr>
          <w:rFonts w:ascii="Arial" w:cs="Arial" w:eastAsia="Arial" w:hAnsi="Arial"/>
          <w:color w:val="1E293B"/>
          <w:sz w:val="21"/>
          <w:szCs w:val="21"/>
        </w:rPr>
        <w:t xml:space="preserve">Evaluación de desempeño trimestral con 360 grados. KPIs individuales vinculados a bonificaciones.</w:t>
      </w:r>
    </w:p>
    <w:p>
      <w:pPr>
        <w:pStyle w:val="ListParagraph"/>
        <w:numPr>
          <w:ilvl w:val="0"/>
          <w:numId w:val="3"/>
        </w:numPr>
        <w:spacing w:after="60" w:before="40"/>
      </w:pPr>
      <w:r>
        <w:rPr>
          <w:rFonts w:ascii="Arial" w:cs="Arial" w:eastAsia="Arial" w:hAnsi="Arial"/>
          <w:color w:val="1E293B"/>
          <w:sz w:val="21"/>
          <w:szCs w:val="21"/>
        </w:rPr>
        <w:t xml:space="preserve">Política de trabajo remoto: roles técnicos 3 días remoto/2 presencial. Roles comerciales y operativos full presencial.</w:t>
      </w:r>
    </w:p>
    <w:p>
      <w:pPr>
        <w:pStyle w:val="ListParagraph"/>
        <w:numPr>
          <w:ilvl w:val="0"/>
          <w:numId w:val="3"/>
        </w:numPr>
        <w:spacing w:after="60" w:before="40"/>
      </w:pPr>
      <w:r>
        <w:rPr>
          <w:rFonts w:ascii="Arial" w:cs="Arial" w:eastAsia="Arial" w:hAnsi="Arial"/>
          <w:color w:val="1E293B"/>
          <w:sz w:val="21"/>
          <w:szCs w:val="21"/>
        </w:rPr>
        <w:t xml:space="preserve">Confidencialidad: todo el personal firma NDA antes del inicio. Propiedad intelectual de LOGIFI™ 100% de KallpaPro.</w:t>
      </w:r>
    </w:p>
    <w:p>
      <w:pPr>
        <w:pStyle w:val="ListParagraph"/>
        <w:numPr>
          <w:ilvl w:val="0"/>
          <w:numId w:val="3"/>
        </w:numPr>
        <w:spacing w:after="60" w:before="40"/>
      </w:pPr>
      <w:r>
        <w:rPr>
          <w:rFonts w:ascii="Arial" w:cs="Arial" w:eastAsia="Arial" w:hAnsi="Arial"/>
          <w:color w:val="1E293B"/>
          <w:sz w:val="21"/>
          <w:szCs w:val="21"/>
        </w:rPr>
        <w:t xml:space="preserve">Salario emocional: capacitación continua, certificaciones cubiertas hasta $500/año por empleado, flexibilidad horaria.</w:t>
      </w:r>
    </w:p>
    <w:p>
      <w:pPr>
        <w:spacing w:after="80" w:before="0"/>
      </w:pPr>
    </w:p>
    <w:p>
      <w:pPr>
        <w:pStyle w:val="Heading2"/>
        <w:spacing w:after="120" w:before="280"/>
      </w:pPr>
      <w:r>
        <w:rPr>
          <w:rFonts w:ascii="Arial" w:cs="Arial" w:eastAsia="Arial" w:hAnsi="Arial"/>
          <w:b/>
          <w:bCs/>
          <w:color w:val="1A3DB5"/>
          <w:sz w:val="28"/>
          <w:szCs w:val="28"/>
        </w:rPr>
        <w:t xml:space="preserve">10.3 Política de Protección de Datos (LOPDP Ecuador)</w:t>
      </w:r>
    </w:p>
    <w:p>
      <w:pPr>
        <w:pStyle w:val="ListParagraph"/>
        <w:numPr>
          <w:ilvl w:val="0"/>
          <w:numId w:val="3"/>
        </w:numPr>
        <w:spacing w:after="60" w:before="40"/>
      </w:pPr>
      <w:r>
        <w:rPr>
          <w:rFonts w:ascii="Arial" w:cs="Arial" w:eastAsia="Arial" w:hAnsi="Arial"/>
          <w:color w:val="1E293B"/>
          <w:sz w:val="21"/>
          <w:szCs w:val="21"/>
        </w:rPr>
        <w:t xml:space="preserve">Consentimiento explícito: todo cliente firma política de privacidad digital antes del onboarding. Derecho al olvido garantizado en 30 días.</w:t>
      </w:r>
    </w:p>
    <w:p>
      <w:pPr>
        <w:pStyle w:val="ListParagraph"/>
        <w:numPr>
          <w:ilvl w:val="0"/>
          <w:numId w:val="3"/>
        </w:numPr>
        <w:spacing w:after="60" w:before="40"/>
      </w:pPr>
      <w:r>
        <w:rPr>
          <w:rFonts w:ascii="Arial" w:cs="Arial" w:eastAsia="Arial" w:hAnsi="Arial"/>
          <w:color w:val="1E293B"/>
          <w:sz w:val="21"/>
          <w:szCs w:val="21"/>
        </w:rPr>
        <w:t xml:space="preserve">Los datos operativos del cliente son propiedad del cliente. KallpaPro solo puede usar datos anonimizados para benchmarks de mercado.</w:t>
      </w:r>
    </w:p>
    <w:p>
      <w:pPr>
        <w:pStyle w:val="ListParagraph"/>
        <w:numPr>
          <w:ilvl w:val="0"/>
          <w:numId w:val="3"/>
        </w:numPr>
        <w:spacing w:after="60" w:before="40"/>
      </w:pPr>
      <w:r>
        <w:rPr>
          <w:rFonts w:ascii="Arial" w:cs="Arial" w:eastAsia="Arial" w:hAnsi="Arial"/>
          <w:color w:val="1E293B"/>
          <w:sz w:val="21"/>
          <w:szCs w:val="21"/>
        </w:rPr>
        <w:t xml:space="preserve">Datos en reposo: cifrado AES-256-GCM. Datos en tránsito: TLS 1.3 obligatorio. Claves en AWS KMS.</w:t>
      </w:r>
    </w:p>
    <w:p>
      <w:pPr>
        <w:pStyle w:val="ListParagraph"/>
        <w:numPr>
          <w:ilvl w:val="0"/>
          <w:numId w:val="3"/>
        </w:numPr>
        <w:spacing w:after="60" w:before="40"/>
      </w:pPr>
      <w:r>
        <w:rPr>
          <w:rFonts w:ascii="Arial" w:cs="Arial" w:eastAsia="Arial" w:hAnsi="Arial"/>
          <w:color w:val="1E293B"/>
          <w:sz w:val="21"/>
          <w:szCs w:val="21"/>
        </w:rPr>
        <w:t xml:space="preserve">Retención de datos: operativos 5 años (obligatorio fiscal), personales 3 años post-contrato, registros de auditoría 7 años.</w:t>
      </w:r>
    </w:p>
    <w:p>
      <w:pPr>
        <w:pStyle w:val="ListParagraph"/>
        <w:numPr>
          <w:ilvl w:val="0"/>
          <w:numId w:val="3"/>
        </w:numPr>
        <w:spacing w:after="60" w:before="40"/>
      </w:pPr>
      <w:r>
        <w:rPr>
          <w:rFonts w:ascii="Arial" w:cs="Arial" w:eastAsia="Arial" w:hAnsi="Arial"/>
          <w:color w:val="1E293B"/>
          <w:sz w:val="21"/>
          <w:szCs w:val="21"/>
        </w:rPr>
        <w:t xml:space="preserve">Notificación de brechas: en menos de 72 horas a los clientes afectados (cumplimiento LOPDP Art. 43).</w:t>
      </w:r>
    </w:p>
    <w:p>
      <w:pPr>
        <w:spacing w:after="80" w:before="0"/>
      </w:pPr>
    </w:p>
    <w:p>
      <w:pPr>
        <w:pStyle w:val="Heading2"/>
        <w:spacing w:after="120" w:before="280"/>
      </w:pPr>
      <w:r>
        <w:rPr>
          <w:rFonts w:ascii="Arial" w:cs="Arial" w:eastAsia="Arial" w:hAnsi="Arial"/>
          <w:b/>
          <w:bCs/>
          <w:color w:val="1A3DB5"/>
          <w:sz w:val="28"/>
          <w:szCs w:val="28"/>
        </w:rPr>
        <w:t xml:space="preserve">10.4 Política de Calidad del Servicio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Métrica</w:t>
            </w:r>
          </w:p>
        </w:tc>
        <w:tc>
          <w:tcPr>
            <w:tcW w:type="dxa" w:w="3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Compromiso</w:t>
            </w:r>
          </w:p>
        </w:tc>
        <w:tc>
          <w:tcPr>
            <w:tcW w:type="dxa" w:w="38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Penalidad por incumplimiento</w:t>
            </w:r>
          </w:p>
        </w:tc>
      </w:tr>
      <w:tr>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Uptime de la plataforma</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99.5% mensual medido</w:t>
            </w:r>
          </w:p>
        </w:tc>
        <w:tc>
          <w:tcPr>
            <w:tcW w:type="dxa" w:w="38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Crédito de 1 día de suscripción por cada hora caída</w:t>
            </w:r>
          </w:p>
        </w:tc>
      </w:tr>
      <w:tr>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OTIF en pedidos coordinados</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≥94% del volumen mensual</w:t>
            </w:r>
          </w:p>
        </w:tc>
        <w:tc>
          <w:tcPr>
            <w:tcW w:type="dxa" w:w="38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Descuento del 5% en el fee de ese mes si cae bajo 90%</w:t>
            </w:r>
          </w:p>
        </w:tc>
      </w:tr>
      <w:tr>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Tiempo de respuesta soporte Pro</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Respuesta en &lt;4 horas hábiles</w:t>
            </w:r>
          </w:p>
        </w:tc>
        <w:tc>
          <w:tcPr>
            <w:tcW w:type="dxa" w:w="38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 supera 8 horas: crédito de 1 semana de suscripción</w:t>
            </w:r>
          </w:p>
        </w:tc>
      </w:tr>
      <w:tr>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Tiempo de onboarding</w:t>
            </w:r>
          </w:p>
        </w:tc>
        <w:tc>
          <w:tcPr>
            <w:tcW w:type="dxa" w:w="3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Plataforma configurada en &lt;3 días hábiles</w:t>
            </w:r>
          </w:p>
        </w:tc>
        <w:tc>
          <w:tcPr>
            <w:tcW w:type="dxa" w:w="38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 supera 5 días: primer mes gratis</w:t>
            </w:r>
          </w:p>
        </w:tc>
      </w:tr>
      <w:tr>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Entrega de reporte POV mensual</w:t>
            </w:r>
          </w:p>
        </w:tc>
        <w:tc>
          <w:tcPr>
            <w:tcW w:type="dxa" w:w="3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Día 5 de cada mes</w:t>
            </w:r>
          </w:p>
        </w:tc>
        <w:tc>
          <w:tcPr>
            <w:tcW w:type="dxa" w:w="38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 supera día 10: descuento del 10% en ese mes</w:t>
            </w:r>
          </w:p>
        </w:tc>
      </w:tr>
    </w:tbl>
    <w:p>
      <w:pPr>
        <w:spacing w:after="80" w:before="0"/>
      </w:pPr>
    </w:p>
    <w:p>
      <w:pPr>
        <w:pStyle w:val="Heading2"/>
        <w:spacing w:after="120" w:before="280"/>
      </w:pPr>
      <w:r>
        <w:rPr>
          <w:rFonts w:ascii="Arial" w:cs="Arial" w:eastAsia="Arial" w:hAnsi="Arial"/>
          <w:b/>
          <w:bCs/>
          <w:color w:val="1A3DB5"/>
          <w:sz w:val="28"/>
          <w:szCs w:val="28"/>
        </w:rPr>
        <w:t xml:space="preserve">10.5 Política de Ética Empresarial y Anticorrupción</w:t>
      </w:r>
    </w:p>
    <w:p>
      <w:pPr>
        <w:pStyle w:val="ListParagraph"/>
        <w:numPr>
          <w:ilvl w:val="0"/>
          <w:numId w:val="3"/>
        </w:numPr>
        <w:spacing w:after="60" w:before="40"/>
      </w:pPr>
      <w:r>
        <w:rPr>
          <w:rFonts w:ascii="Arial" w:cs="Arial" w:eastAsia="Arial" w:hAnsi="Arial"/>
          <w:color w:val="1E293B"/>
          <w:sz w:val="21"/>
          <w:szCs w:val="21"/>
        </w:rPr>
        <w:t xml:space="preserve">KallpaPro nunca recibe ni ofrece comisiones a funcionarios públicos para obtener contratos. Tolerancia cero a la corrupción.</w:t>
      </w:r>
    </w:p>
    <w:p>
      <w:pPr>
        <w:pStyle w:val="ListParagraph"/>
        <w:numPr>
          <w:ilvl w:val="0"/>
          <w:numId w:val="3"/>
        </w:numPr>
        <w:spacing w:after="60" w:before="40"/>
      </w:pPr>
      <w:r>
        <w:rPr>
          <w:rFonts w:ascii="Arial" w:cs="Arial" w:eastAsia="Arial" w:hAnsi="Arial"/>
          <w:color w:val="1E293B"/>
          <w:sz w:val="21"/>
          <w:szCs w:val="21"/>
        </w:rPr>
        <w:t xml:space="preserve">El matching de proveedores se hace por criterios objetivos (precio, OTIF, rating). Ningún proveedor puede pagar para aparecer primero.</w:t>
      </w:r>
    </w:p>
    <w:p>
      <w:pPr>
        <w:pStyle w:val="ListParagraph"/>
        <w:numPr>
          <w:ilvl w:val="0"/>
          <w:numId w:val="3"/>
        </w:numPr>
        <w:spacing w:after="60" w:before="40"/>
      </w:pPr>
      <w:r>
        <w:rPr>
          <w:rFonts w:ascii="Arial" w:cs="Arial" w:eastAsia="Arial" w:hAnsi="Arial"/>
          <w:color w:val="1E293B"/>
          <w:sz w:val="21"/>
          <w:szCs w:val="21"/>
        </w:rPr>
        <w:t xml:space="preserve">Precios transparentes: el cliente siempre ve el take rate de KallpaPro (%) antes de confirmar cualquier operación.</w:t>
      </w:r>
    </w:p>
    <w:p>
      <w:pPr>
        <w:pStyle w:val="ListParagraph"/>
        <w:numPr>
          <w:ilvl w:val="0"/>
          <w:numId w:val="3"/>
        </w:numPr>
        <w:spacing w:after="60" w:before="40"/>
      </w:pPr>
      <w:r>
        <w:rPr>
          <w:rFonts w:ascii="Arial" w:cs="Arial" w:eastAsia="Arial" w:hAnsi="Arial"/>
          <w:color w:val="1E293B"/>
          <w:sz w:val="21"/>
          <w:szCs w:val="21"/>
        </w:rPr>
        <w:t xml:space="preserve">Canal de denuncias: correo ética@kallpapro.com, revisado por el socio no involucrado en la situación reportada.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0" w:before="0"/>
            </w:pPr>
            <w:r>
              <w:rPr>
                <w:rFonts w:ascii="Arial" w:cs="Arial" w:eastAsia="Arial" w:hAnsi="Arial"/>
                <w:b/>
                <w:bCs/>
                <w:color w:val="1A3DB5"/>
                <w:sz w:val="28"/>
                <w:szCs w:val="28"/>
              </w:rPr>
              <w:t xml:space="preserve">11. FLUJO DE TRABAJO Y ARQUITECTURA DE LA COMPAÑÍA</w:t>
            </w:r>
          </w:p>
          <w:p>
            <w:pPr>
              <w:spacing w:after="0" w:before="40"/>
            </w:pPr>
            <w:r>
              <w:rPr>
                <w:rFonts w:ascii="Arial" w:cs="Arial" w:eastAsia="Arial" w:hAnsi="Arial"/>
                <w:i/>
                <w:iCs/>
                <w:color w:val="00B8E0"/>
                <w:sz w:val="19"/>
                <w:szCs w:val="19"/>
              </w:rPr>
              <w:t xml:space="preserve">Cómo opera KallpaPro día a día</w:t>
            </w:r>
          </w:p>
        </w:tc>
      </w:tr>
    </w:tbl>
    <w:p>
      <w:pPr>
        <w:spacing w:after="80" w:before="0"/>
      </w:pPr>
    </w:p>
    <w:p>
      <w:pPr>
        <w:pStyle w:val="Heading2"/>
        <w:spacing w:after="120" w:before="280"/>
      </w:pPr>
      <w:r>
        <w:rPr>
          <w:rFonts w:ascii="Arial" w:cs="Arial" w:eastAsia="Arial" w:hAnsi="Arial"/>
          <w:b/>
          <w:bCs/>
          <w:color w:val="1A3DB5"/>
          <w:sz w:val="28"/>
          <w:szCs w:val="28"/>
        </w:rPr>
        <w:t xml:space="preserve">11.1 Flujo de Trabajo Diario — Ciclo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700"/>
        <w:gridCol w:w="2460"/>
      </w:tblGrid>
      <w:tr>
        <w:trPr>
          <w:tblHeader/>
        </w:trPr>
        <w:tc>
          <w:tcPr>
            <w:tcW w:type="dxa" w:w="12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Momento</w:t>
            </w:r>
          </w:p>
        </w:tc>
        <w:tc>
          <w:tcPr>
            <w:tcW w:type="dxa" w:w="2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Quién</w:t>
            </w:r>
          </w:p>
        </w:tc>
        <w:tc>
          <w:tcPr>
            <w:tcW w:type="dxa" w:w="37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Qué hace</w:t>
            </w:r>
          </w:p>
        </w:tc>
        <w:tc>
          <w:tcPr>
            <w:tcW w:type="dxa" w:w="24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Sistema</w:t>
            </w:r>
          </w:p>
        </w:tc>
      </w:tr>
      <w:tr>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7:00–8:00</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Coord. Operaciones</w:t>
            </w:r>
          </w:p>
        </w:tc>
        <w:tc>
          <w:tcPr>
            <w:tcW w:type="dxa" w:w="37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Revisa alertas de tracking de la noche. Contacta conductores con entregas pendientes.</w:t>
            </w:r>
          </w:p>
        </w:tc>
        <w:tc>
          <w:tcPr>
            <w:tcW w:type="dxa" w:w="24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LOGIFI™ Dashboard</w:t>
            </w:r>
          </w:p>
        </w:tc>
      </w:tr>
      <w:tr>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8:00–9:00</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Coord. Compras</w:t>
            </w:r>
          </w:p>
        </w:tc>
        <w:tc>
          <w:tcPr>
            <w:tcW w:type="dxa" w:w="37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Procesa RFQ nuevas. Envía cotizaciones a proveedores. Revisa respuestas pendientes.</w:t>
            </w:r>
          </w:p>
        </w:tc>
        <w:tc>
          <w:tcPr>
            <w:tcW w:type="dxa" w:w="24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Compras</w:t>
            </w:r>
          </w:p>
        </w:tc>
      </w:tr>
      <w:tr>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9:00–11:00</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Equipo comercial</w:t>
            </w:r>
          </w:p>
        </w:tc>
        <w:tc>
          <w:tcPr>
            <w:tcW w:type="dxa" w:w="37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Prospección: LinkedIn outreach, llamadas a leads del día anterior, demos programadas.</w:t>
            </w:r>
          </w:p>
        </w:tc>
        <w:tc>
          <w:tcPr>
            <w:tcW w:type="dxa" w:w="24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CRM + LOGIFI™</w:t>
            </w:r>
          </w:p>
        </w:tc>
      </w:tr>
      <w:tr>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11:00–13:00</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Coord. Operaciones</w:t>
            </w:r>
          </w:p>
        </w:tc>
        <w:tc>
          <w:tcPr>
            <w:tcW w:type="dxa" w:w="37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Monitorea pedidos activos. Gestiona incidencias en tiempo real. Update a clientes.</w:t>
            </w:r>
          </w:p>
        </w:tc>
        <w:tc>
          <w:tcPr>
            <w:tcW w:type="dxa" w:w="24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Tracking en Vivo</w:t>
            </w:r>
          </w:p>
        </w:tc>
      </w:tr>
      <w:tr>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13:00–15:00</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CPA. Steven S.</w:t>
            </w:r>
          </w:p>
        </w:tc>
        <w:tc>
          <w:tcPr>
            <w:tcW w:type="dxa" w:w="37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Revisión reportes financieros de clientes. Análisis FCF. Asesoría contable.</w:t>
            </w:r>
          </w:p>
        </w:tc>
        <w:tc>
          <w:tcPr>
            <w:tcW w:type="dxa" w:w="24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Módulo Financiero</w:t>
            </w:r>
          </w:p>
        </w:tc>
      </w:tr>
      <w:tr>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15:00–17:00</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Ing. Cristhan M.</w:t>
            </w:r>
          </w:p>
        </w:tc>
        <w:tc>
          <w:tcPr>
            <w:tcW w:type="dxa" w:w="37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Revisión de desarrollo. Deploy de mejoras. Soporte técnico escalado.</w:t>
            </w:r>
          </w:p>
        </w:tc>
        <w:tc>
          <w:tcPr>
            <w:tcW w:type="dxa" w:w="24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GitHub + AWS</w:t>
            </w:r>
          </w:p>
        </w:tc>
      </w:tr>
      <w:tr>
        <w:tc>
          <w:tcPr>
            <w:tcW w:type="dxa" w:w="12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17:00–18:00</w:t>
            </w:r>
          </w:p>
        </w:tc>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Ambos socios</w:t>
            </w:r>
          </w:p>
        </w:tc>
        <w:tc>
          <w:tcPr>
            <w:tcW w:type="dxa" w:w="37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Standup de 15 min: ventas del día, incidencias, prioridades mañana. Registro en Notion.</w:t>
            </w:r>
          </w:p>
        </w:tc>
        <w:tc>
          <w:tcPr>
            <w:tcW w:type="dxa" w:w="24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Notion / Meet</w:t>
            </w:r>
          </w:p>
        </w:tc>
      </w:tr>
      <w:tr>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Continuo</w:t>
            </w:r>
          </w:p>
        </w:tc>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Sistema IA (Claude)</w:t>
            </w:r>
          </w:p>
        </w:tc>
        <w:tc>
          <w:tcPr>
            <w:tcW w:type="dxa" w:w="37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Monitoreo 24/7: alertas automáticas, respuestas a consultas en plataforma, detección anomalías.</w:t>
            </w:r>
          </w:p>
        </w:tc>
        <w:tc>
          <w:tcPr>
            <w:tcW w:type="dxa" w:w="24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LOGIFI™ IA</w:t>
            </w:r>
          </w:p>
        </w:tc>
      </w:tr>
    </w:tbl>
    <w:p>
      <w:pPr>
        <w:spacing w:after="80" w:before="0"/>
      </w:pPr>
    </w:p>
    <w:p>
      <w:pPr>
        <w:pStyle w:val="Heading2"/>
        <w:spacing w:after="120" w:before="280"/>
      </w:pPr>
      <w:r>
        <w:rPr>
          <w:rFonts w:ascii="Arial" w:cs="Arial" w:eastAsia="Arial" w:hAnsi="Arial"/>
          <w:b/>
          <w:bCs/>
          <w:color w:val="1A3DB5"/>
          <w:sz w:val="28"/>
          <w:szCs w:val="28"/>
        </w:rPr>
        <w:t xml:space="preserve">11.2 Flujo del Cliente — Del Lead al Resultado Medible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3"/>
        <w:gridCol w:w="177"/>
        <w:gridCol w:w="1413"/>
        <w:gridCol w:w="177"/>
        <w:gridCol w:w="1413"/>
        <w:gridCol w:w="177"/>
        <w:gridCol w:w="1413"/>
        <w:gridCol w:w="177"/>
        <w:gridCol w:w="1413"/>
        <w:gridCol w:w="177"/>
        <w:gridCol w:w="1413"/>
      </w:tblGrid>
      <w:tr>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1</w:t>
            </w:r>
          </w:p>
          <w:p>
            <w:pPr>
              <w:spacing w:after="0" w:before="20"/>
              <w:jc w:val="center"/>
            </w:pPr>
            <w:r>
              <w:rPr>
                <w:rFonts w:ascii="Arial" w:cs="Arial" w:eastAsia="Arial" w:hAnsi="Arial"/>
                <w:color w:val="1E293B"/>
                <w:sz w:val="17"/>
                <w:szCs w:val="17"/>
              </w:rPr>
              <w:t xml:space="preserve">Lead descubre KallpaPro</w:t>
            </w:r>
          </w:p>
        </w:tc>
        <w:tc>
          <w:tcPr>
            <w:tcW w:type="dxa" w:w="177"/>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2</w:t>
            </w:r>
          </w:p>
          <w:p>
            <w:pPr>
              <w:spacing w:after="0" w:before="20"/>
              <w:jc w:val="center"/>
            </w:pPr>
            <w:r>
              <w:rPr>
                <w:rFonts w:ascii="Arial" w:cs="Arial" w:eastAsia="Arial" w:hAnsi="Arial"/>
                <w:color w:val="1E293B"/>
                <w:sz w:val="17"/>
                <w:szCs w:val="17"/>
              </w:rPr>
              <w:t xml:space="preserve">Diagnóstico gratuito 60min</w:t>
            </w:r>
          </w:p>
        </w:tc>
        <w:tc>
          <w:tcPr>
            <w:tcW w:type="dxa" w:w="177"/>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3</w:t>
            </w:r>
          </w:p>
          <w:p>
            <w:pPr>
              <w:spacing w:after="0" w:before="20"/>
              <w:jc w:val="center"/>
            </w:pPr>
            <w:r>
              <w:rPr>
                <w:rFonts w:ascii="Arial" w:cs="Arial" w:eastAsia="Arial" w:hAnsi="Arial"/>
                <w:color w:val="1E293B"/>
                <w:sz w:val="17"/>
                <w:szCs w:val="17"/>
              </w:rPr>
              <w:t xml:space="preserve">Propuesta con ROI</w:t>
            </w:r>
          </w:p>
        </w:tc>
        <w:tc>
          <w:tcPr>
            <w:tcW w:type="dxa" w:w="177"/>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4</w:t>
            </w:r>
          </w:p>
          <w:p>
            <w:pPr>
              <w:spacing w:after="0" w:before="20"/>
              <w:jc w:val="center"/>
            </w:pPr>
            <w:r>
              <w:rPr>
                <w:rFonts w:ascii="Arial" w:cs="Arial" w:eastAsia="Arial" w:hAnsi="Arial"/>
                <w:color w:val="1E293B"/>
                <w:sz w:val="17"/>
                <w:szCs w:val="17"/>
              </w:rPr>
              <w:t xml:space="preserve">Firma contrato + onboarding</w:t>
            </w:r>
          </w:p>
        </w:tc>
        <w:tc>
          <w:tcPr>
            <w:tcW w:type="dxa" w:w="177"/>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5</w:t>
            </w:r>
          </w:p>
          <w:p>
            <w:pPr>
              <w:spacing w:after="0" w:before="20"/>
              <w:jc w:val="center"/>
            </w:pPr>
            <w:r>
              <w:rPr>
                <w:rFonts w:ascii="Arial" w:cs="Arial" w:eastAsia="Arial" w:hAnsi="Arial"/>
                <w:color w:val="1E293B"/>
                <w:sz w:val="17"/>
                <w:szCs w:val="17"/>
              </w:rPr>
              <w:t xml:space="preserve">KPIs visibles en vivo</w:t>
            </w:r>
          </w:p>
        </w:tc>
        <w:tc>
          <w:tcPr>
            <w:tcW w:type="dxa" w:w="177"/>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spacing w:after="0" w:before="0"/>
              <w:jc w:val="center"/>
            </w:pPr>
            <w:r>
              <w:rPr>
                <w:rFonts w:ascii="Arial" w:cs="Arial" w:eastAsia="Arial" w:hAnsi="Arial"/>
                <w:b/>
                <w:bCs/>
                <w:color w:val="00B8E0"/>
                <w:sz w:val="22"/>
                <w:szCs w:val="22"/>
              </w:rPr>
              <w:t xml:space="preserve">→</w:t>
            </w:r>
          </w:p>
        </w:tc>
        <w:tc>
          <w:tcPr>
            <w:tcW w:type="dxa" w:w="1413"/>
            <w:tcBorders>
              <w:top w:val="single" w:color="00B8E0" w:sz="6"/>
              <w:left w:val="single" w:color="00B8E0" w:sz="6"/>
              <w:bottom w:val="single" w:color="00B8E0" w:sz="6"/>
              <w:right w:val="single" w:color="00B8E0" w:sz="6"/>
            </w:tcBorders>
            <w:shd w:fill="E0F7FD" w:val="clear"/>
            <w:tcMar>
              <w:top w:type="dxa" w:w="80"/>
              <w:left w:type="dxa" w:w="80"/>
              <w:bottom w:type="dxa" w:w="80"/>
              <w:right w:type="dxa" w:w="80"/>
            </w:tcMar>
            <w:vAlign w:val="center"/>
          </w:tcPr>
          <w:p>
            <w:pPr>
              <w:spacing w:after="0" w:before="0"/>
              <w:jc w:val="center"/>
            </w:pPr>
            <w:r>
              <w:rPr>
                <w:rFonts w:ascii="Arial" w:cs="Arial" w:eastAsia="Arial" w:hAnsi="Arial"/>
                <w:b/>
                <w:bCs/>
                <w:color w:val="00B8E0"/>
                <w:sz w:val="18"/>
                <w:szCs w:val="18"/>
              </w:rPr>
              <w:t xml:space="preserve">6</w:t>
            </w:r>
          </w:p>
          <w:p>
            <w:pPr>
              <w:spacing w:after="0" w:before="20"/>
              <w:jc w:val="center"/>
            </w:pPr>
            <w:r>
              <w:rPr>
                <w:rFonts w:ascii="Arial" w:cs="Arial" w:eastAsia="Arial" w:hAnsi="Arial"/>
                <w:color w:val="1E293B"/>
                <w:sz w:val="17"/>
                <w:szCs w:val="17"/>
              </w:rPr>
              <w:t xml:space="preserve">POV mensual con ahorros</w:t>
            </w:r>
          </w:p>
        </w:tc>
      </w:tr>
    </w:tbl>
    <w:p>
      <w:pPr>
        <w:spacing w:after="80" w:before="0"/>
      </w:pPr>
    </w:p>
    <w:p>
      <w:pPr>
        <w:pStyle w:val="Heading2"/>
        <w:spacing w:after="120" w:before="280"/>
      </w:pPr>
      <w:r>
        <w:rPr>
          <w:rFonts w:ascii="Arial" w:cs="Arial" w:eastAsia="Arial" w:hAnsi="Arial"/>
          <w:b/>
          <w:bCs/>
          <w:color w:val="1A3DB5"/>
          <w:sz w:val="28"/>
          <w:szCs w:val="28"/>
        </w:rPr>
        <w:t xml:space="preserve">11.3 Flujo de Presupuesto Operativo</w:t>
      </w:r>
    </w:p>
    <w:p>
      <w:pPr>
        <w:spacing w:after="80" w:before="60"/>
      </w:pPr>
      <w:r>
        <w:rPr>
          <w:rFonts w:ascii="Arial" w:cs="Arial" w:eastAsia="Arial" w:hAnsi="Arial"/>
          <w:i/>
          <w:iCs/>
          <w:color w:val="1E293B"/>
          <w:sz w:val="22"/>
          <w:szCs w:val="22"/>
        </w:rPr>
        <w:t xml:space="preserve">El presupuesto de KallpaPro se gestiona bajo el principio de "Zero-Based Budgeting": cada trimestre se justifica cada gasto desde 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500"/>
        <w:gridCol w:w="2560"/>
      </w:tblGrid>
      <w:tr>
        <w:trPr>
          <w:tblHeader/>
        </w:trPr>
        <w:tc>
          <w:tcPr>
            <w:tcW w:type="dxa" w:w="28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Categoría</w:t>
            </w:r>
          </w:p>
        </w:tc>
        <w:tc>
          <w:tcPr>
            <w:tcW w:type="dxa" w:w="15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 del Revenue</w:t>
            </w:r>
          </w:p>
        </w:tc>
        <w:tc>
          <w:tcPr>
            <w:tcW w:type="dxa" w:w="25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Responsable</w:t>
            </w:r>
          </w:p>
        </w:tc>
        <w:tc>
          <w:tcPr>
            <w:tcW w:type="dxa" w:w="25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Periodicidad de revisión</w:t>
            </w:r>
          </w:p>
        </w:tc>
      </w:tr>
      <w:tr>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Desarrollo de producto / Tecnología</w:t>
            </w:r>
          </w:p>
        </w:tc>
        <w:tc>
          <w:tcPr>
            <w:tcW w:type="dxa" w:w="1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25%</w:t>
            </w:r>
          </w:p>
        </w:tc>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Ing. Cristhan M.</w:t>
            </w:r>
          </w:p>
        </w:tc>
        <w:tc>
          <w:tcPr>
            <w:tcW w:type="dxa" w:w="2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Mensual</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Nómina y RRHH</w:t>
            </w:r>
          </w:p>
        </w:tc>
        <w:tc>
          <w:tcPr>
            <w:tcW w:type="dxa" w:w="1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40%</w:t>
            </w:r>
          </w:p>
        </w:tc>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CPA. Steven S.</w:t>
            </w:r>
          </w:p>
        </w:tc>
        <w:tc>
          <w:tcPr>
            <w:tcW w:type="dxa" w:w="2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Mensual</w:t>
            </w:r>
          </w:p>
        </w:tc>
      </w:tr>
      <w:tr>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Marketing y ventas</w:t>
            </w:r>
          </w:p>
        </w:tc>
        <w:tc>
          <w:tcPr>
            <w:tcW w:type="dxa" w:w="1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15%</w:t>
            </w:r>
          </w:p>
        </w:tc>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Ambos socios</w:t>
            </w:r>
          </w:p>
        </w:tc>
        <w:tc>
          <w:tcPr>
            <w:tcW w:type="dxa" w:w="2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Quincenal</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Infraestructura cloud</w:t>
            </w:r>
          </w:p>
        </w:tc>
        <w:tc>
          <w:tcPr>
            <w:tcW w:type="dxa" w:w="1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8%</w:t>
            </w:r>
          </w:p>
        </w:tc>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Ing. Cristhan M.</w:t>
            </w:r>
          </w:p>
        </w:tc>
        <w:tc>
          <w:tcPr>
            <w:tcW w:type="dxa" w:w="2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Mensual</w:t>
            </w:r>
          </w:p>
        </w:tc>
      </w:tr>
      <w:tr>
        <w:tc>
          <w:tcPr>
            <w:tcW w:type="dxa" w:w="28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Administración y legal</w:t>
            </w:r>
          </w:p>
        </w:tc>
        <w:tc>
          <w:tcPr>
            <w:tcW w:type="dxa" w:w="1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7%</w:t>
            </w:r>
          </w:p>
        </w:tc>
        <w:tc>
          <w:tcPr>
            <w:tcW w:type="dxa" w:w="25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CPA. Steven S.</w:t>
            </w:r>
          </w:p>
        </w:tc>
        <w:tc>
          <w:tcPr>
            <w:tcW w:type="dxa" w:w="25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Trimestral</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Reserva estratégica / Contingencias</w:t>
            </w:r>
          </w:p>
        </w:tc>
        <w:tc>
          <w:tcPr>
            <w:tcW w:type="dxa" w:w="1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5%</w:t>
            </w:r>
          </w:p>
        </w:tc>
        <w:tc>
          <w:tcPr>
            <w:tcW w:type="dxa" w:w="25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Directorio</w:t>
            </w:r>
          </w:p>
        </w:tc>
        <w:tc>
          <w:tcPr>
            <w:tcW w:type="dxa" w:w="2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Trimestral</w:t>
            </w:r>
          </w:p>
        </w:tc>
      </w:tr>
    </w:tbl>
    <w:p>
      <w:pPr>
        <w:spacing w:after="80" w:before="0"/>
      </w:pPr>
    </w:p>
    <w:p>
      <w:pPr>
        <w:pStyle w:val="Heading2"/>
        <w:spacing w:after="120" w:before="280"/>
      </w:pPr>
      <w:r>
        <w:rPr>
          <w:rFonts w:ascii="Arial" w:cs="Arial" w:eastAsia="Arial" w:hAnsi="Arial"/>
          <w:b/>
          <w:bCs/>
          <w:color w:val="1A3DB5"/>
          <w:sz w:val="28"/>
          <w:szCs w:val="28"/>
        </w:rPr>
        <w:t xml:space="preserve">11.4 Ciclo de Mejora Continua — PDCA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Fase PDCA</w:t>
            </w:r>
          </w:p>
        </w:tc>
        <w:tc>
          <w:tcPr>
            <w:tcW w:type="dxa" w:w="500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Actividad KallpaPro</w:t>
            </w:r>
          </w:p>
        </w:tc>
        <w:tc>
          <w:tcPr>
            <w:tcW w:type="dxa" w:w="2360"/>
            <w:tcBorders>
              <w:top w:val="single" w:color="1A3DB5" w:sz="6"/>
              <w:left w:val="single" w:color="1A3DB5" w:sz="6"/>
              <w:bottom w:val="single" w:color="1A3DB5" w:sz="6"/>
              <w:right w:val="single" w:color="1A3DB5" w:sz="6"/>
            </w:tcBorders>
            <w:shd w:fill="1A3DB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Frecuencia</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Plan (Planear)</w:t>
            </w:r>
          </w:p>
        </w:tc>
        <w:tc>
          <w:tcPr>
            <w:tcW w:type="dxa" w:w="5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Definir KPIs del mes, objetivos comerciales, sprints de desarrollo, campañas de marketing</w:t>
            </w:r>
          </w:p>
        </w:tc>
        <w:tc>
          <w:tcPr>
            <w:tcW w:type="dxa" w:w="2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Mensual</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Do (Hacer)</w:t>
            </w:r>
          </w:p>
        </w:tc>
        <w:tc>
          <w:tcPr>
            <w:tcW w:type="dxa" w:w="5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Ejecutar operaciones, onboarding, desarrollo de features, campañas activas</w:t>
            </w:r>
          </w:p>
        </w:tc>
        <w:tc>
          <w:tcPr>
            <w:tcW w:type="dxa" w:w="2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Diario / Semanal</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Check (Verificar)</w:t>
            </w:r>
          </w:p>
        </w:tc>
        <w:tc>
          <w:tcPr>
            <w:tcW w:type="dxa" w:w="5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POV interno: MRR, churn, OTIF, NPS, velocidad de desarrollo, conversión comercial</w:t>
            </w:r>
          </w:p>
        </w:tc>
        <w:tc>
          <w:tcPr>
            <w:tcW w:type="dxa" w:w="236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Quincenal</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Act (Actuar)</w:t>
            </w:r>
          </w:p>
        </w:tc>
        <w:tc>
          <w:tcPr>
            <w:tcW w:type="dxa" w:w="5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Ajustar precios, iterar producto, reasignar recursos, escalar lo que funciona, parar lo que no</w:t>
            </w:r>
          </w:p>
        </w:tc>
        <w:tc>
          <w:tcPr>
            <w:tcW w:type="dxa" w:w="2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Arial" w:cs="Arial" w:eastAsia="Arial" w:hAnsi="Arial"/>
                <w:color w:val="1E293B"/>
                <w:sz w:val="19"/>
                <w:szCs w:val="19"/>
              </w:rPr>
              <w:t xml:space="preserve">Mensual</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3E9F7" w:sz="4"/>
            <w:left w:val="none" w:color="FFFFFF" w:sz="0"/>
            <w:bottom w:val="none" w:color="FFFFFF" w:sz="0"/>
            <w:right w:val="none" w:color="FFFFFF" w:sz="0"/>
          </w:tcBorders>
          <w:shd w:fill="FFFFFF" w:val="clear"/>
          <w:tcMar>
            <w:top w:type="dxa" w:w="60"/>
            <w:left w:type="dxa" w:w="0"/>
            <w:bottom w:type="dxa" w:w="0"/>
            <w:right w:type="dxa" w:w="0"/>
          </w:tcMar>
        </w:tcPr>
        <w:p>
          <w:pPr>
            <w:spacing w:after="0" w:before="0"/>
          </w:pPr>
          <w:r>
            <w:rPr>
              <w:rFonts w:ascii="Arial" w:cs="Arial" w:eastAsia="Arial" w:hAnsi="Arial"/>
              <w:color w:val="64748B"/>
              <w:sz w:val="16"/>
              <w:szCs w:val="16"/>
            </w:rPr>
            <w:t xml:space="preserve">Ing. Cristhan Matamoros  ·  CPA. Steven Sánchez C.</w:t>
          </w:r>
        </w:p>
      </w:tc>
      <w:tc>
        <w:tcPr>
          <w:tcW w:type="dxa" w:w="5040"/>
          <w:tcBorders>
            <w:top w:val="single" w:color="B3E9F7" w:sz="4"/>
            <w:left w:val="none" w:color="FFFFFF" w:sz="0"/>
            <w:bottom w:val="none" w:color="FFFFFF" w:sz="0"/>
            <w:right w:val="none" w:color="FFFFFF" w:sz="0"/>
          </w:tcBorders>
          <w:shd w:fill="FFFFFF" w:val="clear"/>
          <w:tcMar>
            <w:top w:type="dxa" w:w="60"/>
            <w:left w:type="dxa" w:w="0"/>
            <w:bottom w:type="dxa" w:w="0"/>
            <w:right w:type="dxa" w:w="0"/>
          </w:tcMar>
        </w:tcPr>
        <w:p>
          <w:pPr>
            <w:spacing w:after="0" w:before="0"/>
            <w:jc w:val="right"/>
          </w:pPr>
          <w:r>
            <w:rPr>
              <w:rFonts w:ascii="Arial" w:cs="Arial" w:eastAsia="Arial" w:hAnsi="Arial"/>
              <w:color w:val="64748B"/>
              <w:sz w:val="16"/>
              <w:szCs w:val="16"/>
            </w:rPr>
            <w:t xml:space="preserve">Página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B3E9F7" w:sz="6"/>
            <w:right w:val="none" w:color="FFFFFF" w:sz="0"/>
          </w:tcBorders>
          <w:shd w:fill="FFFFFF" w:val="clear"/>
          <w:tcMar>
            <w:top w:type="dxa" w:w="40"/>
            <w:left w:type="dxa" w:w="0"/>
            <w:bottom w:type="dxa" w:w="60"/>
            <w:right w:type="dxa" w:w="0"/>
          </w:tcMar>
        </w:tcPr>
        <w:p>
          <w:pPr>
            <w:spacing w:after="0" w:before="0"/>
          </w:pPr>
          <w:r>
            <w:rPr>
              <w:rFonts w:ascii="Arial" w:cs="Arial" w:eastAsia="Arial" w:hAnsi="Arial"/>
              <w:color w:val="1A3DB5"/>
              <w:sz w:val="16"/>
              <w:szCs w:val="16"/>
            </w:rPr>
            <w:t xml:space="preserve">KallpaPro Soluciones Integrales  ·  LOGIFI™ Platform  ·  Plan Ejecutivo v1.0</w:t>
          </w:r>
        </w:p>
      </w:tc>
      <w:tc>
        <w:tcPr>
          <w:tcW w:type="dxa" w:w="3080"/>
          <w:tcBorders>
            <w:top w:val="none" w:color="FFFFFF" w:sz="0"/>
            <w:left w:val="none" w:color="FFFFFF" w:sz="0"/>
            <w:bottom w:val="single" w:color="B3E9F7" w:sz="6"/>
            <w:right w:val="none" w:color="FFFFFF" w:sz="0"/>
          </w:tcBorders>
          <w:shd w:fill="FFFFFF" w:val="clear"/>
          <w:tcMar>
            <w:top w:type="dxa" w:w="40"/>
            <w:left w:type="dxa" w:w="0"/>
            <w:bottom w:type="dxa" w:w="60"/>
            <w:right w:type="dxa" w:w="0"/>
          </w:tcMar>
        </w:tcPr>
        <w:p>
          <w:pPr>
            <w:spacing w:after="0" w:before="0"/>
            <w:jc w:val="right"/>
          </w:pPr>
          <w:r>
            <w:rPr>
              <w:rFonts w:ascii="Arial" w:cs="Arial" w:eastAsia="Arial" w:hAnsi="Arial"/>
              <w:i/>
              <w:iCs/>
              <w:color w:val="64748B"/>
              <w:sz w:val="16"/>
              <w:szCs w:val="16"/>
            </w:rPr>
            <w:t xml:space="preserve">Confidencial · Guayaquil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Arial" w:cs="Arial" w:eastAsia="Arial" w:hAnsi="Arial"/>
      <w:b/>
      <w:bCs/>
      <w:color w:val="1A3DB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D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F6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Ejecutivo Integral — KallpaPro LOGIFI™ Platform</dc:title>
  <dc:creator>KallpaPro Soluciones Integrales</dc:creator>
  <dc:description>Documento ejecutivo completo: estructura organizacional, modelo de negocio, arquitectura de plataforma, flujogramas, presupuesto y roadmap.</dc:description>
  <cp:lastModifiedBy>Un-named</cp:lastModifiedBy>
  <cp:revision>1</cp:revision>
  <dcterms:created xsi:type="dcterms:W3CDTF">2026-04-08T23:29:16.047Z</dcterms:created>
  <dcterms:modified xsi:type="dcterms:W3CDTF">2026-04-08T23:29:16.048Z</dcterms:modified>
</cp:coreProperties>
</file>

<file path=docProps/custom.xml><?xml version="1.0" encoding="utf-8"?>
<Properties xmlns="http://schemas.openxmlformats.org/officeDocument/2006/custom-properties" xmlns:vt="http://schemas.openxmlformats.org/officeDocument/2006/docPropsVTypes"/>
</file>