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Detektor anomalii NDVI oparty na algorytmie Isolation Forest</w:t>
      </w:r>
    </w:p>
    <w:p>
      <w:pPr>
        <w:pStyle w:val="Heading1"/>
      </w:pPr>
      <w:r>
        <w:t xml:space="preserve">1. Kontekst i cel metody</w:t>
      </w:r>
    </w:p>
    <w:p>
      <w:pPr>
        <w:spacing w:after="160"/>
        <w:jc w:val="both"/>
      </w:pPr>
      <w:r>
        <w:t xml:space="preserve">W ramach systemu detekcji uszkodzeń roślinności na zdjęciach lotniczych NDVI (Normalized Difference Vegetation Index) zaimplementowano trzy niezależne metody wykrywania anomalii. Niniejszy rozdział opisuje trzecią z nich, opartą na algorytmie Isolation Forest — metodę uczenia maszynowego działającą w trybie nienadzorowanym, tzn. niewymagającą żadnych danych treningowych z etykietami.</w:t>
      </w:r>
    </w:p>
    <w:p>
      <w:pPr>
        <w:spacing w:after="160"/>
        <w:jc w:val="both"/>
      </w:pPr>
      <w:r>
        <w:t xml:space="preserve">Podstawowym założeniem metody jest obserwacja, że piksele odpowiadające zdrowej roślinności tworzą zwarty, jednorodny obłok w przestrzeni cech, natomiast piksele uszkodzone — charakteryzujące się odmienną wartością NDVI oraz odmiennym kontekstem przestrzennym — są od niego izolowane. Algorytm Isolation Forest wykorzystuje tę właściwość w sposób bezpośredni.</w:t>
      </w:r>
    </w:p>
    <w:p>
      <w:pPr>
        <w:pStyle w:val="Heading1"/>
      </w:pPr>
      <w:r>
        <w:t xml:space="preserve">2. Algorytm Isolation Forest</w:t>
      </w:r>
    </w:p>
    <w:p>
      <w:pPr>
        <w:spacing w:after="160"/>
        <w:jc w:val="both"/>
      </w:pPr>
      <w:r>
        <w:t xml:space="preserve">Isolation Forest (Liu et al., 2008) jest algorytmem wykrywania anomalii opartym na strukturze lasów losowych. W odróżnieniu od metod takich jak LOF (Local Outlier Factor), które oceniają anomalność punktu na podstawie gęstości jego sąsiedztwa, Isolation Forest ocenia ją na podstawie łatwości izolacji punktu od pozostałych.</w:t>
      </w:r>
    </w:p>
    <w:p>
      <w:pPr>
        <w:spacing w:after="160"/>
        <w:jc w:val="both"/>
      </w:pPr>
      <w:r>
        <w:t xml:space="preserve">Intuicja stojąca za algorytmem jest następująca: jeśli na losowo wybranej cesze zastosujemy losowy próg podziału, punkt anomaliczny zostanie odłączony od reszty zbioru znacznie wcześniej niż punkt typowy. Punkty typowe są otoczone przez wiele podobnych obserwacji i wymagają wielu kolejnych podziałów, aby zostać wyizolowane. Anomalie — z natury oddalone od głównego skupiska — są izolowane już po kilku podziałach.</w:t>
      </w:r>
    </w:p>
    <w:p>
      <w:pPr>
        <w:spacing w:after="160"/>
        <w:jc w:val="both"/>
      </w:pPr>
      <w:r>
        <w:t xml:space="preserve">Formalnie, algorytm buduje zespół drzew binarnych (las izolacyjny). Każde drzewo jest konstruowane przez rekurencyjne losowe podziały przestrzeni cech: losowana jest cecha oraz wartość progowa, a dane są dzielone na dwie gałęzie aż do momentu izolacji każdego punktu. Wynikowy wynik anomalii (anomaly score) dla danego punktu jest obliczany jako znormalizowana średnia głębokości ścieżki (path length) we wszystkich drzewach lasu — im krótsza ścieżka, tym większa anomalność.</w:t>
      </w:r>
    </w:p>
    <w:p>
      <w:pPr>
        <w:pStyle w:val="Heading1"/>
      </w:pPr>
      <w:r>
        <w:t xml:space="preserve">3. Ekstrakcja cech przestrzennych</w:t>
      </w:r>
    </w:p>
    <w:p>
      <w:pPr>
        <w:spacing w:after="160"/>
        <w:jc w:val="both"/>
      </w:pPr>
      <w:r>
        <w:t xml:space="preserve">Surowa wartość NDVI pojedynczego piksela nie jest wystarczającym opisem do wykrywania anomalii przestrzennych. Piksel o niskiej wartości NDVI może być normalnym elementem międzyrzędzia uprawnego, drogą polną, lub rzeczywiście uszkodzoną roślinnością. Aby oddzielić te przypadki, każdy piksel jest opisywany wektorem cech uwzględniającym jego kontekst przestrzenny na kilku skalach.</w:t>
      </w:r>
    </w:p>
    <w:p>
      <w:pPr>
        <w:spacing w:after="80"/>
        <w:jc w:val="both"/>
      </w:pPr>
      <w:r>
        <w:rPr>
          <w:i w:val="false"/>
          <w:iCs w:val="false"/>
        </w:rPr>
        <w:t xml:space="preserve">Dla każdej ze zdefiniowanych skal przestrzennych obliczane są następujące cechy:</w:t>
      </w:r>
    </w:p>
    <w:p>
      <w:pPr>
        <w:pStyle w:val="ListParagraph"/>
        <w:numPr>
          <w:ilvl w:val="0"/>
          <w:numId w:val="2"/>
        </w:numPr>
        <w:spacing w:after="80"/>
      </w:pPr>
      <w:r>
        <w:t xml:space="preserve">Średnia lokalna (mean) — średnia wartość NDVI w oknie o danym rozmiarze wokół piksela. Określa ogólny poziom wegetacji w danym sąsiedztwie.</w:t>
      </w:r>
    </w:p>
    <w:p>
      <w:pPr>
        <w:pStyle w:val="ListParagraph"/>
        <w:numPr>
          <w:ilvl w:val="0"/>
          <w:numId w:val="2"/>
        </w:numPr>
        <w:spacing w:after="80"/>
      </w:pPr>
      <w:r>
        <w:t xml:space="preserve">Odchylenie standardowe lokalne (std) — miara zmienności NDVI w tym samym oknie. Wysokie odchylenie w małej skali sugeruje niejednorodny obszar (np. krawędź uszkodzenia).</w:t>
      </w:r>
    </w:p>
    <w:p>
      <w:pPr>
        <w:pStyle w:val="ListParagraph"/>
        <w:numPr>
          <w:ilvl w:val="0"/>
          <w:numId w:val="2"/>
        </w:numPr>
        <w:spacing w:after="80"/>
      </w:pPr>
      <w:r>
        <w:t xml:space="preserve">Gradient przestrzenny — wielkość gradientu obrazu NDVI obliczona operatorem Sobela. Wykrywa gwałtowne przejścia wartości charakterystyczne dla brzegów uszkodzeń.</w:t>
      </w:r>
    </w:p>
    <w:p>
      <w:pPr>
        <w:pStyle w:val="ListParagraph"/>
        <w:numPr>
          <w:ilvl w:val="0"/>
          <w:numId w:val="2"/>
        </w:numPr>
        <w:spacing w:after="80"/>
      </w:pPr>
      <w:r>
        <w:t xml:space="preserve">Ranga lokalna — percentyl wartości piksela względem jego sąsiedztwa. Określa, czy dany piksel jest nisko- czy wysokowartościowy w porównaniu do otoczenia, niezależnie od wartości bezwzględnej.</w:t>
      </w:r>
    </w:p>
    <w:p>
      <w:pPr>
        <w:pStyle w:val="ListParagraph"/>
        <w:numPr>
          <w:ilvl w:val="0"/>
          <w:numId w:val="2"/>
        </w:numPr>
        <w:spacing w:after="80"/>
      </w:pPr>
      <w:r>
        <w:t xml:space="preserve">Wartość NDVI — bezwzględna wartość piksela dołączona wprost jako cecha. Pozwala modelowi odróżnić obszary o niskim NDVI (uszkodzona uprawa) od obszarów o wysokim kontraście lokalnym przy normalnym lub wysokim NDVI (np. krawędzie lasu czy zabudowania).</w:t>
      </w:r>
    </w:p>
    <w:p>
      <w:pPr>
        <w:pStyle w:val="ListParagraph"/>
        <w:numPr>
          <w:ilvl w:val="0"/>
          <w:numId w:val="2"/>
        </w:numPr>
        <w:spacing w:after="160"/>
      </w:pPr>
      <w:r>
        <w:t xml:space="preserve">Kontrast lokalny — różnica między wartością piksela a lokalną średnią w najmniejszej ze zdefiniowanych skal. Przyjmuje wartości silnie ujemne dla pikseli lokalnie obniżonych względem sąsiedztwa (charakterystyczne dla uszkodzeń upraw), a wartości bliskie zeru dla pikseli w obszarach jednorodnie zaszumionych, takich jak wnętrze lasu.</w:t>
      </w:r>
    </w:p>
    <w:p>
      <w:pPr>
        <w:spacing w:after="160"/>
        <w:jc w:val="both"/>
      </w:pPr>
      <w:r>
        <w:t xml:space="preserve">Skale przestrzenne są wyrażone jako ułamek krótszego wymiaru obrazu (np. 0.02 i 0.05), co zapewnia niezależność metody od rozdzielczości wejściowego rastra NDVI. Dzięki temu ta sama konfiguracja parametrów działa poprawnie niezależnie od tego, czy obraz pochodzi z lotu na wysokości 50 m czy 200 m. Dołączenie większej skali (np. 0.15) pozwala wykrywać duże jednorodne obszary uszkodzeń, których wnętrze mogłoby wyglądać „normalnie‟ przy ocenie wyłącznie w skali lokalnej.</w:t>
      </w:r>
    </w:p>
    <w:p>
      <w:pPr>
        <w:pStyle w:val="Heading1"/>
      </w:pPr>
      <w:r>
        <w:t xml:space="preserve">4. Przebieg detekcji krok po kroku</w:t>
      </w:r>
    </w:p>
    <w:p>
      <w:pPr>
        <w:pStyle w:val="Heading2"/>
      </w:pPr>
      <w:r>
        <w:t xml:space="preserve">Krok 1: Przygotowanie danych</w:t>
      </w:r>
    </w:p>
    <w:p>
      <w:pPr>
        <w:spacing w:after="160"/>
        <w:jc w:val="both"/>
      </w:pPr>
      <w:r>
        <w:t xml:space="preserve">Wejściowy raster NDVI może zawierać piksele bez danych (NoData) odpowiadające obszarom poza polem, błędom sensora lub masce chmur. Piksele te są identyfikowane i wykluczane z obliczeń. W celu poprawnego działania filtrów przestrzennych (które wymagają ciągłego obrazu) brakujące wartości są tymczasowo zastępowane średnią pola. Operacja ta nie wpływa na wynik detekcji, ponieważ piksele NoData są wykluczone z klasyfikacji na końcowym etapie.</w:t>
      </w:r>
    </w:p>
    <w:p>
      <w:pPr>
        <w:pStyle w:val="Heading2"/>
      </w:pPr>
      <w:r>
        <w:t xml:space="preserve">Krok 2: Budowa mapy cech</w:t>
      </w:r>
    </w:p>
    <w:p>
      <w:pPr>
        <w:spacing w:after="160"/>
        <w:jc w:val="both"/>
      </w:pPr>
      <w:r>
        <w:t xml:space="preserve">Dla każdego piksela obrazu obliczany jest wektor cech opisany w rozdziale 3. Wynikowa mapa cech ma wymiar (H × W × F), gdzie H i W to wymiary rastra, a F to liczba cech (2 cechy na skalę plus gradient i ranga). Mapa jest następnie spłaszczana do macierzy (N × F), gdzie N to liczba ważnych pikseli (bez NoData).</w:t>
      </w:r>
    </w:p>
    <w:p>
      <w:pPr>
        <w:pStyle w:val="Heading2"/>
      </w:pPr>
      <w:r>
        <w:t xml:space="preserve">Krok 3: Trenowanie modelu Isolation Forest</w:t>
      </w:r>
    </w:p>
    <w:p>
      <w:pPr>
        <w:spacing w:after="160"/>
        <w:jc w:val="both"/>
      </w:pPr>
      <w:r>
        <w:t xml:space="preserve">Model Isolation Forest jest trenowany globalnie na wszystkich ważnych pikselach jednocześnie. Nie występuje żadne kafelkowanie, żadne podzielenie obrazu na fragmenty — jest to zasadnicza różnica względem metody MS-GLOF. Brak kafelkowania eliminuje artefakty granicy kafli, które były źródłem fałszywych wykryć w metodzie LOF. Model nie wymaga żadnych etykiet — uczy się wyłącznie z rozkładu danych.</w:t>
      </w:r>
    </w:p>
    <w:p>
      <w:pPr>
        <w:pStyle w:val="Heading2"/>
      </w:pPr>
      <w:r>
        <w:t xml:space="preserve">Krok 4: Obliczanie wyniku anomalii</w:t>
      </w:r>
    </w:p>
    <w:p>
      <w:pPr>
        <w:spacing w:after="160"/>
        <w:jc w:val="both"/>
      </w:pPr>
      <w:r>
        <w:t xml:space="preserve">Po dopasowaniu modelu, dla każdego piksela obliczany jest wynik anomalii (anomaly score) — wartość ciągła odzwierciedlająca stopień izolacji punktu w lesie drzew. Wartości wyższe odpowiadają większej anomalności. Następnie stosowany jest próg statystyczny: piksel jest uznawany za anomalię, jeśli jego wynik przekracza wartość μ + kσ, gdzie μ i σ to średnia i odchylenie standardowe wyników wszystkich pikseli, a k jest parametrem konfiguracyjnym (domyślnie k = 3.0). Takie podejście jest niezależne od skali i wielkości uszkodzeń — nie wymaga podania z góry oczekiwanego odsetka anomalii.</w:t>
      </w:r>
    </w:p>
    <w:p>
      <w:pPr>
        <w:pStyle w:val="Heading2"/>
      </w:pPr>
      <w:r>
        <w:t xml:space="preserve">Krok 5: Filtrowanie przestrzenne wyników</w:t>
      </w:r>
    </w:p>
    <w:p>
      <w:pPr>
        <w:spacing w:after="160"/>
        <w:jc w:val="both"/>
      </w:pPr>
      <w:r>
        <w:t xml:space="preserve">Surowa maska binarna uzyskana z progowania zawiera zarówno rzeczywiste anomalie, jak i pojedyncze piksele będące fałszywymi alarmami (szum sensoryczny, krawędzie pól). W celu ich eliminacji stosowane jest wyłącznie filtrowanie wielkości składowych spójnych (connected components): każda spójna grupa anomalnych pikseli o powierzchni poniżej zadanego minimum (parametr min_cluster_size) jest usuwana. Dzięki temu zachowane są uszkodzenia zarówno małe (kilka dziesiątek pikseli), jak i duże, bez narzucania żadnych założeń co do ich kształtu.</w:t>
      </w:r>
    </w:p>
    <w:p>
      <w:pPr>
        <w:pStyle w:val="Heading1"/>
      </w:pPr>
      <w:r>
        <w:t xml:space="preserve">5. Parametry metody</w:t>
      </w:r>
    </w:p>
    <w:p>
      <w:pPr>
        <w:spacing w:after="80"/>
        <w:jc w:val="both"/>
      </w:pPr>
      <w:r>
        <w:t xml:space="preserve">Metoda jest konfigurowana następującymi parametrami:</w:t>
      </w:r>
    </w:p>
    <w:p>
      <w:pPr>
        <w:pStyle w:val="ListParagraph"/>
        <w:numPr>
          <w:ilvl w:val="0"/>
          <w:numId w:val="2"/>
        </w:numPr>
        <w:spacing w:after="80"/>
      </w:pPr>
      <w:r>
        <w:rPr>
          <w:b/>
          <w:bCs/>
        </w:rPr>
        <w:t xml:space="preserve">scales</w:t>
      </w:r>
      <w:r>
        <w:t xml:space="preserve"> — lista skal przestrzennych (jako ułamek krótszego wymiaru obrazu) używanych do budowy wektora cech. Więcej skal = bogatszy opis, dłuższy czas obliczeń.</w:t>
      </w:r>
    </w:p>
    <w:p>
      <w:pPr>
        <w:pStyle w:val="ListParagraph"/>
        <w:numPr>
          <w:ilvl w:val="0"/>
          <w:numId w:val="2"/>
        </w:numPr>
        <w:spacing w:after="80"/>
      </w:pPr>
      <w:r>
        <w:rPr>
          <w:b/>
          <w:bCs/>
        </w:rPr>
        <w:t xml:space="preserve">n_estimators</w:t>
      </w:r>
      <w:r>
        <w:t xml:space="preserve"> — liczba drzew w lesie izolacyjnym. Więcej drzew = bardziej stabilny wynik, większe zużycie pamięci.</w:t>
      </w:r>
    </w:p>
    <w:p>
      <w:pPr>
        <w:pStyle w:val="ListParagraph"/>
        <w:numPr>
          <w:ilvl w:val="0"/>
          <w:numId w:val="2"/>
        </w:numPr>
        <w:spacing w:after="80"/>
      </w:pPr>
      <w:r>
        <w:rPr>
          <w:b/>
          <w:bCs/>
        </w:rPr>
        <w:t xml:space="preserve">n_sigma</w:t>
      </w:r>
      <w:r>
        <w:t xml:space="preserve"> — mnożnik odchylenia standardowego określający próg detekcji. Wyższa wartość = mniej wykryć, wyższa precyzja. Niższa wartość = większa czułość.</w:t>
      </w:r>
    </w:p>
    <w:p>
      <w:pPr>
        <w:pStyle w:val="ListParagraph"/>
        <w:numPr>
          <w:ilvl w:val="0"/>
          <w:numId w:val="2"/>
        </w:numPr>
        <w:spacing w:after="80"/>
      </w:pPr>
      <w:r>
        <w:rPr>
          <w:b/>
          <w:bCs/>
        </w:rPr>
        <w:t xml:space="preserve">min_cluster_size</w:t>
      </w:r>
      <w:r>
        <w:t xml:space="preserve"> — minimalna liczba pikseli spójnego obszaru anomalii, aby został zachowany. Eliminuje szum punktowy.</w:t>
      </w:r>
    </w:p>
    <w:p>
      <w:pPr>
        <w:pStyle w:val="ListParagraph"/>
        <w:numPr>
          <w:ilvl w:val="0"/>
          <w:numId w:val="2"/>
        </w:numPr>
        <w:spacing w:after="160"/>
      </w:pPr>
      <w:r>
        <w:rPr>
          <w:b/>
          <w:bCs/>
        </w:rPr>
        <w:t xml:space="preserve">n_jobs</w:t>
      </w:r>
      <w:r>
        <w:t xml:space="preserve"> — liczba wątków CPU używanych przez algorytm. Wartość -1 oznacza użycie wszystkich dostępnych rdzeni.</w:t>
      </w:r>
    </w:p>
    <w:p>
      <w:pPr>
        <w:pStyle w:val="Heading1"/>
      </w:pPr>
      <w:r>
        <w:t xml:space="preserve">6. Porównanie z pozostałymi metodami</w:t>
      </w:r>
    </w:p>
    <w:p>
      <w:pPr>
        <w:spacing w:after="160"/>
        <w:jc w:val="both"/>
      </w:pPr>
      <w:r>
        <w:t xml:space="preserve">W porównaniu do metody progowania globalnego (Detector 1), Isolation Forest uwzględnia kontekst przestrzenny piksela, co pozwala wykrywać anomalie w obszarach o lokalnie niskim NDVI (np. suche części pola), które globalnie nie są anomaliczne. W porównaniu do metody Sauvola, która również działa lokalnie, Isolation Forest operuje w wielowymiarowej przestrzeni cech, a nie na pojedynczej wartości piksela — co daje większe możliwości dyskryminacji.</w:t>
      </w:r>
    </w:p>
    <w:p>
      <w:pPr>
        <w:spacing w:after="160"/>
        <w:jc w:val="both"/>
      </w:pPr>
      <w:r>
        <w:t xml:space="preserve">Zasadniczą przewagą Isolation Forest nad metodą MS-GLOF (Multi-Scale Graph-refined Local Outlier Factor) jest brak kafelkowania. MS-GLOF przetwarza obraz w nakrywających się kaflach i scala wyniki za pomocą ważonego uśredniania gaussowskiego — co prowadzi do artefaktów na granicach kafli widocznych jako kwadratowe obramowania wokół wykrytych obszarów. Isolation Forest przetwarza cały obraz globalnie w jednym przebiegu, eliminując ten problem strukturalnie. Dodatkową zaletą jest lepsza skalowalność obliczeniowa: złożoność LOF jest kwadratowa względem liczby punktów w kaflu, podczas gdy Isolation Forest skaluje się liniowo z rozmiarem zbioru.</w:t>
      </w:r>
    </w:p>
    <w:p>
      <w:pPr>
        <w:spacing w:after="160"/>
        <w:jc w:val="both"/>
      </w:pPr>
      <w:r>
        <w:t xml:space="preserve">Głównym ograniczeniem metody jest wrażliwość na obszary o wysokiej heterogeniczności przestrzennej, takie jak lasy czy zabudowania, które mogą generować fałszywe alarmy przy zbyt niskiej wartości n_sigma. Wprowadzenie bezwzględnej wartości NDVI oraz kontrastu lokalnego jako cech częściowo redukuje ten problem — obszary leśne charakteryzują się wysokim NDVI i niskim kontrastem lokalnym względem sąsiedztwa, co odróżnia je od uszkodzeń upraw. Dobór odpowiednich skal przestrzennych pozostaje kluczowy: zbyt duże okna powodują wykrywanie struktury agrotechnicznej pola jako anomalii, zbyt małe — pomijanie wnętrza dużych uszkodzeń.</w:t>
      </w:r>
    </w:p>
    <w:p>
      <w:pPr>
        <w:pStyle w:val="Heading1"/>
      </w:pPr>
      <w:r>
        <w:t xml:space="preserve">Literatura</w:t>
      </w:r>
    </w:p>
    <w:p>
      <w:pPr>
        <w:spacing w:after="160"/>
        <w:jc w:val="both"/>
      </w:pPr>
      <w:r>
        <w:t xml:space="preserve">Liu, F. T., Ting, K. M., &amp; Zhou, Z.-H. (2008). Isolation Forest. </w:t>
      </w:r>
      <w:r>
        <w:rPr>
          <w:i/>
          <w:iCs/>
        </w:rPr>
        <w:t xml:space="preserve">Proceedings of the 8th IEEE International Conference on Data Mining (ICDM)</w:t>
      </w:r>
      <w:r>
        <w:t xml:space="preserve">, 413–422. IEEE.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2026-04-26T13:22:56.970Z</dcterms:created>
  <dcterms:modified xsi:type="dcterms:W3CDTF">2026-04-26T13:22:56.971Z</dcterms:modified>
</cp:coreProperties>
</file>

<file path=docProps/custom.xml><?xml version="1.0" encoding="utf-8"?>
<Properties xmlns="http://schemas.openxmlformats.org/officeDocument/2006/custom-properties" xmlns:vt="http://schemas.openxmlformats.org/officeDocument/2006/docPropsVTypes"/>
</file>