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40"/>
          <w:szCs w:val="40"/>
        </w:rPr>
        <w:t xml:space="preserve">Research and Planning Document</w:t>
      </w:r>
    </w:p>
    <w:p>
      <w:pPr>
        <w:spacing w:after="40"/>
        <w:jc w:val="center"/>
      </w:pPr>
      <w:r>
        <w:rPr>
          <w:rFonts w:ascii="Calibri" w:cs="Calibri" w:eastAsia="Calibri" w:hAnsi="Calibri"/>
          <w:b/>
          <w:bCs/>
          <w:color w:val="1F3864"/>
          <w:sz w:val="26"/>
          <w:szCs w:val="26"/>
        </w:rPr>
        <w:t xml:space="preserve">Topic: Antimicrobial Resistance (AMR) — A Growing Global Public Health Threat</w:t>
      </w:r>
    </w:p>
    <w:p>
      <w:pPr>
        <w:spacing w:after="300"/>
        <w:jc w:val="center"/>
      </w:pPr>
      <w:r>
        <w:rPr>
          <w:rFonts w:ascii="Calibri" w:cs="Calibri" w:eastAsia="Calibri" w:hAnsi="Calibri"/>
          <w:i/>
          <w:iCs/>
          <w:color w:val="595959"/>
          <w:sz w:val="20"/>
          <w:szCs w:val="20"/>
        </w:rPr>
        <w:t xml:space="preserve">Prepared by: Medical Writing Intern  |  Week 1 Task: Research and Planning</w:t>
      </w:r>
    </w:p>
    <w:p>
      <w:pPr>
        <w:pStyle w:val="Heading1"/>
        <w:spacing w:after="160" w:before="320"/>
      </w:pPr>
      <w:r>
        <w:t xml:space="preserve">1. Topic Selection and Rationale</w:t>
      </w:r>
    </w:p>
    <w:p>
      <w:pPr>
        <w:spacing w:after="160" w:line="276"/>
      </w:pPr>
      <w:r>
        <w:rPr>
          <w:rFonts w:ascii="Calibri" w:cs="Calibri" w:eastAsia="Calibri" w:hAnsi="Calibri"/>
          <w:sz w:val="22"/>
          <w:szCs w:val="22"/>
        </w:rPr>
        <w:t xml:space="preserve">The topic selected for this article is Antimicrobial Resistance (AMR): the phenomenon by which bacteria, viruses, fungi, and parasites evolve to no longer respond to the medicines designed to treat them. AMR was chosen because it currently ranks among the most urgent and fast-evolving threats to global public health, cutting across human medicine, veterinary care, agriculture, and environmental health. Recent surveillance data from the WHO's Global Antimicrobial Resistance and Use Surveillance System (GLASS) show that approximately one in six common bacterial infections reported in 2023 was already resistant to standard antibiotic treatment, with resistance levels climbing between 5 and 15 percent annually across many pathogen–drug combinations. In 2021 alone, an estimated 4.71 million deaths worldwide were associated with bacterial AMR, and projections warn of up to 39 million deaths by 2050 if the trend continues unchecked.</w:t>
      </w:r>
    </w:p>
    <w:p>
      <w:pPr>
        <w:spacing w:after="160" w:line="276"/>
      </w:pPr>
      <w:r>
        <w:rPr>
          <w:rFonts w:ascii="Calibri" w:cs="Calibri" w:eastAsia="Calibri" w:hAnsi="Calibri"/>
          <w:sz w:val="22"/>
          <w:szCs w:val="22"/>
        </w:rPr>
        <w:t xml:space="preserve">Beyond the mortality figures, AMR threatens to undermine the safety of routine medical procedures such as surgery, chemotherapy, and organ transplantation, all of which depend on effective antibiotics to prevent and treat infection. The topic is also highly newsworthy: in May 2026 the 79th World Health Assembly formally adopted an updated Global Action Plan on Antimicrobial Resistance covering 2026–2036, signaling renewed international urgency and providing a timely policy hook for a medical article. Because AMR sits at the intersection of clinical practice, public health policy, and everyday antibiotic use, it offers rich material for an article that can inform both healthcare professionals and general readers about a threat that is often underappreciated until it affects them directly.</w:t>
      </w:r>
    </w:p>
    <w:p>
      <w:pPr>
        <w:pStyle w:val="Heading1"/>
        <w:spacing w:after="160" w:before="320"/>
      </w:pPr>
      <w:r>
        <w:t xml:space="preserve">2. Article Objectives</w:t>
      </w:r>
    </w:p>
    <w:p>
      <w:pPr>
        <w:spacing w:after="160" w:line="276"/>
      </w:pPr>
      <w:r>
        <w:rPr>
          <w:rFonts w:ascii="Calibri" w:cs="Calibri" w:eastAsia="Calibri" w:hAnsi="Calibri"/>
          <w:sz w:val="22"/>
          <w:szCs w:val="22"/>
        </w:rPr>
        <w:t xml:space="preserve">The article aims to achieve the following objectives, each of which will shape the structure and depth of the final piece:</w:t>
      </w:r>
    </w:p>
    <w:p>
      <w:pPr>
        <w:pStyle w:val="ListParagraph"/>
        <w:numPr>
          <w:ilvl w:val="0"/>
          <w:numId w:val="2"/>
        </w:numPr>
        <w:spacing w:after="100" w:line="276"/>
      </w:pPr>
      <w:r>
        <w:rPr>
          <w:rFonts w:ascii="Calibri" w:cs="Calibri" w:eastAsia="Calibri" w:hAnsi="Calibri"/>
          <w:sz w:val="22"/>
          <w:szCs w:val="22"/>
        </w:rPr>
        <w:t xml:space="preserve">Explain, in accessible language, what antimicrobial resistance is and the biological mechanisms by which it develops and spreads.</w:t>
      </w:r>
    </w:p>
    <w:p>
      <w:pPr>
        <w:pStyle w:val="ListParagraph"/>
        <w:numPr>
          <w:ilvl w:val="0"/>
          <w:numId w:val="2"/>
        </w:numPr>
        <w:spacing w:after="100" w:line="276"/>
      </w:pPr>
      <w:r>
        <w:rPr>
          <w:rFonts w:ascii="Calibri" w:cs="Calibri" w:eastAsia="Calibri" w:hAnsi="Calibri"/>
          <w:sz w:val="22"/>
          <w:szCs w:val="22"/>
        </w:rPr>
        <w:t xml:space="preserve">Summarize the current global burden of AMR using the most recent WHO and GLASS surveillance data.</w:t>
      </w:r>
    </w:p>
    <w:p>
      <w:pPr>
        <w:pStyle w:val="ListParagraph"/>
        <w:numPr>
          <w:ilvl w:val="0"/>
          <w:numId w:val="2"/>
        </w:numPr>
        <w:spacing w:after="100" w:line="276"/>
      </w:pPr>
      <w:r>
        <w:rPr>
          <w:rFonts w:ascii="Calibri" w:cs="Calibri" w:eastAsia="Calibri" w:hAnsi="Calibri"/>
          <w:sz w:val="22"/>
          <w:szCs w:val="22"/>
        </w:rPr>
        <w:t xml:space="preserve">Identify the key drivers of AMR, including overuse and misuse of antibiotics in human health, agriculture, and animal husbandry.</w:t>
      </w:r>
    </w:p>
    <w:p>
      <w:pPr>
        <w:pStyle w:val="ListParagraph"/>
        <w:numPr>
          <w:ilvl w:val="0"/>
          <w:numId w:val="2"/>
        </w:numPr>
        <w:spacing w:after="100" w:line="276"/>
      </w:pPr>
      <w:r>
        <w:rPr>
          <w:rFonts w:ascii="Calibri" w:cs="Calibri" w:eastAsia="Calibri" w:hAnsi="Calibri"/>
          <w:sz w:val="22"/>
          <w:szCs w:val="22"/>
        </w:rPr>
        <w:t xml:space="preserve">Describe the public health, economic, and clinical consequences of unchecked resistance.</w:t>
      </w:r>
    </w:p>
    <w:p>
      <w:pPr>
        <w:pStyle w:val="ListParagraph"/>
        <w:numPr>
          <w:ilvl w:val="0"/>
          <w:numId w:val="2"/>
        </w:numPr>
        <w:spacing w:after="100" w:line="276"/>
      </w:pPr>
      <w:r>
        <w:rPr>
          <w:rFonts w:ascii="Calibri" w:cs="Calibri" w:eastAsia="Calibri" w:hAnsi="Calibri"/>
          <w:sz w:val="22"/>
          <w:szCs w:val="22"/>
        </w:rPr>
        <w:t xml:space="preserve">Outline current global and national response strategies, including the WHO's 2026–2036 Global Action Plan.</w:t>
      </w:r>
    </w:p>
    <w:p>
      <w:pPr>
        <w:pStyle w:val="ListParagraph"/>
        <w:numPr>
          <w:ilvl w:val="0"/>
          <w:numId w:val="2"/>
        </w:numPr>
        <w:spacing w:after="100" w:line="276"/>
      </w:pPr>
      <w:r>
        <w:rPr>
          <w:rFonts w:ascii="Calibri" w:cs="Calibri" w:eastAsia="Calibri" w:hAnsi="Calibri"/>
          <w:sz w:val="22"/>
          <w:szCs w:val="22"/>
        </w:rPr>
        <w:t xml:space="preserve">Provide practical, evidence-based recommendations for clinicians, policymakers, and the public to help slow the spread of resistance.</w:t>
      </w:r>
    </w:p>
    <w:p>
      <w:pPr>
        <w:pStyle w:val="Heading1"/>
        <w:spacing w:after="160" w:before="320"/>
      </w:pPr>
      <w:r>
        <w:t xml:space="preserve">3. Literature Search Summary</w:t>
      </w:r>
    </w:p>
    <w:p>
      <w:pPr>
        <w:spacing w:after="160" w:line="276"/>
      </w:pPr>
      <w:r>
        <w:rPr>
          <w:rFonts w:ascii="Calibri" w:cs="Calibri" w:eastAsia="Calibri" w:hAnsi="Calibri"/>
          <w:sz w:val="22"/>
          <w:szCs w:val="22"/>
        </w:rPr>
        <w:t xml:space="preserve">A structured literature search was conducted using PubMed, the World Health Organization (WHO) website, and the U.S. Centers for Disease Control and Prevention (CDC) resources, focusing on publications and reports issued within the last two years to ensure the article reflects the most current understanding of AMR. The five credible sources identified below informed the key findings, statistics, and policy context used throughout the planning process.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3100"/>
        <w:gridCol w:w="2100"/>
        <w:gridCol w:w="3600"/>
      </w:tblGrid>
      <w:tr>
        <w:tc>
          <w:tcPr>
            <w:tcW w:type="dxa" w:w="500"/>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w:t>
            </w:r>
          </w:p>
        </w:tc>
        <w:tc>
          <w:tcPr>
            <w:tcW w:type="dxa" w:w="3100"/>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Source</w:t>
            </w:r>
          </w:p>
        </w:tc>
        <w:tc>
          <w:tcPr>
            <w:tcW w:type="dxa" w:w="2100"/>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Publisher / Type</w:t>
            </w:r>
          </w:p>
        </w:tc>
        <w:tc>
          <w:tcPr>
            <w:tcW w:type="dxa" w:w="3600"/>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Key Finding</w:t>
            </w:r>
          </w:p>
        </w:tc>
      </w:tr>
      <w:tr>
        <w:tc>
          <w:tcPr>
            <w:tcW w:type="dxa" w:w="500"/>
            <w:tcMar>
              <w:top w:type="dxa" w:w="100"/>
              <w:left w:type="dxa" w:w="120"/>
              <w:bottom w:type="dxa" w:w="100"/>
              <w:right w:type="dxa" w:w="120"/>
            </w:tcMar>
          </w:tcPr>
          <w:p>
            <w:r>
              <w:rPr>
                <w:rFonts w:ascii="Calibri" w:cs="Calibri" w:eastAsia="Calibri" w:hAnsi="Calibri"/>
                <w:b w:val="false"/>
                <w:bCs w:val="false"/>
                <w:color w:val="000000"/>
                <w:sz w:val="20"/>
                <w:szCs w:val="20"/>
              </w:rPr>
              <w:t xml:space="preserve">1</w:t>
            </w:r>
          </w:p>
        </w:tc>
        <w:tc>
          <w:tcPr>
            <w:tcW w:type="dxa" w:w="3100"/>
            <w:tcMar>
              <w:top w:type="dxa" w:w="100"/>
              <w:left w:type="dxa" w:w="120"/>
              <w:bottom w:type="dxa" w:w="100"/>
              <w:right w:type="dxa" w:w="120"/>
            </w:tcMar>
          </w:tcPr>
          <w:p>
            <w:r>
              <w:rPr>
                <w:rFonts w:ascii="Calibri" w:cs="Calibri" w:eastAsia="Calibri" w:hAnsi="Calibri"/>
                <w:b w:val="false"/>
                <w:bCs w:val="false"/>
                <w:color w:val="000000"/>
                <w:sz w:val="20"/>
                <w:szCs w:val="20"/>
              </w:rPr>
              <w:t xml:space="preserve">Global Action Plan on Antimicrobial Resistance 2026–2036 (79th World Health Assembly)</w:t>
            </w:r>
          </w:p>
        </w:tc>
        <w:tc>
          <w:tcPr>
            <w:tcW w:type="dxa" w:w="2100"/>
            <w:tcMar>
              <w:top w:type="dxa" w:w="100"/>
              <w:left w:type="dxa" w:w="120"/>
              <w:bottom w:type="dxa" w:w="100"/>
              <w:right w:type="dxa" w:w="120"/>
            </w:tcMar>
          </w:tcPr>
          <w:p>
            <w:r>
              <w:rPr>
                <w:rFonts w:ascii="Calibri" w:cs="Calibri" w:eastAsia="Calibri" w:hAnsi="Calibri"/>
                <w:b w:val="false"/>
                <w:bCs w:val="false"/>
                <w:color w:val="000000"/>
                <w:sz w:val="20"/>
                <w:szCs w:val="20"/>
              </w:rPr>
              <w:t xml:space="preserve">WHO – policy document</w:t>
            </w:r>
          </w:p>
        </w:tc>
        <w:tc>
          <w:tcPr>
            <w:tcW w:type="dxa" w:w="3600"/>
            <w:tcMar>
              <w:top w:type="dxa" w:w="100"/>
              <w:left w:type="dxa" w:w="120"/>
              <w:bottom w:type="dxa" w:w="100"/>
              <w:right w:type="dxa" w:w="120"/>
            </w:tcMar>
          </w:tcPr>
          <w:p>
            <w:r>
              <w:rPr>
                <w:rFonts w:ascii="Calibri" w:cs="Calibri" w:eastAsia="Calibri" w:hAnsi="Calibri"/>
                <w:b w:val="false"/>
                <w:bCs w:val="false"/>
                <w:color w:val="000000"/>
                <w:sz w:val="20"/>
                <w:szCs w:val="20"/>
              </w:rPr>
              <w:t xml:space="preserve">Member states adopted a renewed 10-year global roadmap emphasizing a One Health approach linking human, animal, plant, and environmental health.</w:t>
            </w:r>
          </w:p>
        </w:tc>
      </w:tr>
      <w:tr>
        <w:tc>
          <w:tcPr>
            <w:tcW w:type="dxa" w:w="500"/>
            <w:tcMar>
              <w:top w:type="dxa" w:w="100"/>
              <w:left w:type="dxa" w:w="120"/>
              <w:bottom w:type="dxa" w:w="100"/>
              <w:right w:type="dxa" w:w="120"/>
            </w:tcMar>
          </w:tcPr>
          <w:p>
            <w:r>
              <w:rPr>
                <w:rFonts w:ascii="Calibri" w:cs="Calibri" w:eastAsia="Calibri" w:hAnsi="Calibri"/>
                <w:b w:val="false"/>
                <w:bCs w:val="false"/>
                <w:color w:val="000000"/>
                <w:sz w:val="20"/>
                <w:szCs w:val="20"/>
              </w:rPr>
              <w:t xml:space="preserve">2</w:t>
            </w:r>
          </w:p>
        </w:tc>
        <w:tc>
          <w:tcPr>
            <w:tcW w:type="dxa" w:w="3100"/>
            <w:tcMar>
              <w:top w:type="dxa" w:w="100"/>
              <w:left w:type="dxa" w:w="120"/>
              <w:bottom w:type="dxa" w:w="100"/>
              <w:right w:type="dxa" w:w="120"/>
            </w:tcMar>
          </w:tcPr>
          <w:p>
            <w:r>
              <w:rPr>
                <w:rFonts w:ascii="Calibri" w:cs="Calibri" w:eastAsia="Calibri" w:hAnsi="Calibri"/>
                <w:b w:val="false"/>
                <w:bCs w:val="false"/>
                <w:color w:val="000000"/>
                <w:sz w:val="20"/>
                <w:szCs w:val="20"/>
              </w:rPr>
              <w:t xml:space="preserve">WHO Global Antimicrobial Resistance and Use Surveillance System (GLASS) report</w:t>
            </w:r>
          </w:p>
        </w:tc>
        <w:tc>
          <w:tcPr>
            <w:tcW w:type="dxa" w:w="2100"/>
            <w:tcMar>
              <w:top w:type="dxa" w:w="100"/>
              <w:left w:type="dxa" w:w="120"/>
              <w:bottom w:type="dxa" w:w="100"/>
              <w:right w:type="dxa" w:w="120"/>
            </w:tcMar>
          </w:tcPr>
          <w:p>
            <w:r>
              <w:rPr>
                <w:rFonts w:ascii="Calibri" w:cs="Calibri" w:eastAsia="Calibri" w:hAnsi="Calibri"/>
                <w:b w:val="false"/>
                <w:bCs w:val="false"/>
                <w:color w:val="000000"/>
                <w:sz w:val="20"/>
                <w:szCs w:val="20"/>
              </w:rPr>
              <w:t xml:space="preserve">WHO – surveillance report</w:t>
            </w:r>
          </w:p>
        </w:tc>
        <w:tc>
          <w:tcPr>
            <w:tcW w:type="dxa" w:w="3600"/>
            <w:tcMar>
              <w:top w:type="dxa" w:w="100"/>
              <w:left w:type="dxa" w:w="120"/>
              <w:bottom w:type="dxa" w:w="100"/>
              <w:right w:type="dxa" w:w="120"/>
            </w:tcMar>
          </w:tcPr>
          <w:p>
            <w:r>
              <w:rPr>
                <w:rFonts w:ascii="Calibri" w:cs="Calibri" w:eastAsia="Calibri" w:hAnsi="Calibri"/>
                <w:b w:val="false"/>
                <w:bCs w:val="false"/>
                <w:color w:val="000000"/>
                <w:sz w:val="20"/>
                <w:szCs w:val="20"/>
              </w:rPr>
              <w:t xml:space="preserve">One in six common bacterial infections reported in 2023 was resistant to antibiotic treatment; resistance is rising 5–15% annually across drug–pathogen combinations.</w:t>
            </w:r>
          </w:p>
        </w:tc>
      </w:tr>
      <w:tr>
        <w:tc>
          <w:tcPr>
            <w:tcW w:type="dxa" w:w="500"/>
            <w:tcMar>
              <w:top w:type="dxa" w:w="100"/>
              <w:left w:type="dxa" w:w="120"/>
              <w:bottom w:type="dxa" w:w="100"/>
              <w:right w:type="dxa" w:w="120"/>
            </w:tcMar>
          </w:tcPr>
          <w:p>
            <w:r>
              <w:rPr>
                <w:rFonts w:ascii="Calibri" w:cs="Calibri" w:eastAsia="Calibri" w:hAnsi="Calibri"/>
                <w:b w:val="false"/>
                <w:bCs w:val="false"/>
                <w:color w:val="000000"/>
                <w:sz w:val="20"/>
                <w:szCs w:val="20"/>
              </w:rPr>
              <w:t xml:space="preserve">3</w:t>
            </w:r>
          </w:p>
        </w:tc>
        <w:tc>
          <w:tcPr>
            <w:tcW w:type="dxa" w:w="3100"/>
            <w:tcMar>
              <w:top w:type="dxa" w:w="100"/>
              <w:left w:type="dxa" w:w="120"/>
              <w:bottom w:type="dxa" w:w="100"/>
              <w:right w:type="dxa" w:w="120"/>
            </w:tcMar>
          </w:tcPr>
          <w:p>
            <w:r>
              <w:rPr>
                <w:rFonts w:ascii="Calibri" w:cs="Calibri" w:eastAsia="Calibri" w:hAnsi="Calibri"/>
                <w:b w:val="false"/>
                <w:bCs w:val="false"/>
                <w:color w:val="000000"/>
                <w:sz w:val="20"/>
                <w:szCs w:val="20"/>
              </w:rPr>
              <w:t xml:space="preserve">WHO global report on antibiotic resistance prevalence and trends (2023 data, 104 countries)</w:t>
            </w:r>
          </w:p>
        </w:tc>
        <w:tc>
          <w:tcPr>
            <w:tcW w:type="dxa" w:w="2100"/>
            <w:tcMar>
              <w:top w:type="dxa" w:w="100"/>
              <w:left w:type="dxa" w:w="120"/>
              <w:bottom w:type="dxa" w:w="100"/>
              <w:right w:type="dxa" w:w="120"/>
            </w:tcMar>
          </w:tcPr>
          <w:p>
            <w:r>
              <w:rPr>
                <w:rFonts w:ascii="Calibri" w:cs="Calibri" w:eastAsia="Calibri" w:hAnsi="Calibri"/>
                <w:b w:val="false"/>
                <w:bCs w:val="false"/>
                <w:color w:val="000000"/>
                <w:sz w:val="20"/>
                <w:szCs w:val="20"/>
              </w:rPr>
              <w:t xml:space="preserve">WHO – technical report</w:t>
            </w:r>
          </w:p>
        </w:tc>
        <w:tc>
          <w:tcPr>
            <w:tcW w:type="dxa" w:w="3600"/>
            <w:tcMar>
              <w:top w:type="dxa" w:w="100"/>
              <w:left w:type="dxa" w:w="120"/>
              <w:bottom w:type="dxa" w:w="100"/>
              <w:right w:type="dxa" w:w="120"/>
            </w:tcMar>
          </w:tcPr>
          <w:p>
            <w:r>
              <w:rPr>
                <w:rFonts w:ascii="Calibri" w:cs="Calibri" w:eastAsia="Calibri" w:hAnsi="Calibri"/>
                <w:b w:val="false"/>
                <w:bCs w:val="false"/>
                <w:color w:val="000000"/>
                <w:sz w:val="20"/>
                <w:szCs w:val="20"/>
              </w:rPr>
              <w:t xml:space="preserve">Analysis of over 23 million confirmed infections shows uneven regional resistance levels and a growing threat from Gram-negative pathogens such as E. coli and K. pneumoniae.</w:t>
            </w:r>
          </w:p>
        </w:tc>
      </w:tr>
      <w:tr>
        <w:tc>
          <w:tcPr>
            <w:tcW w:type="dxa" w:w="500"/>
            <w:tcMar>
              <w:top w:type="dxa" w:w="100"/>
              <w:left w:type="dxa" w:w="120"/>
              <w:bottom w:type="dxa" w:w="100"/>
              <w:right w:type="dxa" w:w="120"/>
            </w:tcMar>
          </w:tcPr>
          <w:p>
            <w:r>
              <w:rPr>
                <w:rFonts w:ascii="Calibri" w:cs="Calibri" w:eastAsia="Calibri" w:hAnsi="Calibri"/>
                <w:b w:val="false"/>
                <w:bCs w:val="false"/>
                <w:color w:val="000000"/>
                <w:sz w:val="20"/>
                <w:szCs w:val="20"/>
              </w:rPr>
              <w:t xml:space="preserve">4</w:t>
            </w:r>
          </w:p>
        </w:tc>
        <w:tc>
          <w:tcPr>
            <w:tcW w:type="dxa" w:w="3100"/>
            <w:tcMar>
              <w:top w:type="dxa" w:w="100"/>
              <w:left w:type="dxa" w:w="120"/>
              <w:bottom w:type="dxa" w:w="100"/>
              <w:right w:type="dxa" w:w="120"/>
            </w:tcMar>
          </w:tcPr>
          <w:p>
            <w:r>
              <w:rPr>
                <w:rFonts w:ascii="Calibri" w:cs="Calibri" w:eastAsia="Calibri" w:hAnsi="Calibri"/>
                <w:b w:val="false"/>
                <w:bCs w:val="false"/>
                <w:color w:val="000000"/>
                <w:sz w:val="20"/>
                <w:szCs w:val="20"/>
              </w:rPr>
              <w:t xml:space="preserve">Global Call to Action to Address Antimicrobial Resistance</w:t>
            </w:r>
          </w:p>
        </w:tc>
        <w:tc>
          <w:tcPr>
            <w:tcW w:type="dxa" w:w="2100"/>
            <w:tcMar>
              <w:top w:type="dxa" w:w="100"/>
              <w:left w:type="dxa" w:w="120"/>
              <w:bottom w:type="dxa" w:w="100"/>
              <w:right w:type="dxa" w:w="120"/>
            </w:tcMar>
          </w:tcPr>
          <w:p>
            <w:r>
              <w:rPr>
                <w:rFonts w:ascii="Calibri" w:cs="Calibri" w:eastAsia="Calibri" w:hAnsi="Calibri"/>
                <w:b w:val="false"/>
                <w:bCs w:val="false"/>
                <w:color w:val="000000"/>
                <w:sz w:val="20"/>
                <w:szCs w:val="20"/>
              </w:rPr>
              <w:t xml:space="preserve">WHO – strategic document</w:t>
            </w:r>
          </w:p>
        </w:tc>
        <w:tc>
          <w:tcPr>
            <w:tcW w:type="dxa" w:w="3600"/>
            <w:tcMar>
              <w:top w:type="dxa" w:w="100"/>
              <w:left w:type="dxa" w:w="120"/>
              <w:bottom w:type="dxa" w:w="100"/>
              <w:right w:type="dxa" w:w="120"/>
            </w:tcMar>
          </w:tcPr>
          <w:p>
            <w:r>
              <w:rPr>
                <w:rFonts w:ascii="Calibri" w:cs="Calibri" w:eastAsia="Calibri" w:hAnsi="Calibri"/>
                <w:b w:val="false"/>
                <w:bCs w:val="false"/>
                <w:color w:val="000000"/>
                <w:sz w:val="20"/>
                <w:szCs w:val="20"/>
              </w:rPr>
              <w:t xml:space="preserve">Sets measurable targets, including a 10% reduction in AMR-related deaths by 2030 and expanding surveillance capacity to 80% of countries.</w:t>
            </w:r>
          </w:p>
        </w:tc>
      </w:tr>
      <w:tr>
        <w:tc>
          <w:tcPr>
            <w:tcW w:type="dxa" w:w="500"/>
            <w:tcMar>
              <w:top w:type="dxa" w:w="100"/>
              <w:left w:type="dxa" w:w="120"/>
              <w:bottom w:type="dxa" w:w="100"/>
              <w:right w:type="dxa" w:w="120"/>
            </w:tcMar>
          </w:tcPr>
          <w:p>
            <w:r>
              <w:rPr>
                <w:rFonts w:ascii="Calibri" w:cs="Calibri" w:eastAsia="Calibri" w:hAnsi="Calibri"/>
                <w:b w:val="false"/>
                <w:bCs w:val="false"/>
                <w:color w:val="000000"/>
                <w:sz w:val="20"/>
                <w:szCs w:val="20"/>
              </w:rPr>
              <w:t xml:space="preserve">5</w:t>
            </w:r>
          </w:p>
        </w:tc>
        <w:tc>
          <w:tcPr>
            <w:tcW w:type="dxa" w:w="3100"/>
            <w:tcMar>
              <w:top w:type="dxa" w:w="100"/>
              <w:left w:type="dxa" w:w="120"/>
              <w:bottom w:type="dxa" w:w="100"/>
              <w:right w:type="dxa" w:w="120"/>
            </w:tcMar>
          </w:tcPr>
          <w:p>
            <w:r>
              <w:rPr>
                <w:rFonts w:ascii="Calibri" w:cs="Calibri" w:eastAsia="Calibri" w:hAnsi="Calibri"/>
                <w:b w:val="false"/>
                <w:bCs w:val="false"/>
                <w:color w:val="000000"/>
                <w:sz w:val="20"/>
                <w:szCs w:val="20"/>
              </w:rPr>
              <w:t xml:space="preserve">National AMR fact sheets and roadmaps (e.g., UK 20-year vision; national action plans)</w:t>
            </w:r>
          </w:p>
        </w:tc>
        <w:tc>
          <w:tcPr>
            <w:tcW w:type="dxa" w:w="2100"/>
            <w:tcMar>
              <w:top w:type="dxa" w:w="100"/>
              <w:left w:type="dxa" w:w="120"/>
              <w:bottom w:type="dxa" w:w="100"/>
              <w:right w:type="dxa" w:w="120"/>
            </w:tcMar>
          </w:tcPr>
          <w:p>
            <w:r>
              <w:rPr>
                <w:rFonts w:ascii="Calibri" w:cs="Calibri" w:eastAsia="Calibri" w:hAnsi="Calibri"/>
                <w:b w:val="false"/>
                <w:bCs w:val="false"/>
                <w:color w:val="000000"/>
                <w:sz w:val="20"/>
                <w:szCs w:val="20"/>
              </w:rPr>
              <w:t xml:space="preserve">National health authorities</w:t>
            </w:r>
          </w:p>
        </w:tc>
        <w:tc>
          <w:tcPr>
            <w:tcW w:type="dxa" w:w="3600"/>
            <w:tcMar>
              <w:top w:type="dxa" w:w="100"/>
              <w:left w:type="dxa" w:w="120"/>
              <w:bottom w:type="dxa" w:w="100"/>
              <w:right w:type="dxa" w:w="120"/>
            </w:tcMar>
          </w:tcPr>
          <w:p>
            <w:r>
              <w:rPr>
                <w:rFonts w:ascii="Calibri" w:cs="Calibri" w:eastAsia="Calibri" w:hAnsi="Calibri"/>
                <w:b w:val="false"/>
                <w:bCs w:val="false"/>
                <w:color w:val="000000"/>
                <w:sz w:val="20"/>
                <w:szCs w:val="20"/>
              </w:rPr>
              <w:t xml:space="preserve">Country-level plans translate global targets into local stewardship, infection prevention, and sanitation actions, illustrating real-world implementation.</w:t>
            </w:r>
          </w:p>
        </w:tc>
      </w:tr>
    </w:tbl>
    <w:p>
      <w:pPr>
        <w:spacing w:after="160" w:line="276"/>
      </w:pPr>
      <w:r>
        <w:rPr>
          <w:rFonts w:ascii="Calibri" w:cs="Calibri" w:eastAsia="Calibri" w:hAnsi="Calibri"/>
          <w:sz w:val="22"/>
          <w:szCs w:val="22"/>
        </w:rPr>
        <w:t xml:space="preserve"/>
      </w:r>
    </w:p>
    <w:p>
      <w:pPr>
        <w:spacing w:after="160" w:line="276"/>
      </w:pPr>
      <w:r>
        <w:rPr>
          <w:rFonts w:ascii="Calibri" w:cs="Calibri" w:eastAsia="Calibri" w:hAnsi="Calibri"/>
          <w:sz w:val="22"/>
          <w:szCs w:val="22"/>
        </w:rPr>
        <w:t xml:space="preserve">Across these sources, several consistent themes emerged: resistance is rising steadily and disproportionately affects low- and middle-income countries; Gram-negative pathogens are an especially urgent concern; and international bodies increasingly favor a 'One Health' approach that treats human, animal, and environmental health as interconnected. These themes will guide the subtopic selection and argument structure of the final article.</w:t>
      </w:r>
    </w:p>
    <w:p>
      <w:pPr>
        <w:pStyle w:val="Heading1"/>
        <w:spacing w:after="160" w:before="320"/>
      </w:pPr>
      <w:r>
        <w:t xml:space="preserve">4. Detailed Article Plan</w:t>
      </w:r>
    </w:p>
    <w:p>
      <w:pPr>
        <w:pStyle w:val="Heading2"/>
        <w:spacing w:after="120" w:before="240"/>
      </w:pPr>
      <w:r>
        <w:t xml:space="preserve">4.1 Introduction</w:t>
      </w:r>
    </w:p>
    <w:p>
      <w:pPr>
        <w:spacing w:after="160" w:line="276"/>
      </w:pPr>
      <w:r>
        <w:rPr>
          <w:rFonts w:ascii="Calibri" w:cs="Calibri" w:eastAsia="Calibri" w:hAnsi="Calibri"/>
          <w:sz w:val="22"/>
          <w:szCs w:val="22"/>
        </w:rPr>
        <w:t xml:space="preserve">The introduction will open with a striking statistic — one in six bacterial infections globally is now resistant to standard treatment — to immediately establish the stakes for the reader. It will briefly define AMR, explain why it matters to both clinicians and the general public, and preview the structure of the article. The introduction is expected to run 150–200 words and will close with a clear statement of the article's purpose: to explain the scope of the AMR crisis and what can realistically be done about it.</w:t>
      </w:r>
    </w:p>
    <w:p>
      <w:pPr>
        <w:pStyle w:val="Heading2"/>
        <w:spacing w:after="120" w:before="240"/>
      </w:pPr>
      <w:r>
        <w:t xml:space="preserve">4.2 Objectives (Restated for the Reader)</w:t>
      </w:r>
    </w:p>
    <w:p>
      <w:pPr>
        <w:spacing w:after="160" w:line="276"/>
      </w:pPr>
      <w:r>
        <w:rPr>
          <w:rFonts w:ascii="Calibri" w:cs="Calibri" w:eastAsia="Calibri" w:hAnsi="Calibri"/>
          <w:sz w:val="22"/>
          <w:szCs w:val="22"/>
        </w:rPr>
        <w:t xml:space="preserve">This section will restate, in reader-facing language, what the article sets out to accomplish: building understanding of AMR's causes, scale, consequences, and possible solutions. It bridges the introduction and the body sections, giving readers a roadmap of what to expect.</w:t>
      </w:r>
    </w:p>
    <w:p>
      <w:pPr>
        <w:pStyle w:val="Heading2"/>
        <w:spacing w:after="120" w:before="240"/>
      </w:pPr>
      <w:r>
        <w:t xml:space="preserve">4.3 Potential Subtopics</w:t>
      </w:r>
    </w:p>
    <w:p>
      <w:pPr>
        <w:pStyle w:val="ListParagraph"/>
        <w:numPr>
          <w:ilvl w:val="0"/>
          <w:numId w:val="2"/>
        </w:numPr>
        <w:spacing w:after="100" w:line="276"/>
      </w:pPr>
      <w:r>
        <w:rPr>
          <w:rFonts w:ascii="Calibri" w:cs="Calibri" w:eastAsia="Calibri" w:hAnsi="Calibri"/>
          <w:sz w:val="22"/>
          <w:szCs w:val="22"/>
        </w:rPr>
        <w:t xml:space="preserve">What is antimicrobial resistance? Mechanisms of resistance development (mutation, gene transfer, selective pressure).</w:t>
      </w:r>
    </w:p>
    <w:p>
      <w:pPr>
        <w:pStyle w:val="ListParagraph"/>
        <w:numPr>
          <w:ilvl w:val="0"/>
          <w:numId w:val="2"/>
        </w:numPr>
        <w:spacing w:after="100" w:line="276"/>
      </w:pPr>
      <w:r>
        <w:rPr>
          <w:rFonts w:ascii="Calibri" w:cs="Calibri" w:eastAsia="Calibri" w:hAnsi="Calibri"/>
          <w:sz w:val="22"/>
          <w:szCs w:val="22"/>
        </w:rPr>
        <w:t xml:space="preserve">The scale of the problem: global and regional statistics from GLASS and WHO surveillance data.</w:t>
      </w:r>
    </w:p>
    <w:p>
      <w:pPr>
        <w:pStyle w:val="ListParagraph"/>
        <w:numPr>
          <w:ilvl w:val="0"/>
          <w:numId w:val="2"/>
        </w:numPr>
        <w:spacing w:after="100" w:line="276"/>
      </w:pPr>
      <w:r>
        <w:rPr>
          <w:rFonts w:ascii="Calibri" w:cs="Calibri" w:eastAsia="Calibri" w:hAnsi="Calibri"/>
          <w:sz w:val="22"/>
          <w:szCs w:val="22"/>
        </w:rPr>
        <w:t xml:space="preserve">Key drivers: overprescription, patient non-adherence, agricultural antibiotic use, weak infection control, and substandard medicines.</w:t>
      </w:r>
    </w:p>
    <w:p>
      <w:pPr>
        <w:pStyle w:val="ListParagraph"/>
        <w:numPr>
          <w:ilvl w:val="0"/>
          <w:numId w:val="2"/>
        </w:numPr>
        <w:spacing w:after="100" w:line="276"/>
      </w:pPr>
      <w:r>
        <w:rPr>
          <w:rFonts w:ascii="Calibri" w:cs="Calibri" w:eastAsia="Calibri" w:hAnsi="Calibri"/>
          <w:sz w:val="22"/>
          <w:szCs w:val="22"/>
        </w:rPr>
        <w:t xml:space="preserve">High-risk pathogens: focus on Gram-negative bacteria such as E. coli and K. pneumoniae.</w:t>
      </w:r>
    </w:p>
    <w:p>
      <w:pPr>
        <w:pStyle w:val="ListParagraph"/>
        <w:numPr>
          <w:ilvl w:val="0"/>
          <w:numId w:val="2"/>
        </w:numPr>
        <w:spacing w:after="100" w:line="276"/>
      </w:pPr>
      <w:r>
        <w:rPr>
          <w:rFonts w:ascii="Calibri" w:cs="Calibri" w:eastAsia="Calibri" w:hAnsi="Calibri"/>
          <w:sz w:val="22"/>
          <w:szCs w:val="22"/>
        </w:rPr>
        <w:t xml:space="preserve">Clinical and economic consequences: threats to surgery, cancer therapy, and projected global costs (estimated at hundreds of billions of dollars by 2035).</w:t>
      </w:r>
    </w:p>
    <w:p>
      <w:pPr>
        <w:pStyle w:val="ListParagraph"/>
        <w:numPr>
          <w:ilvl w:val="0"/>
          <w:numId w:val="2"/>
        </w:numPr>
        <w:spacing w:after="100" w:line="276"/>
      </w:pPr>
      <w:r>
        <w:rPr>
          <w:rFonts w:ascii="Calibri" w:cs="Calibri" w:eastAsia="Calibri" w:hAnsi="Calibri"/>
          <w:sz w:val="22"/>
          <w:szCs w:val="22"/>
        </w:rPr>
        <w:t xml:space="preserve">Global response: the WHO Global Action Plan on AMR 2026–2036 and the One Health framework.</w:t>
      </w:r>
    </w:p>
    <w:p>
      <w:pPr>
        <w:pStyle w:val="ListParagraph"/>
        <w:numPr>
          <w:ilvl w:val="0"/>
          <w:numId w:val="2"/>
        </w:numPr>
        <w:spacing w:after="100" w:line="276"/>
      </w:pPr>
      <w:r>
        <w:rPr>
          <w:rFonts w:ascii="Calibri" w:cs="Calibri" w:eastAsia="Calibri" w:hAnsi="Calibri"/>
          <w:sz w:val="22"/>
          <w:szCs w:val="22"/>
        </w:rPr>
        <w:t xml:space="preserve">What can be done: stewardship programs, vaccination, improved sanitation, and public education.</w:t>
      </w:r>
    </w:p>
    <w:p>
      <w:pPr>
        <w:pStyle w:val="Heading2"/>
        <w:spacing w:after="120" w:before="240"/>
      </w:pPr>
      <w:r>
        <w:t xml:space="preserve">4.4 Methodology</w:t>
      </w:r>
    </w:p>
    <w:p>
      <w:pPr>
        <w:spacing w:after="160" w:line="276"/>
      </w:pPr>
      <w:r>
        <w:rPr>
          <w:rFonts w:ascii="Calibri" w:cs="Calibri" w:eastAsia="Calibri" w:hAnsi="Calibri"/>
          <w:sz w:val="22"/>
          <w:szCs w:val="22"/>
        </w:rPr>
        <w:t xml:space="preserve">The article will be developed using a narrative literature review methodology. Sources will be drawn primarily from WHO publications, peer-reviewed literature indexed on PubMed, and CDC guidance documents, prioritizing material published within the past 24 months to ensure currency. Each source will be evaluated for credibility (author expertise, publisher authority, and use of primary data) before inclusion. Key statistics will be cross-checked across at least two independent sources where possible. Findings will then be synthesized thematically, following the subtopic structure outlined above, rather than summarized source-by-source, to produce a cohesive narrative rather than a disjointed literature list.</w:t>
      </w:r>
    </w:p>
    <w:p>
      <w:pPr>
        <w:pStyle w:val="Heading2"/>
        <w:spacing w:after="120" w:before="240"/>
      </w:pPr>
      <w:r>
        <w:t xml:space="preserve">4.5 Expected Sections of the Final Article</w:t>
      </w:r>
    </w:p>
    <w:p>
      <w:pPr>
        <w:pStyle w:val="ListParagraph"/>
        <w:numPr>
          <w:ilvl w:val="0"/>
          <w:numId w:val="3"/>
        </w:numPr>
        <w:spacing w:after="100" w:line="276"/>
      </w:pPr>
      <w:r>
        <w:rPr>
          <w:rFonts w:ascii="Calibri" w:cs="Calibri" w:eastAsia="Calibri" w:hAnsi="Calibri"/>
          <w:sz w:val="22"/>
          <w:szCs w:val="22"/>
        </w:rPr>
        <w:t xml:space="preserve">Introduction / Hook</w:t>
      </w:r>
    </w:p>
    <w:p>
      <w:pPr>
        <w:pStyle w:val="ListParagraph"/>
        <w:numPr>
          <w:ilvl w:val="0"/>
          <w:numId w:val="3"/>
        </w:numPr>
        <w:spacing w:after="100" w:line="276"/>
      </w:pPr>
      <w:r>
        <w:rPr>
          <w:rFonts w:ascii="Calibri" w:cs="Calibri" w:eastAsia="Calibri" w:hAnsi="Calibri"/>
          <w:sz w:val="22"/>
          <w:szCs w:val="22"/>
        </w:rPr>
        <w:t xml:space="preserve">Background: Defining AMR and How It Develops</w:t>
      </w:r>
    </w:p>
    <w:p>
      <w:pPr>
        <w:pStyle w:val="ListParagraph"/>
        <w:numPr>
          <w:ilvl w:val="0"/>
          <w:numId w:val="3"/>
        </w:numPr>
        <w:spacing w:after="100" w:line="276"/>
      </w:pPr>
      <w:r>
        <w:rPr>
          <w:rFonts w:ascii="Calibri" w:cs="Calibri" w:eastAsia="Calibri" w:hAnsi="Calibri"/>
          <w:sz w:val="22"/>
          <w:szCs w:val="22"/>
        </w:rPr>
        <w:t xml:space="preserve">The Global Burden: Data and Trends</w:t>
      </w:r>
    </w:p>
    <w:p>
      <w:pPr>
        <w:pStyle w:val="ListParagraph"/>
        <w:numPr>
          <w:ilvl w:val="0"/>
          <w:numId w:val="3"/>
        </w:numPr>
        <w:spacing w:after="100" w:line="276"/>
      </w:pPr>
      <w:r>
        <w:rPr>
          <w:rFonts w:ascii="Calibri" w:cs="Calibri" w:eastAsia="Calibri" w:hAnsi="Calibri"/>
          <w:sz w:val="22"/>
          <w:szCs w:val="22"/>
        </w:rPr>
        <w:t xml:space="preserve">Drivers and Root Causes</w:t>
      </w:r>
    </w:p>
    <w:p>
      <w:pPr>
        <w:pStyle w:val="ListParagraph"/>
        <w:numPr>
          <w:ilvl w:val="0"/>
          <w:numId w:val="3"/>
        </w:numPr>
        <w:spacing w:after="100" w:line="276"/>
      </w:pPr>
      <w:r>
        <w:rPr>
          <w:rFonts w:ascii="Calibri" w:cs="Calibri" w:eastAsia="Calibri" w:hAnsi="Calibri"/>
          <w:sz w:val="22"/>
          <w:szCs w:val="22"/>
        </w:rPr>
        <w:t xml:space="preserve">Consequences for Healthcare and Society</w:t>
      </w:r>
    </w:p>
    <w:p>
      <w:pPr>
        <w:pStyle w:val="ListParagraph"/>
        <w:numPr>
          <w:ilvl w:val="0"/>
          <w:numId w:val="3"/>
        </w:numPr>
        <w:spacing w:after="100" w:line="276"/>
      </w:pPr>
      <w:r>
        <w:rPr>
          <w:rFonts w:ascii="Calibri" w:cs="Calibri" w:eastAsia="Calibri" w:hAnsi="Calibri"/>
          <w:sz w:val="22"/>
          <w:szCs w:val="22"/>
        </w:rPr>
        <w:t xml:space="preserve">Global and National Response Efforts</w:t>
      </w:r>
    </w:p>
    <w:p>
      <w:pPr>
        <w:pStyle w:val="ListParagraph"/>
        <w:numPr>
          <w:ilvl w:val="0"/>
          <w:numId w:val="3"/>
        </w:numPr>
        <w:spacing w:after="100" w:line="276"/>
      </w:pPr>
      <w:r>
        <w:rPr>
          <w:rFonts w:ascii="Calibri" w:cs="Calibri" w:eastAsia="Calibri" w:hAnsi="Calibri"/>
          <w:sz w:val="22"/>
          <w:szCs w:val="22"/>
        </w:rPr>
        <w:t xml:space="preserve">Recommendations and Call to Action</w:t>
      </w:r>
    </w:p>
    <w:p>
      <w:pPr>
        <w:pStyle w:val="ListParagraph"/>
        <w:numPr>
          <w:ilvl w:val="0"/>
          <w:numId w:val="3"/>
        </w:numPr>
        <w:spacing w:after="100" w:line="276"/>
      </w:pPr>
      <w:r>
        <w:rPr>
          <w:rFonts w:ascii="Calibri" w:cs="Calibri" w:eastAsia="Calibri" w:hAnsi="Calibri"/>
          <w:sz w:val="22"/>
          <w:szCs w:val="22"/>
        </w:rPr>
        <w:t xml:space="preserve">Conclusion</w:t>
      </w:r>
    </w:p>
    <w:p>
      <w:pPr>
        <w:pStyle w:val="ListParagraph"/>
        <w:numPr>
          <w:ilvl w:val="0"/>
          <w:numId w:val="3"/>
        </w:numPr>
        <w:spacing w:after="100" w:line="276"/>
      </w:pPr>
      <w:r>
        <w:rPr>
          <w:rFonts w:ascii="Calibri" w:cs="Calibri" w:eastAsia="Calibri" w:hAnsi="Calibri"/>
          <w:sz w:val="22"/>
          <w:szCs w:val="22"/>
        </w:rPr>
        <w:t xml:space="preserve">References</w:t>
      </w:r>
    </w:p>
    <w:p>
      <w:pPr>
        <w:pStyle w:val="Heading2"/>
        <w:spacing w:after="120" w:before="240"/>
      </w:pPr>
      <w:r>
        <w:t xml:space="preserve">4.6 Potential Challenges</w:t>
      </w:r>
    </w:p>
    <w:p>
      <w:pPr>
        <w:pStyle w:val="ListParagraph"/>
        <w:numPr>
          <w:ilvl w:val="0"/>
          <w:numId w:val="2"/>
        </w:numPr>
        <w:spacing w:after="100" w:line="276"/>
      </w:pPr>
      <w:r>
        <w:rPr>
          <w:rFonts w:ascii="Calibri" w:cs="Calibri" w:eastAsia="Calibri" w:hAnsi="Calibri"/>
          <w:sz w:val="22"/>
          <w:szCs w:val="22"/>
        </w:rPr>
        <w:t xml:space="preserve">Data currency: AMR surveillance figures are updated frequently, so statistics must be verified close to the writing date to avoid using outdated numbers.</w:t>
      </w:r>
    </w:p>
    <w:p>
      <w:pPr>
        <w:pStyle w:val="ListParagraph"/>
        <w:numPr>
          <w:ilvl w:val="0"/>
          <w:numId w:val="2"/>
        </w:numPr>
        <w:spacing w:after="100" w:line="276"/>
      </w:pPr>
      <w:r>
        <w:rPr>
          <w:rFonts w:ascii="Calibri" w:cs="Calibri" w:eastAsia="Calibri" w:hAnsi="Calibri"/>
          <w:sz w:val="22"/>
          <w:szCs w:val="22"/>
        </w:rPr>
        <w:t xml:space="preserve">Technical complexity: microbiological and pharmacological concepts (e.g., resistance genes, mechanisms of action) must be translated into accessible language without sacrificing accuracy.</w:t>
      </w:r>
    </w:p>
    <w:p>
      <w:pPr>
        <w:pStyle w:val="ListParagraph"/>
        <w:numPr>
          <w:ilvl w:val="0"/>
          <w:numId w:val="2"/>
        </w:numPr>
        <w:spacing w:after="100" w:line="276"/>
      </w:pPr>
      <w:r>
        <w:rPr>
          <w:rFonts w:ascii="Calibri" w:cs="Calibri" w:eastAsia="Calibri" w:hAnsi="Calibri"/>
          <w:sz w:val="22"/>
          <w:szCs w:val="22"/>
        </w:rPr>
        <w:t xml:space="preserve">Scope management: AMR spans human health, veterinary medicine, agriculture, and environmental science; the article must stay focused rather than attempting to cover every angle superficially.</w:t>
      </w:r>
    </w:p>
    <w:p>
      <w:pPr>
        <w:pStyle w:val="ListParagraph"/>
        <w:numPr>
          <w:ilvl w:val="0"/>
          <w:numId w:val="2"/>
        </w:numPr>
        <w:spacing w:after="100" w:line="276"/>
      </w:pPr>
      <w:r>
        <w:rPr>
          <w:rFonts w:ascii="Calibri" w:cs="Calibri" w:eastAsia="Calibri" w:hAnsi="Calibri"/>
          <w:sz w:val="22"/>
          <w:szCs w:val="22"/>
        </w:rPr>
        <w:t xml:space="preserve">Source credibility: given the volume of AMR coverage in both scientific and popular media, care must be taken to prioritize primary WHO/CDC/PubMed data over secondary or opinion-based commentary.</w:t>
      </w:r>
    </w:p>
    <w:p>
      <w:pPr>
        <w:pStyle w:val="Heading2"/>
        <w:spacing w:after="120" w:before="240"/>
      </w:pPr>
      <w:r>
        <w:t xml:space="preserve">4.7 Areas Requiring Further Research</w:t>
      </w:r>
    </w:p>
    <w:p>
      <w:pPr>
        <w:pStyle w:val="ListParagraph"/>
        <w:numPr>
          <w:ilvl w:val="0"/>
          <w:numId w:val="2"/>
        </w:numPr>
        <w:spacing w:after="100" w:line="276"/>
      </w:pPr>
      <w:r>
        <w:rPr>
          <w:rFonts w:ascii="Calibri" w:cs="Calibri" w:eastAsia="Calibri" w:hAnsi="Calibri"/>
          <w:sz w:val="22"/>
          <w:szCs w:val="22"/>
        </w:rPr>
        <w:t xml:space="preserve">Region-specific resistance data for low- and middle-income countries, where surveillance coverage remains uneven.</w:t>
      </w:r>
    </w:p>
    <w:p>
      <w:pPr>
        <w:pStyle w:val="ListParagraph"/>
        <w:numPr>
          <w:ilvl w:val="0"/>
          <w:numId w:val="2"/>
        </w:numPr>
        <w:spacing w:after="100" w:line="276"/>
      </w:pPr>
      <w:r>
        <w:rPr>
          <w:rFonts w:ascii="Calibri" w:cs="Calibri" w:eastAsia="Calibri" w:hAnsi="Calibri"/>
          <w:sz w:val="22"/>
          <w:szCs w:val="22"/>
        </w:rPr>
        <w:t xml:space="preserve">The measurable clinical and economic impact of the newly adopted WHO Global Action Plan (2026–2036), since implementation outcomes are still emerging.</w:t>
      </w:r>
    </w:p>
    <w:p>
      <w:pPr>
        <w:pStyle w:val="ListParagraph"/>
        <w:numPr>
          <w:ilvl w:val="0"/>
          <w:numId w:val="2"/>
        </w:numPr>
        <w:spacing w:after="100" w:line="276"/>
      </w:pPr>
      <w:r>
        <w:rPr>
          <w:rFonts w:ascii="Calibri" w:cs="Calibri" w:eastAsia="Calibri" w:hAnsi="Calibri"/>
          <w:sz w:val="22"/>
          <w:szCs w:val="22"/>
        </w:rPr>
        <w:t xml:space="preserve">Comparative effectiveness of different national antimicrobial stewardship programs.</w:t>
      </w:r>
    </w:p>
    <w:p>
      <w:pPr>
        <w:pStyle w:val="ListParagraph"/>
        <w:numPr>
          <w:ilvl w:val="0"/>
          <w:numId w:val="2"/>
        </w:numPr>
        <w:spacing w:after="100" w:line="276"/>
      </w:pPr>
      <w:r>
        <w:rPr>
          <w:rFonts w:ascii="Calibri" w:cs="Calibri" w:eastAsia="Calibri" w:hAnsi="Calibri"/>
          <w:sz w:val="22"/>
          <w:szCs w:val="22"/>
        </w:rPr>
        <w:t xml:space="preserve">The role of newly developed rapid diagnostics and vaccines in reducing unnecessary antibiotic prescribing.</w:t>
      </w:r>
    </w:p>
    <w:p>
      <w:pPr>
        <w:pStyle w:val="Heading1"/>
        <w:spacing w:after="160" w:before="320"/>
      </w:pPr>
      <w:r>
        <w:t xml:space="preserve">5. Project Timeline</w:t>
      </w:r>
    </w:p>
    <w:p>
      <w:pPr>
        <w:spacing w:after="160" w:line="276"/>
      </w:pPr>
      <w:r>
        <w:rPr>
          <w:rFonts w:ascii="Calibri" w:cs="Calibri" w:eastAsia="Calibri" w:hAnsi="Calibri"/>
          <w:sz w:val="22"/>
          <w:szCs w:val="22"/>
        </w:rPr>
        <w:t xml:space="preserve">The table below outlines the planned timeline for completing the research, drafting, and review process for this article, structured to fit within the task's estimated 30–35 hour effort.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1700"/>
      </w:tblGrid>
      <w:tr>
        <w:tc>
          <w:tcPr>
            <w:tcW w:type="dxa" w:w="2400"/>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Phase</w:t>
            </w:r>
          </w:p>
        </w:tc>
        <w:tc>
          <w:tcPr>
            <w:tcW w:type="dxa" w:w="5200"/>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Activities</w:t>
            </w:r>
          </w:p>
        </w:tc>
        <w:tc>
          <w:tcPr>
            <w:tcW w:type="dxa" w:w="1700"/>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Duration</w:t>
            </w:r>
          </w:p>
        </w:tc>
      </w:tr>
      <w:tr>
        <w:tc>
          <w:tcPr>
            <w:tcW w:type="dxa" w:w="2400"/>
            <w:tcMar>
              <w:top w:type="dxa" w:w="100"/>
              <w:left w:type="dxa" w:w="120"/>
              <w:bottom w:type="dxa" w:w="100"/>
              <w:right w:type="dxa" w:w="120"/>
            </w:tcMar>
          </w:tcPr>
          <w:p>
            <w:r>
              <w:rPr>
                <w:rFonts w:ascii="Calibri" w:cs="Calibri" w:eastAsia="Calibri" w:hAnsi="Calibri"/>
                <w:b w:val="false"/>
                <w:bCs w:val="false"/>
                <w:color w:val="000000"/>
                <w:sz w:val="20"/>
                <w:szCs w:val="20"/>
              </w:rPr>
              <w:t xml:space="preserve">Phase 1 – Topic Scoping &amp; Rationale</w:t>
            </w:r>
          </w:p>
        </w:tc>
        <w:tc>
          <w:tcPr>
            <w:tcW w:type="dxa" w:w="5200"/>
            <w:tcMar>
              <w:top w:type="dxa" w:w="100"/>
              <w:left w:type="dxa" w:w="120"/>
              <w:bottom w:type="dxa" w:w="100"/>
              <w:right w:type="dxa" w:w="120"/>
            </w:tcMar>
          </w:tcPr>
          <w:p>
            <w:r>
              <w:rPr>
                <w:rFonts w:ascii="Calibri" w:cs="Calibri" w:eastAsia="Calibri" w:hAnsi="Calibri"/>
                <w:b w:val="false"/>
                <w:bCs w:val="false"/>
                <w:color w:val="000000"/>
                <w:sz w:val="20"/>
                <w:szCs w:val="20"/>
              </w:rPr>
              <w:t xml:space="preserve">Confirm topic (antimicrobial resistance), define scope, identify target audience and article angle</w:t>
            </w:r>
          </w:p>
        </w:tc>
        <w:tc>
          <w:tcPr>
            <w:tcW w:type="dxa" w:w="1700"/>
            <w:tcMar>
              <w:top w:type="dxa" w:w="100"/>
              <w:left w:type="dxa" w:w="120"/>
              <w:bottom w:type="dxa" w:w="100"/>
              <w:right w:type="dxa" w:w="120"/>
            </w:tcMar>
          </w:tcPr>
          <w:p>
            <w:r>
              <w:rPr>
                <w:rFonts w:ascii="Calibri" w:cs="Calibri" w:eastAsia="Calibri" w:hAnsi="Calibri"/>
                <w:b w:val="false"/>
                <w:bCs w:val="false"/>
                <w:color w:val="000000"/>
                <w:sz w:val="20"/>
                <w:szCs w:val="20"/>
              </w:rPr>
              <w:t xml:space="preserve">Days 1–2</w:t>
            </w:r>
          </w:p>
        </w:tc>
      </w:tr>
      <w:tr>
        <w:tc>
          <w:tcPr>
            <w:tcW w:type="dxa" w:w="2400"/>
            <w:tcMar>
              <w:top w:type="dxa" w:w="100"/>
              <w:left w:type="dxa" w:w="120"/>
              <w:bottom w:type="dxa" w:w="100"/>
              <w:right w:type="dxa" w:w="120"/>
            </w:tcMar>
          </w:tcPr>
          <w:p>
            <w:r>
              <w:rPr>
                <w:rFonts w:ascii="Calibri" w:cs="Calibri" w:eastAsia="Calibri" w:hAnsi="Calibri"/>
                <w:b w:val="false"/>
                <w:bCs w:val="false"/>
                <w:color w:val="000000"/>
                <w:sz w:val="20"/>
                <w:szCs w:val="20"/>
              </w:rPr>
              <w:t xml:space="preserve">Phase 2 – Literature Search</w:t>
            </w:r>
          </w:p>
        </w:tc>
        <w:tc>
          <w:tcPr>
            <w:tcW w:type="dxa" w:w="5200"/>
            <w:tcMar>
              <w:top w:type="dxa" w:w="100"/>
              <w:left w:type="dxa" w:w="120"/>
              <w:bottom w:type="dxa" w:w="100"/>
              <w:right w:type="dxa" w:w="120"/>
            </w:tcMar>
          </w:tcPr>
          <w:p>
            <w:r>
              <w:rPr>
                <w:rFonts w:ascii="Calibri" w:cs="Calibri" w:eastAsia="Calibri" w:hAnsi="Calibri"/>
                <w:b w:val="false"/>
                <w:bCs w:val="false"/>
                <w:color w:val="000000"/>
                <w:sz w:val="20"/>
                <w:szCs w:val="20"/>
              </w:rPr>
              <w:t xml:space="preserve">Search PubMed, WHO, and CDC databases; screen and select at least 5 credible sources; take structured notes</w:t>
            </w:r>
          </w:p>
        </w:tc>
        <w:tc>
          <w:tcPr>
            <w:tcW w:type="dxa" w:w="1700"/>
            <w:tcMar>
              <w:top w:type="dxa" w:w="100"/>
              <w:left w:type="dxa" w:w="120"/>
              <w:bottom w:type="dxa" w:w="100"/>
              <w:right w:type="dxa" w:w="120"/>
            </w:tcMar>
          </w:tcPr>
          <w:p>
            <w:r>
              <w:rPr>
                <w:rFonts w:ascii="Calibri" w:cs="Calibri" w:eastAsia="Calibri" w:hAnsi="Calibri"/>
                <w:b w:val="false"/>
                <w:bCs w:val="false"/>
                <w:color w:val="000000"/>
                <w:sz w:val="20"/>
                <w:szCs w:val="20"/>
              </w:rPr>
              <w:t xml:space="preserve">Days 3–5</w:t>
            </w:r>
          </w:p>
        </w:tc>
      </w:tr>
      <w:tr>
        <w:tc>
          <w:tcPr>
            <w:tcW w:type="dxa" w:w="2400"/>
            <w:tcMar>
              <w:top w:type="dxa" w:w="100"/>
              <w:left w:type="dxa" w:w="120"/>
              <w:bottom w:type="dxa" w:w="100"/>
              <w:right w:type="dxa" w:w="120"/>
            </w:tcMar>
          </w:tcPr>
          <w:p>
            <w:r>
              <w:rPr>
                <w:rFonts w:ascii="Calibri" w:cs="Calibri" w:eastAsia="Calibri" w:hAnsi="Calibri"/>
                <w:b w:val="false"/>
                <w:bCs w:val="false"/>
                <w:color w:val="000000"/>
                <w:sz w:val="20"/>
                <w:szCs w:val="20"/>
              </w:rPr>
              <w:t xml:space="preserve">Phase 3 – Outline Development</w:t>
            </w:r>
          </w:p>
        </w:tc>
        <w:tc>
          <w:tcPr>
            <w:tcW w:type="dxa" w:w="5200"/>
            <w:tcMar>
              <w:top w:type="dxa" w:w="100"/>
              <w:left w:type="dxa" w:w="120"/>
              <w:bottom w:type="dxa" w:w="100"/>
              <w:right w:type="dxa" w:w="120"/>
            </w:tcMar>
          </w:tcPr>
          <w:p>
            <w:r>
              <w:rPr>
                <w:rFonts w:ascii="Calibri" w:cs="Calibri" w:eastAsia="Calibri" w:hAnsi="Calibri"/>
                <w:b w:val="false"/>
                <w:bCs w:val="false"/>
                <w:color w:val="000000"/>
                <w:sz w:val="20"/>
                <w:szCs w:val="20"/>
              </w:rPr>
              <w:t xml:space="preserve">Draft article outline: introduction, objectives, subtopics, expected sections</w:t>
            </w:r>
          </w:p>
        </w:tc>
        <w:tc>
          <w:tcPr>
            <w:tcW w:type="dxa" w:w="1700"/>
            <w:tcMar>
              <w:top w:type="dxa" w:w="100"/>
              <w:left w:type="dxa" w:w="120"/>
              <w:bottom w:type="dxa" w:w="100"/>
              <w:right w:type="dxa" w:w="120"/>
            </w:tcMar>
          </w:tcPr>
          <w:p>
            <w:r>
              <w:rPr>
                <w:rFonts w:ascii="Calibri" w:cs="Calibri" w:eastAsia="Calibri" w:hAnsi="Calibri"/>
                <w:b w:val="false"/>
                <w:bCs w:val="false"/>
                <w:color w:val="000000"/>
                <w:sz w:val="20"/>
                <w:szCs w:val="20"/>
              </w:rPr>
              <w:t xml:space="preserve">Days 6–7</w:t>
            </w:r>
          </w:p>
        </w:tc>
      </w:tr>
      <w:tr>
        <w:tc>
          <w:tcPr>
            <w:tcW w:type="dxa" w:w="2400"/>
            <w:tcMar>
              <w:top w:type="dxa" w:w="100"/>
              <w:left w:type="dxa" w:w="120"/>
              <w:bottom w:type="dxa" w:w="100"/>
              <w:right w:type="dxa" w:w="120"/>
            </w:tcMar>
          </w:tcPr>
          <w:p>
            <w:r>
              <w:rPr>
                <w:rFonts w:ascii="Calibri" w:cs="Calibri" w:eastAsia="Calibri" w:hAnsi="Calibri"/>
                <w:b w:val="false"/>
                <w:bCs w:val="false"/>
                <w:color w:val="000000"/>
                <w:sz w:val="20"/>
                <w:szCs w:val="20"/>
              </w:rPr>
              <w:t xml:space="preserve">Phase 4 – Methodology &amp; Gap Analysis</w:t>
            </w:r>
          </w:p>
        </w:tc>
        <w:tc>
          <w:tcPr>
            <w:tcW w:type="dxa" w:w="5200"/>
            <w:tcMar>
              <w:top w:type="dxa" w:w="100"/>
              <w:left w:type="dxa" w:w="120"/>
              <w:bottom w:type="dxa" w:w="100"/>
              <w:right w:type="dxa" w:w="120"/>
            </w:tcMar>
          </w:tcPr>
          <w:p>
            <w:r>
              <w:rPr>
                <w:rFonts w:ascii="Calibri" w:cs="Calibri" w:eastAsia="Calibri" w:hAnsi="Calibri"/>
                <w:b w:val="false"/>
                <w:bCs w:val="false"/>
                <w:color w:val="000000"/>
                <w:sz w:val="20"/>
                <w:szCs w:val="20"/>
              </w:rPr>
              <w:t xml:space="preserve">Define research methodology; identify gaps and areas needing further investigation</w:t>
            </w:r>
          </w:p>
        </w:tc>
        <w:tc>
          <w:tcPr>
            <w:tcW w:type="dxa" w:w="1700"/>
            <w:tcMar>
              <w:top w:type="dxa" w:w="100"/>
              <w:left w:type="dxa" w:w="120"/>
              <w:bottom w:type="dxa" w:w="100"/>
              <w:right w:type="dxa" w:w="120"/>
            </w:tcMar>
          </w:tcPr>
          <w:p>
            <w:r>
              <w:rPr>
                <w:rFonts w:ascii="Calibri" w:cs="Calibri" w:eastAsia="Calibri" w:hAnsi="Calibri"/>
                <w:b w:val="false"/>
                <w:bCs w:val="false"/>
                <w:color w:val="000000"/>
                <w:sz w:val="20"/>
                <w:szCs w:val="20"/>
              </w:rPr>
              <w:t xml:space="preserve">Day 8</w:t>
            </w:r>
          </w:p>
        </w:tc>
      </w:tr>
      <w:tr>
        <w:tc>
          <w:tcPr>
            <w:tcW w:type="dxa" w:w="2400"/>
            <w:tcMar>
              <w:top w:type="dxa" w:w="100"/>
              <w:left w:type="dxa" w:w="120"/>
              <w:bottom w:type="dxa" w:w="100"/>
              <w:right w:type="dxa" w:w="120"/>
            </w:tcMar>
          </w:tcPr>
          <w:p>
            <w:r>
              <w:rPr>
                <w:rFonts w:ascii="Calibri" w:cs="Calibri" w:eastAsia="Calibri" w:hAnsi="Calibri"/>
                <w:b w:val="false"/>
                <w:bCs w:val="false"/>
                <w:color w:val="000000"/>
                <w:sz w:val="20"/>
                <w:szCs w:val="20"/>
              </w:rPr>
              <w:t xml:space="preserve">Phase 5 – Risk &amp; Challenge Assessment</w:t>
            </w:r>
          </w:p>
        </w:tc>
        <w:tc>
          <w:tcPr>
            <w:tcW w:type="dxa" w:w="5200"/>
            <w:tcMar>
              <w:top w:type="dxa" w:w="100"/>
              <w:left w:type="dxa" w:w="120"/>
              <w:bottom w:type="dxa" w:w="100"/>
              <w:right w:type="dxa" w:w="120"/>
            </w:tcMar>
          </w:tcPr>
          <w:p>
            <w:r>
              <w:rPr>
                <w:rFonts w:ascii="Calibri" w:cs="Calibri" w:eastAsia="Calibri" w:hAnsi="Calibri"/>
                <w:b w:val="false"/>
                <w:bCs w:val="false"/>
                <w:color w:val="000000"/>
                <w:sz w:val="20"/>
                <w:szCs w:val="20"/>
              </w:rPr>
              <w:t xml:space="preserve">List anticipated challenges (data currency, technical language, scope creep) and mitigation steps</w:t>
            </w:r>
          </w:p>
        </w:tc>
        <w:tc>
          <w:tcPr>
            <w:tcW w:type="dxa" w:w="1700"/>
            <w:tcMar>
              <w:top w:type="dxa" w:w="100"/>
              <w:left w:type="dxa" w:w="120"/>
              <w:bottom w:type="dxa" w:w="100"/>
              <w:right w:type="dxa" w:w="120"/>
            </w:tcMar>
          </w:tcPr>
          <w:p>
            <w:r>
              <w:rPr>
                <w:rFonts w:ascii="Calibri" w:cs="Calibri" w:eastAsia="Calibri" w:hAnsi="Calibri"/>
                <w:b w:val="false"/>
                <w:bCs w:val="false"/>
                <w:color w:val="000000"/>
                <w:sz w:val="20"/>
                <w:szCs w:val="20"/>
              </w:rPr>
              <w:t xml:space="preserve">Day 9</w:t>
            </w:r>
          </w:p>
        </w:tc>
      </w:tr>
      <w:tr>
        <w:tc>
          <w:tcPr>
            <w:tcW w:type="dxa" w:w="2400"/>
            <w:tcMar>
              <w:top w:type="dxa" w:w="100"/>
              <w:left w:type="dxa" w:w="120"/>
              <w:bottom w:type="dxa" w:w="100"/>
              <w:right w:type="dxa" w:w="120"/>
            </w:tcMar>
          </w:tcPr>
          <w:p>
            <w:r>
              <w:rPr>
                <w:rFonts w:ascii="Calibri" w:cs="Calibri" w:eastAsia="Calibri" w:hAnsi="Calibri"/>
                <w:b w:val="false"/>
                <w:bCs w:val="false"/>
                <w:color w:val="000000"/>
                <w:sz w:val="20"/>
                <w:szCs w:val="20"/>
              </w:rPr>
              <w:t xml:space="preserve">Phase 6 – Review &amp; Refinement</w:t>
            </w:r>
          </w:p>
        </w:tc>
        <w:tc>
          <w:tcPr>
            <w:tcW w:type="dxa" w:w="5200"/>
            <w:tcMar>
              <w:top w:type="dxa" w:w="100"/>
              <w:left w:type="dxa" w:w="120"/>
              <w:bottom w:type="dxa" w:w="100"/>
              <w:right w:type="dxa" w:w="120"/>
            </w:tcMar>
          </w:tcPr>
          <w:p>
            <w:r>
              <w:rPr>
                <w:rFonts w:ascii="Calibri" w:cs="Calibri" w:eastAsia="Calibri" w:hAnsi="Calibri"/>
                <w:b w:val="false"/>
                <w:bCs w:val="false"/>
                <w:color w:val="000000"/>
                <w:sz w:val="20"/>
                <w:szCs w:val="20"/>
              </w:rPr>
              <w:t xml:space="preserve">Proofread, check logical flow, verify citations, finalize formatting</w:t>
            </w:r>
          </w:p>
        </w:tc>
        <w:tc>
          <w:tcPr>
            <w:tcW w:type="dxa" w:w="1700"/>
            <w:tcMar>
              <w:top w:type="dxa" w:w="100"/>
              <w:left w:type="dxa" w:w="120"/>
              <w:bottom w:type="dxa" w:w="100"/>
              <w:right w:type="dxa" w:w="120"/>
            </w:tcMar>
          </w:tcPr>
          <w:p>
            <w:r>
              <w:rPr>
                <w:rFonts w:ascii="Calibri" w:cs="Calibri" w:eastAsia="Calibri" w:hAnsi="Calibri"/>
                <w:b w:val="false"/>
                <w:bCs w:val="false"/>
                <w:color w:val="000000"/>
                <w:sz w:val="20"/>
                <w:szCs w:val="20"/>
              </w:rPr>
              <w:t xml:space="preserve">Day 10</w:t>
            </w:r>
          </w:p>
        </w:tc>
      </w:tr>
    </w:tbl>
    <w:p>
      <w:pPr>
        <w:pStyle w:val="Heading1"/>
        <w:spacing w:after="160" w:before="320"/>
      </w:pPr>
      <w:r>
        <w:t xml:space="preserve">6. Review and Refinement Plan</w:t>
      </w:r>
    </w:p>
    <w:p>
      <w:pPr>
        <w:spacing w:after="160" w:line="276"/>
      </w:pPr>
      <w:r>
        <w:rPr>
          <w:rFonts w:ascii="Calibri" w:cs="Calibri" w:eastAsia="Calibri" w:hAnsi="Calibri"/>
          <w:sz w:val="22"/>
          <w:szCs w:val="22"/>
        </w:rPr>
        <w:t xml:space="preserve">Before submission, the draft article and this planning document will undergo a structured review pass to confirm logical flow between sections, consistency of terminology, and accuracy of all cited statistics against their original sources. Particular attention will be paid to ensuring that each subtopic connects clearly to the stated objectives, that transitions between sections read smoothly, and that the reference list is complete and properly formatted. A final proofreading pass will check grammar, tone, and adherence to plain-language principles appropriate for a mixed audience of healthcare professionals and informed lay readers.</w:t>
      </w:r>
    </w:p>
    <w:p>
      <w:pPr>
        <w:pStyle w:val="Heading1"/>
        <w:spacing w:after="160" w:before="320"/>
      </w:pPr>
      <w:r>
        <w:t xml:space="preserve">7. References</w:t>
      </w:r>
    </w:p>
    <w:p>
      <w:pPr>
        <w:spacing w:after="160" w:line="276"/>
      </w:pPr>
      <w:r>
        <w:rPr>
          <w:rFonts w:ascii="Calibri" w:cs="Calibri" w:eastAsia="Calibri" w:hAnsi="Calibri"/>
          <w:sz w:val="22"/>
          <w:szCs w:val="22"/>
        </w:rPr>
        <w:t xml:space="preserve">World Health Organization. Global Action Plan on Antimicrobial Resistance 2026–2036. Adopted at the 79th World Health Assembly, Geneva, May 2026.</w:t>
      </w:r>
    </w:p>
    <w:p>
      <w:pPr>
        <w:spacing w:after="160" w:line="276"/>
      </w:pPr>
      <w:r>
        <w:rPr>
          <w:rFonts w:ascii="Calibri" w:cs="Calibri" w:eastAsia="Calibri" w:hAnsi="Calibri"/>
          <w:sz w:val="22"/>
          <w:szCs w:val="22"/>
        </w:rPr>
        <w:t xml:space="preserve">World Health Organization. Global Antimicrobial Resistance and Use Surveillance System (GLASS) Report, 2023 data.</w:t>
      </w:r>
    </w:p>
    <w:p>
      <w:pPr>
        <w:spacing w:after="160" w:line="276"/>
      </w:pPr>
      <w:r>
        <w:rPr>
          <w:rFonts w:ascii="Calibri" w:cs="Calibri" w:eastAsia="Calibri" w:hAnsi="Calibri"/>
          <w:sz w:val="22"/>
          <w:szCs w:val="22"/>
        </w:rPr>
        <w:t xml:space="preserve">World Health Organization. Global report on antibiotic resistance prevalence and trends, analysis of 2016–2023 surveillance data from 104–110 countries.</w:t>
      </w:r>
    </w:p>
    <w:p>
      <w:pPr>
        <w:spacing w:after="160" w:line="276"/>
      </w:pPr>
      <w:r>
        <w:rPr>
          <w:rFonts w:ascii="Calibri" w:cs="Calibri" w:eastAsia="Calibri" w:hAnsi="Calibri"/>
          <w:sz w:val="22"/>
          <w:szCs w:val="22"/>
        </w:rPr>
        <w:t xml:space="preserve">World Health Organization. Global Call to Action to Address Antimicrobial Resistance.</w:t>
      </w:r>
    </w:p>
    <w:p>
      <w:pPr>
        <w:spacing w:after="160" w:line="276"/>
      </w:pPr>
      <w:r>
        <w:rPr>
          <w:rFonts w:ascii="Calibri" w:cs="Calibri" w:eastAsia="Calibri" w:hAnsi="Calibri"/>
          <w:sz w:val="22"/>
          <w:szCs w:val="22"/>
        </w:rPr>
        <w:t xml:space="preserve">National antimicrobial resistance fact sheets and roadmaps, including national action plans referencing WHO surveillance data (2025–2026 updates).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2026-09-25T17:26:11.033Z</dcterms:created>
  <dcterms:modified xsi:type="dcterms:W3CDTF">2026-09-25T17:26:11.043Z</dcterms:modified>
</cp:coreProperties>
</file>

<file path=docProps/custom.xml><?xml version="1.0" encoding="utf-8"?>
<Properties xmlns="http://schemas.openxmlformats.org/officeDocument/2006/custom-properties" xmlns:vt="http://schemas.openxmlformats.org/officeDocument/2006/docPropsVTypes"/>
</file>