
<file path=[Content_Types].xml><?xml version="1.0" encoding="utf-8"?>
<Types xmlns="http://schemas.openxmlformats.org/package/2006/content-types">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Types>
</file>

<file path=_rels/.rels><?xml version="1.0" encoding="UTF-8" standalone="yes"?><Relationships xmlns="http://schemas.openxmlformats.org/package/2006/relationships"><Relationship Id="rId1" Type="http://schemas.openxmlformats.org/officeDocument/2006/relationships/officeDocument" Target="word/document.xml"/><Relationship Id="rId2" Type="http://schemas.openxmlformats.org/officeDocument/2006/relationships/extended-properties" Target="docProps/app.xml"/><Relationship Id="rId3" Type="http://schemas.openxmlformats.org/package/2006/relationships/metadata/core-properties" Target="docProps/core.xml"/></Relationships>
</file>

<file path=word/document.xml><?xml version="1.0" encoding="utf-8"?>
<w:document xmlns:w="http://schemas.openxmlformats.org/wordprocessingml/2006/main" xmlns:r="http://schemas.openxmlformats.org/officeDocument/2006/relationships" xmlns:wp="http://schemas.openxmlformats.org/drawingml/2006/wordprocessingDrawing" xmlns:a="http://schemas.openxmlformats.org/drawingml/2006/main" xmlns:pic="http://schemas.openxmlformats.org/drawingml/2006/picture">
  <w:body>
    <w:p>
      <w:pPr>
        <w:pStyle w:val="Heading1"/>
      </w:pPr>
      <w:r>
        <w:t xml:space="preserve">Medical Writing Style Guide</w:t>
      </w:r>
    </w:p>
    <w:p>
      <w:pPr/>
      <w:r>
        <w:rPr>
          <w:b/>
        </w:rPr>
        <w:t xml:space="preserve">A practical reference for writing clear, accurate and consistent medical documents for expert and general audiences</w:t>
      </w:r>
    </w:p>
    <w:p>
      <w:pPr/>
      <w:r>
        <w:rPr>
          <w:b/>
        </w:rPr>
        <w:t xml:space="preserve">Author:</w:t>
      </w:r>
      <w:r>
        <w:t xml:space="preserve"> [Your Full Name]</w:t>
      </w:r>
      <w:r>
        <w:br/>
      </w:r>
      <w:r>
        <w:rPr>
          <w:b/>
        </w:rPr>
        <w:t xml:space="preserve">Affiliation:</w:t>
      </w:r>
      <w:r>
        <w:t xml:space="preserve"> [Internship Organization / Department]</w:t>
      </w:r>
      <w:r>
        <w:br/>
      </w:r>
      <w:r>
        <w:rPr>
          <w:b/>
        </w:rPr>
        <w:t xml:space="preserve">Task:</w:t>
      </w:r>
      <w:r>
        <w:t xml:space="preserve"> Week 4 - Developing a Writing Style Guide</w:t>
      </w:r>
      <w:r>
        <w:br/>
      </w:r>
      <w:r>
        <w:rPr>
          <w:b/>
        </w:rPr>
        <w:t xml:space="preserve">Version:</w:t>
      </w:r>
      <w:r>
        <w:t xml:space="preserve"> 1.0</w:t>
      </w:r>
    </w:p>
    <w:p>
      <w:pPr>
        <w:pStyle w:val="Quote"/>
      </w:pPr>
      <w:r>
        <w:rPr>
          <w:b/>
        </w:rPr>
        <w:t xml:space="preserve">Note before you submit:</w:t>
      </w:r>
      <w:r>
        <w:t xml:space="preserve"> This guide synthesizes widely used standards (AMA Manual of Style, ICMJE recommendations, CONSORT, PRISMA and federal plain-language guidance) with my own recommendations. Style rules differ between journals, so always check the target publication's author instructions. Verify any rule you plan to rely on against the current edition of the source.</w:t>
      </w:r>
    </w:p>
    <w:p>
      <w:pPr>
        <w:pStyle w:val="Heading2"/>
      </w:pPr>
      <w:r>
        <w:t xml:space="preserve">1. Introduction</w:t>
      </w:r>
    </w:p>
    <w:p>
      <w:pPr>
        <w:pStyle w:val="Heading3"/>
      </w:pPr>
      <w:r>
        <w:t xml:space="preserve">1.1 Purpose</w:t>
      </w:r>
    </w:p>
    <w:p>
      <w:pPr/>
      <w:r>
        <w:t xml:space="preserve">Medical writing must be accurate first, and clear second. A single misplaced number, an unexplained abbreviation or an overstated conclusion can mislead a clinician or harm a patient. This guide sets out shared rules for tone, language, structure, formatting, citations and visual data so that documents written by different people look and read as if they came from one careful author.</w:t>
      </w:r>
    </w:p>
    <w:p>
      <w:pPr>
        <w:pStyle w:val="Heading3"/>
      </w:pPr>
      <w:r>
        <w:t xml:space="preserve">1.2 Scope</w:t>
      </w:r>
    </w:p>
    <w:p>
      <w:pPr/>
      <w:r>
        <w:t xml:space="preserve">The guide applies to journal articles, literature reviews, clinical summaries, patient education material, reports and presentations. Where a rule differs between expert and general audiences, both versions are given.</w:t>
      </w:r>
    </w:p>
    <w:p>
      <w:pPr>
        <w:pStyle w:val="Heading3"/>
      </w:pPr>
      <w:r>
        <w:t xml:space="preserve">1.3 Audiences</w:t>
      </w:r>
    </w:p>
    <w:tbl>
      <w:tblPr>
        <w:tblStyle w:val="TableGrid"/>
        <w:tblW w:w="0" w:type="auto"/>
        <w:tblLayout w:type="fixed"/>
        <w:tblLook w:val="04A0" w:firstRow="1" w:lastRow="0" w:firstColumn="0" w:lastColumn="0" w:noHBand="0" w:noVBand="1"/>
      </w:tblPr>
      <w:tblGrid>
        <w:gridCol w:w="1186"/>
        <w:gridCol w:w="3254"/>
        <w:gridCol w:w="4920"/>
      </w:tblGrid>
      <w:tr>
        <w:trPr>
          <w:tblHeader/>
        </w:trPr>
        <w:tc>
          <w:tcPr>
            <w:tcW w:w="1186" w:type="dxa"/>
            <w:shd w:val="clear" w:color="auto" w:fill="F2F2F2"/>
          </w:tcPr>
          <w:p>
            <w:pPr/>
            <w:r>
              <w:t xml:space="preserve">Audience</w:t>
            </w:r>
          </w:p>
        </w:tc>
        <w:tc>
          <w:tcPr>
            <w:tcW w:w="3254" w:type="dxa"/>
            <w:shd w:val="clear" w:color="auto" w:fill="F2F2F2"/>
          </w:tcPr>
          <w:p>
            <w:pPr/>
            <w:r>
              <w:t xml:space="preserve">Typical reader</w:t>
            </w:r>
          </w:p>
        </w:tc>
        <w:tc>
          <w:tcPr>
            <w:tcW w:w="4920" w:type="dxa"/>
            <w:shd w:val="clear" w:color="auto" w:fill="F2F2F2"/>
          </w:tcPr>
          <w:p>
            <w:pPr/>
            <w:r>
              <w:t xml:space="preserve">What they need</w:t>
            </w:r>
          </w:p>
        </w:tc>
      </w:tr>
      <w:tr>
        <w:tc>
          <w:tcPr>
            <w:tcW w:w="1186" w:type="dxa"/>
          </w:tcPr>
          <w:p>
            <w:pPr/>
            <w:r>
              <w:t xml:space="preserve">Expert</w:t>
            </w:r>
          </w:p>
        </w:tc>
        <w:tc>
          <w:tcPr>
            <w:tcW w:w="3254" w:type="dxa"/>
          </w:tcPr>
          <w:p>
            <w:pPr/>
            <w:r>
              <w:t xml:space="preserve">Clinicians, researchers, reviewers</w:t>
            </w:r>
          </w:p>
        </w:tc>
        <w:tc>
          <w:tcPr>
            <w:tcW w:w="4920" w:type="dxa"/>
          </w:tcPr>
          <w:p>
            <w:pPr/>
            <w:r>
              <w:t xml:space="preserve">Precision, full methods, statistics, technical terms, references</w:t>
            </w:r>
          </w:p>
        </w:tc>
      </w:tr>
      <w:tr>
        <w:tc>
          <w:tcPr>
            <w:tcW w:w="1186" w:type="dxa"/>
          </w:tcPr>
          <w:p>
            <w:pPr/>
            <w:r>
              <w:t xml:space="preserve">General</w:t>
            </w:r>
          </w:p>
        </w:tc>
        <w:tc>
          <w:tcPr>
            <w:tcW w:w="3254" w:type="dxa"/>
          </w:tcPr>
          <w:p>
            <w:pPr/>
            <w:r>
              <w:t xml:space="preserve">Patients, caregivers, the public, policymakers</w:t>
            </w:r>
          </w:p>
        </w:tc>
        <w:tc>
          <w:tcPr>
            <w:tcW w:w="4920" w:type="dxa"/>
          </w:tcPr>
          <w:p>
            <w:pPr/>
            <w:r>
              <w:t xml:space="preserve">Plain words, short sentences, defined terms, practical meaning, action steps</w:t>
            </w:r>
          </w:p>
        </w:tc>
      </w:tr>
    </w:tbl>
    <w:p>
      <w:pPr/>
      <w:r>
        <w:rPr>
          <w:b/>
        </w:rPr>
        <w:t xml:space="preserve">Rule of thumb:</w:t>
      </w:r>
      <w:r>
        <w:t xml:space="preserve"> Write for the reader's goal. An expert wants to judge whether the evidence is sound. A general reader wants to know what it means for them.</w:t>
      </w:r>
    </w:p>
    <w:p>
      <w:pPr>
        <w:pStyle w:val="Heading3"/>
      </w:pPr>
      <w:r>
        <w:t xml:space="preserve">1.4 Sources used to build this guide</w:t>
      </w:r>
    </w:p>
    <w:p>
      <w:pPr/>
      <w:r>
        <w:t xml:space="preserve">The guide draws on the AMA Manual of Style, the ICMJE Recommendations for medical journals, the CONSORT and PRISMA reporting guidelines, and the U.S. Federal Plain Language Guidelines. Where these sources agree, the rule is stated as a standard. Where they leave room for choice, I give a recommendation and explain why.</w:t>
      </w:r>
    </w:p>
    <w:p>
      <w:pPr>
        <w:pStyle w:val="Heading2"/>
      </w:pPr>
      <w:r>
        <w:t xml:space="preserve">2. Voice and Tone</w:t>
      </w:r>
    </w:p>
    <w:p>
      <w:pPr>
        <w:pStyle w:val="Heading3"/>
      </w:pPr>
      <w:r>
        <w:t xml:space="preserve">2.1 Voice</w:t>
      </w:r>
    </w:p>
    <w:p>
      <w:pPr>
        <w:pStyle w:val="ListParagraph"/>
        <w:numPr>
          <w:ilvl w:val="0"/>
          <w:numId w:val="2"/>
        </w:numPr>
      </w:pPr>
      <w:r>
        <w:rPr>
          <w:b/>
        </w:rPr>
        <w:t xml:space="preserve">Use active voice by default.</w:t>
      </w:r>
      <w:r>
        <w:t xml:space="preserve"> Write "The investigators randomized 4,744 patients" instead of "4,744 patients were randomized by the investigators." Passive voice is acceptable when the actor is unknown or unimportant ("Blood samples were stored at -80 C"), and it is common in methods sections.</w:t>
      </w:r>
    </w:p>
    <w:p>
      <w:pPr>
        <w:pStyle w:val="ListParagraph"/>
        <w:numPr>
          <w:ilvl w:val="0"/>
          <w:numId w:val="2"/>
        </w:numPr>
      </w:pPr>
      <w:r>
        <w:rPr>
          <w:b/>
        </w:rPr>
        <w:t xml:space="preserve">Use first person sparingly.</w:t>
      </w:r>
      <w:r>
        <w:t xml:space="preserve"> In scientific papers, "we" is accepted for describing what the authors did. Avoid "I" in formal research writing unless the journal allows it.</w:t>
      </w:r>
    </w:p>
    <w:p>
      <w:pPr>
        <w:pStyle w:val="ListParagraph"/>
        <w:numPr>
          <w:ilvl w:val="0"/>
          <w:numId w:val="2"/>
        </w:numPr>
      </w:pPr>
      <w:r>
        <w:rPr>
          <w:b/>
        </w:rPr>
        <w:t xml:space="preserve">Address general readers directly.</w:t>
      </w:r>
      <w:r>
        <w:t xml:space="preserve"> In patient material, "you" is clearer and warmer than "patients."</w:t>
      </w:r>
    </w:p>
    <w:p>
      <w:pPr>
        <w:pStyle w:val="Heading3"/>
      </w:pPr>
      <w:r>
        <w:t xml:space="preserve">2.2 Tone</w:t>
      </w:r>
    </w:p>
    <w:p>
      <w:pPr>
        <w:pStyle w:val="ListParagraph"/>
        <w:numPr>
          <w:ilvl w:val="0"/>
          <w:numId w:val="3"/>
        </w:numPr>
      </w:pPr>
      <w:r>
        <w:rPr>
          <w:b/>
        </w:rPr>
        <w:t xml:space="preserve">Objective and neutral.</w:t>
      </w:r>
      <w:r>
        <w:t xml:space="preserve"> Report what the evidence shows. Avoid emotional or promotional words such as "remarkable," "breakthrough," "miracle" or "devastating."</w:t>
      </w:r>
    </w:p>
    <w:p>
      <w:pPr>
        <w:pStyle w:val="ListParagraph"/>
        <w:numPr>
          <w:ilvl w:val="0"/>
          <w:numId w:val="3"/>
        </w:numPr>
      </w:pPr>
      <w:r>
        <w:rPr>
          <w:b/>
        </w:rPr>
        <w:t xml:space="preserve">Calibrated to the evidence.</w:t>
      </w:r>
      <w:r>
        <w:t xml:space="preserve"> Match the strength of the verb to the strength of the study (see Table 1).</w:t>
      </w:r>
    </w:p>
    <w:p>
      <w:pPr>
        <w:pStyle w:val="ListParagraph"/>
        <w:numPr>
          <w:ilvl w:val="0"/>
          <w:numId w:val="3"/>
        </w:numPr>
      </w:pPr>
      <w:r>
        <w:rPr>
          <w:b/>
        </w:rPr>
        <w:t xml:space="preserve">Respectful.</w:t>
      </w:r>
      <w:r>
        <w:t xml:space="preserve"> Never blame or stigmatize patients. Acknowledge uncertainty honestly.</w:t>
      </w:r>
    </w:p>
    <w:p>
      <w:pPr>
        <w:pStyle w:val="ListParagraph"/>
        <w:numPr>
          <w:ilvl w:val="0"/>
          <w:numId w:val="3"/>
        </w:numPr>
      </w:pPr>
      <w:r>
        <w:rPr>
          <w:b/>
        </w:rPr>
        <w:t xml:space="preserve">Empathetic for general audiences.</w:t>
      </w:r>
      <w:r>
        <w:t xml:space="preserve"> Plain, calm language reduces anxiety without hiding facts.</w:t>
      </w:r>
    </w:p>
    <w:p>
      <w:pPr/>
      <w:r>
        <w:rPr>
          <w:b/>
        </w:rPr>
        <w:t xml:space="preserve">Table 1. Matching claims to evidence</w:t>
      </w:r>
    </w:p>
    <w:tbl>
      <w:tblPr>
        <w:tblStyle w:val="TableGrid"/>
        <w:tblW w:w="0" w:type="auto"/>
        <w:tblLayout w:type="fixed"/>
        <w:tblLook w:val="04A0" w:firstRow="1" w:lastRow="0" w:firstColumn="0" w:lastColumn="0" w:noHBand="0" w:noVBand="1"/>
      </w:tblPr>
      <w:tblGrid>
        <w:gridCol w:w="2803"/>
        <w:gridCol w:w="4081"/>
        <w:gridCol w:w="2475"/>
      </w:tblGrid>
      <w:tr>
        <w:trPr>
          <w:tblHeader/>
        </w:trPr>
        <w:tc>
          <w:tcPr>
            <w:tcW w:w="2803" w:type="dxa"/>
            <w:shd w:val="clear" w:color="auto" w:fill="F2F2F2"/>
          </w:tcPr>
          <w:p>
            <w:pPr/>
            <w:r>
              <w:t xml:space="preserve">Evidence type</w:t>
            </w:r>
          </w:p>
        </w:tc>
        <w:tc>
          <w:tcPr>
            <w:tcW w:w="4081" w:type="dxa"/>
            <w:shd w:val="clear" w:color="auto" w:fill="F2F2F2"/>
          </w:tcPr>
          <w:p>
            <w:pPr/>
            <w:r>
              <w:t xml:space="preserve">Appropriate wording</w:t>
            </w:r>
          </w:p>
        </w:tc>
        <w:tc>
          <w:tcPr>
            <w:tcW w:w="2475" w:type="dxa"/>
            <w:shd w:val="clear" w:color="auto" w:fill="F2F2F2"/>
          </w:tcPr>
          <w:p>
            <w:pPr/>
            <w:r>
              <w:t xml:space="preserve">Avoid</w:t>
            </w:r>
          </w:p>
        </w:tc>
      </w:tr>
      <w:tr>
        <w:tc>
          <w:tcPr>
            <w:tcW w:w="2803" w:type="dxa"/>
          </w:tcPr>
          <w:p>
            <w:pPr/>
            <w:r>
              <w:t xml:space="preserve">Randomized controlled trial</w:t>
            </w:r>
          </w:p>
        </w:tc>
        <w:tc>
          <w:tcPr>
            <w:tcW w:w="4081" w:type="dxa"/>
          </w:tcPr>
          <w:p>
            <w:pPr/>
            <w:r>
              <w:t xml:space="preserve">"reduced," "lowered the risk of"</w:t>
            </w:r>
          </w:p>
        </w:tc>
        <w:tc>
          <w:tcPr>
            <w:tcW w:w="2475" w:type="dxa"/>
          </w:tcPr>
          <w:p>
            <w:pPr/>
            <w:r>
              <w:t xml:space="preserve">"proved," "cures"</w:t>
            </w:r>
          </w:p>
        </w:tc>
      </w:tr>
      <w:tr>
        <w:tc>
          <w:tcPr>
            <w:tcW w:w="2803" w:type="dxa"/>
          </w:tcPr>
          <w:p>
            <w:pPr/>
            <w:r>
              <w:t xml:space="preserve">Observational study</w:t>
            </w:r>
          </w:p>
        </w:tc>
        <w:tc>
          <w:tcPr>
            <w:tcW w:w="4081" w:type="dxa"/>
          </w:tcPr>
          <w:p>
            <w:pPr/>
            <w:r>
              <w:t xml:space="preserve">"was associated with," "was linked to"</w:t>
            </w:r>
          </w:p>
        </w:tc>
        <w:tc>
          <w:tcPr>
            <w:tcW w:w="2475" w:type="dxa"/>
          </w:tcPr>
          <w:p>
            <w:pPr/>
            <w:r>
              <w:t xml:space="preserve">"caused," "leads to"</w:t>
            </w:r>
          </w:p>
        </w:tc>
      </w:tr>
      <w:tr>
        <w:tc>
          <w:tcPr>
            <w:tcW w:w="2803" w:type="dxa"/>
          </w:tcPr>
          <w:p>
            <w:pPr/>
            <w:r>
              <w:t xml:space="preserve">Small or preliminary study</w:t>
            </w:r>
          </w:p>
        </w:tc>
        <w:tc>
          <w:tcPr>
            <w:tcW w:w="4081" w:type="dxa"/>
          </w:tcPr>
          <w:p>
            <w:pPr/>
            <w:r>
              <w:t xml:space="preserve">"suggests," "may," "warrants further study"</w:t>
            </w:r>
          </w:p>
        </w:tc>
        <w:tc>
          <w:tcPr>
            <w:tcW w:w="2475" w:type="dxa"/>
          </w:tcPr>
          <w:p>
            <w:pPr/>
            <w:r>
              <w:t xml:space="preserve">"shows conclusively"</w:t>
            </w:r>
          </w:p>
        </w:tc>
      </w:tr>
      <w:tr>
        <w:tc>
          <w:tcPr>
            <w:tcW w:w="2803" w:type="dxa"/>
          </w:tcPr>
          <w:p>
            <w:pPr/>
            <w:r>
              <w:t xml:space="preserve">Mechanistic or animal study</w:t>
            </w:r>
          </w:p>
        </w:tc>
        <w:tc>
          <w:tcPr>
            <w:tcW w:w="4081" w:type="dxa"/>
          </w:tcPr>
          <w:p>
            <w:pPr/>
            <w:r>
              <w:t xml:space="preserve">"in mice," "in vitro," "may explain"</w:t>
            </w:r>
          </w:p>
        </w:tc>
        <w:tc>
          <w:tcPr>
            <w:tcW w:w="2475" w:type="dxa"/>
          </w:tcPr>
          <w:p>
            <w:pPr/>
            <w:r>
              <w:t xml:space="preserve">Applying results directly to humans</w:t>
            </w:r>
          </w:p>
        </w:tc>
      </w:tr>
    </w:tbl>
    <w:p>
      <w:pPr/>
      <w:r>
        <w:rPr>
          <w:b/>
        </w:rPr>
        <w:t xml:space="preserve">Example (expert):</w:t>
      </w:r>
      <w:r>
        <w:t xml:space="preserve"> "In DAPA-HF, dapagliflozin reduced the composite of worsening heart failure or cardiovascular death (HR 0.74; 95% CI, 0.65-0.85)."</w:t>
      </w:r>
      <w:r>
        <w:br/>
      </w:r>
      <w:r>
        <w:rPr>
          <w:b/>
        </w:rPr>
        <w:t xml:space="preserve">Example (general):</w:t>
      </w:r>
      <w:r>
        <w:t xml:space="preserve"> "In a large study, people with heart failure who took dapagliflozin were about a quarter less likely to be hospitalized for worsening heart failure or to die from heart disease than people who took a dummy pill."</w:t>
      </w:r>
    </w:p>
    <w:p>
      <w:pPr>
        <w:pStyle w:val="Heading2"/>
      </w:pPr>
      <w:r>
        <w:t xml:space="preserve">3. Language Guidelines</w:t>
      </w:r>
    </w:p>
    <w:p>
      <w:pPr>
        <w:pStyle w:val="Heading3"/>
      </w:pPr>
      <w:r>
        <w:t xml:space="preserve">3.1 Clarity and concision</w:t>
      </w:r>
    </w:p>
    <w:p>
      <w:pPr>
        <w:pStyle w:val="ListParagraph"/>
        <w:numPr>
          <w:ilvl w:val="0"/>
          <w:numId w:val="4"/>
        </w:numPr>
      </w:pPr>
      <w:r>
        <w:t xml:space="preserve">Prefer short, specific words: "use" not "utilize," "start" not "commence," "about" not "approximately" (in general-audience text).</w:t>
      </w:r>
    </w:p>
    <w:p>
      <w:pPr>
        <w:pStyle w:val="ListParagraph"/>
        <w:numPr>
          <w:ilvl w:val="0"/>
          <w:numId w:val="4"/>
        </w:numPr>
      </w:pPr>
      <w:r>
        <w:t xml:space="preserve">Cut empty phrases: "in order to" becomes "to"; "due to the fact that" becomes "because"; "it is important to note that" can usually be deleted.</w:t>
      </w:r>
    </w:p>
    <w:p>
      <w:pPr>
        <w:pStyle w:val="ListParagraph"/>
        <w:numPr>
          <w:ilvl w:val="0"/>
          <w:numId w:val="4"/>
        </w:numPr>
      </w:pPr>
      <w:r>
        <w:t xml:space="preserve">Aim for one main idea per sentence. For general audiences, keep most sentences under about 20 words and target roughly a 6th to 8th grade reading level.</w:t>
      </w:r>
    </w:p>
    <w:p>
      <w:pPr>
        <w:pStyle w:val="ListParagraph"/>
        <w:numPr>
          <w:ilvl w:val="0"/>
          <w:numId w:val="4"/>
        </w:numPr>
      </w:pPr>
      <w:r>
        <w:t xml:space="preserve">Put the most important information first.</w:t>
      </w:r>
    </w:p>
    <w:p>
      <w:pPr>
        <w:pStyle w:val="Heading3"/>
      </w:pPr>
      <w:r>
        <w:t xml:space="preserve">3.2 Jargon and technical terms</w:t>
      </w:r>
    </w:p>
    <w:p>
      <w:pPr>
        <w:pStyle w:val="ListParagraph"/>
        <w:numPr>
          <w:ilvl w:val="0"/>
          <w:numId w:val="5"/>
        </w:numPr>
      </w:pPr>
      <w:r>
        <w:t xml:space="preserve">Use technical terms for expert audiences, but define any term a reader from a neighboring specialty might not know.</w:t>
      </w:r>
    </w:p>
    <w:p>
      <w:pPr>
        <w:pStyle w:val="ListParagraph"/>
        <w:numPr>
          <w:ilvl w:val="0"/>
          <w:numId w:val="5"/>
        </w:numPr>
      </w:pPr>
      <w:r>
        <w:t xml:space="preserve">For general audiences, replace jargon or explain it in parentheses on first use: "hypertension (high blood pressure)."</w:t>
      </w:r>
    </w:p>
    <w:p>
      <w:pPr>
        <w:pStyle w:val="ListParagraph"/>
        <w:numPr>
          <w:ilvl w:val="0"/>
          <w:numId w:val="5"/>
        </w:numPr>
      </w:pPr>
      <w:r>
        <w:t xml:space="preserve">Use the same term for the same concept throughout. Do not switch between "heart failure," "cardiac failure" and "congestive heart failure" for variety.</w:t>
      </w:r>
    </w:p>
    <w:p>
      <w:pPr>
        <w:pStyle w:val="Heading3"/>
      </w:pPr>
      <w:r>
        <w:t xml:space="preserve">3.3 Abbreviations and acronyms</w:t>
      </w:r>
    </w:p>
    <w:p>
      <w:pPr>
        <w:pStyle w:val="ListParagraph"/>
        <w:numPr>
          <w:ilvl w:val="0"/>
          <w:numId w:val="6"/>
        </w:numPr>
      </w:pPr>
      <w:r>
        <w:t xml:space="preserve">Spell out at first use, followed by the abbreviation in parentheses: "left ventricular ejection fraction (LVEF)."</w:t>
      </w:r>
    </w:p>
    <w:p>
      <w:pPr>
        <w:pStyle w:val="ListParagraph"/>
        <w:numPr>
          <w:ilvl w:val="0"/>
          <w:numId w:val="6"/>
        </w:numPr>
      </w:pPr>
      <w:r>
        <w:t xml:space="preserve">Avoid abbreviations in titles and keep them to a minimum in abstracts.</w:t>
      </w:r>
    </w:p>
    <w:p>
      <w:pPr>
        <w:pStyle w:val="ListParagraph"/>
        <w:numPr>
          <w:ilvl w:val="0"/>
          <w:numId w:val="6"/>
        </w:numPr>
      </w:pPr>
      <w:r>
        <w:t xml:space="preserve">Do not abbreviate a term that appears fewer than three times.</w:t>
      </w:r>
    </w:p>
    <w:p>
      <w:pPr>
        <w:pStyle w:val="ListParagraph"/>
        <w:numPr>
          <w:ilvl w:val="0"/>
          <w:numId w:val="6"/>
        </w:numPr>
      </w:pPr>
      <w:r>
        <w:t xml:space="preserve">Standard units and widely known abbreviations (for example DNA, HIV, mg) need not be defined for expert readers, but define them for the public.</w:t>
      </w:r>
    </w:p>
    <w:p>
      <w:pPr>
        <w:pStyle w:val="ListParagraph"/>
        <w:numPr>
          <w:ilvl w:val="0"/>
          <w:numId w:val="6"/>
        </w:numPr>
      </w:pPr>
      <w:r>
        <w:t xml:space="preserve">In general-audience text, avoid abbreviations altogether where possible.</w:t>
      </w:r>
    </w:p>
    <w:p>
      <w:pPr>
        <w:pStyle w:val="Heading3"/>
      </w:pPr>
      <w:r>
        <w:t xml:space="preserve">3.4 Drug names</w:t>
      </w:r>
    </w:p>
    <w:p>
      <w:pPr>
        <w:pStyle w:val="ListParagraph"/>
        <w:numPr>
          <w:ilvl w:val="0"/>
          <w:numId w:val="7"/>
        </w:numPr>
      </w:pPr>
      <w:r>
        <w:t xml:space="preserve">Use generic (nonproprietary) names, in lowercase: "empagliflozin," not "Jardiance."</w:t>
      </w:r>
    </w:p>
    <w:p>
      <w:pPr>
        <w:pStyle w:val="ListParagraph"/>
        <w:numPr>
          <w:ilvl w:val="0"/>
          <w:numId w:val="7"/>
        </w:numPr>
      </w:pPr>
      <w:r>
        <w:t xml:space="preserve">Give brand names only when necessary and capitalize them.</w:t>
      </w:r>
    </w:p>
    <w:p>
      <w:pPr>
        <w:pStyle w:val="ListParagraph"/>
        <w:numPr>
          <w:ilvl w:val="0"/>
          <w:numId w:val="7"/>
        </w:numPr>
      </w:pPr>
      <w:r>
        <w:t xml:space="preserve">Include dose, route and frequency in expert documents: "dapagliflozin 10 mg orally once daily."</w:t>
      </w:r>
    </w:p>
    <w:p>
      <w:pPr>
        <w:pStyle w:val="Heading3"/>
      </w:pPr>
      <w:r>
        <w:t xml:space="preserve">3.5 Bias-free and person-first language</w:t>
      </w:r>
    </w:p>
    <w:p>
      <w:pPr>
        <w:pStyle w:val="ListParagraph"/>
        <w:numPr>
          <w:ilvl w:val="0"/>
          <w:numId w:val="8"/>
        </w:numPr>
      </w:pPr>
      <w:r>
        <w:t xml:space="preserve">Put the person before the condition: "people with diabetes," not "diabetics."</w:t>
      </w:r>
    </w:p>
    <w:p>
      <w:pPr>
        <w:pStyle w:val="ListParagraph"/>
        <w:numPr>
          <w:ilvl w:val="0"/>
          <w:numId w:val="8"/>
        </w:numPr>
      </w:pPr>
      <w:r>
        <w:t xml:space="preserve">Avoid stigmatizing or militaristic framing: "suffering from," "victim," "fighting a battle," "failed treatment" (say "the treatment did not work"), "non-compliant" (say "did not take the medication as prescribed").</w:t>
      </w:r>
    </w:p>
    <w:p>
      <w:pPr>
        <w:pStyle w:val="ListParagraph"/>
        <w:numPr>
          <w:ilvl w:val="0"/>
          <w:numId w:val="8"/>
        </w:numPr>
      </w:pPr>
      <w:r>
        <w:t xml:space="preserve">Report sex and gender accurately, and race and ethnicity only when relevant, using the categories and wording defined in the study.</w:t>
      </w:r>
    </w:p>
    <w:p>
      <w:pPr>
        <w:pStyle w:val="ListParagraph"/>
        <w:numPr>
          <w:ilvl w:val="0"/>
          <w:numId w:val="8"/>
        </w:numPr>
      </w:pPr>
      <w:r>
        <w:t xml:space="preserve">Use inclusive, non-ageist terms: "older adults," not "the elderly."</w:t>
      </w:r>
    </w:p>
    <w:p>
      <w:pPr>
        <w:pStyle w:val="Heading3"/>
      </w:pPr>
      <w:r>
        <w:t xml:space="preserve">3.6 Numbers, units and statistics</w:t>
      </w:r>
    </w:p>
    <w:p>
      <w:pPr>
        <w:pStyle w:val="ListParagraph"/>
        <w:numPr>
          <w:ilvl w:val="0"/>
          <w:numId w:val="9"/>
        </w:numPr>
      </w:pPr>
      <w:r>
        <w:t xml:space="preserve">Use numerals for numbers 10 and above, and for any number with a unit, percentage or measurement. Spell out one through nine in running text when no unit is attached, and spell out any number that begins a sentence (or rewrite the sentence).</w:t>
      </w:r>
    </w:p>
    <w:p>
      <w:pPr>
        <w:pStyle w:val="ListParagraph"/>
        <w:numPr>
          <w:ilvl w:val="0"/>
          <w:numId w:val="9"/>
        </w:numPr>
      </w:pPr>
      <w:r>
        <w:t xml:space="preserve">Use SI units for measurements unless a journal requires otherwise. Put a space between the number and the unit: "10 mg," "5 mmol/L."</w:t>
      </w:r>
    </w:p>
    <w:p>
      <w:pPr>
        <w:pStyle w:val="ListParagraph"/>
        <w:numPr>
          <w:ilvl w:val="0"/>
          <w:numId w:val="9"/>
        </w:numPr>
      </w:pPr>
      <w:r>
        <w:t xml:space="preserve">Use the percent symbol with numerals: "16.3%."</w:t>
      </w:r>
    </w:p>
    <w:p>
      <w:pPr>
        <w:pStyle w:val="ListParagraph"/>
        <w:numPr>
          <w:ilvl w:val="0"/>
          <w:numId w:val="9"/>
        </w:numPr>
      </w:pPr>
      <w:r>
        <w:t xml:space="preserve">Report effect sizes with confidence intervals, not P values alone: "HR, 0.74; 95% CI, 0.65-0.85."</w:t>
      </w:r>
    </w:p>
    <w:p>
      <w:pPr>
        <w:pStyle w:val="ListParagraph"/>
        <w:numPr>
          <w:ilvl w:val="0"/>
          <w:numId w:val="9"/>
        </w:numPr>
      </w:pPr>
      <w:r>
        <w:t xml:space="preserve">Reserve "significant" for statistical significance and say "statistically significant." Use "substantial" or "large" for importance.</w:t>
      </w:r>
    </w:p>
    <w:p>
      <w:pPr>
        <w:pStyle w:val="ListParagraph"/>
        <w:numPr>
          <w:ilvl w:val="0"/>
          <w:numId w:val="9"/>
        </w:numPr>
      </w:pPr>
      <w:r>
        <w:t xml:space="preserve">Report absolute as well as relative risk when possible. "Cut the risk by 25%" means little without the baseline risk.</w:t>
      </w:r>
    </w:p>
    <w:p>
      <w:pPr>
        <w:pStyle w:val="ListParagraph"/>
        <w:numPr>
          <w:ilvl w:val="0"/>
          <w:numId w:val="9"/>
        </w:numPr>
      </w:pPr>
      <w:r>
        <w:t xml:space="preserve">Keep decimal places consistent within a table and avoid false precision.</w:t>
      </w:r>
    </w:p>
    <w:p>
      <w:pPr>
        <w:pStyle w:val="Heading3"/>
      </w:pPr>
      <w:r>
        <w:t xml:space="preserve">3.7 Common word-choice problems</w:t>
      </w:r>
    </w:p>
    <w:p>
      <w:pPr/>
      <w:r>
        <w:rPr>
          <w:b/>
        </w:rPr>
        <w:t xml:space="preserve">Table 2. Frequently confused terms</w:t>
      </w:r>
    </w:p>
    <w:tbl>
      <w:tblPr>
        <w:tblStyle w:val="TableGrid"/>
        <w:tblW w:w="0" w:type="auto"/>
        <w:tblLayout w:type="fixed"/>
        <w:tblLook w:val="04A0" w:firstRow="1" w:lastRow="0" w:firstColumn="0" w:lastColumn="0" w:noHBand="0" w:noVBand="1"/>
      </w:tblPr>
      <w:tblGrid>
        <w:gridCol w:w="3371"/>
        <w:gridCol w:w="5988"/>
      </w:tblGrid>
      <w:tr>
        <w:trPr>
          <w:tblHeader/>
        </w:trPr>
        <w:tc>
          <w:tcPr>
            <w:tcW w:w="3371" w:type="dxa"/>
            <w:shd w:val="clear" w:color="auto" w:fill="F2F2F2"/>
          </w:tcPr>
          <w:p>
            <w:pPr/>
            <w:r>
              <w:t xml:space="preserve">Term pair</w:t>
            </w:r>
          </w:p>
        </w:tc>
        <w:tc>
          <w:tcPr>
            <w:tcW w:w="5988" w:type="dxa"/>
            <w:shd w:val="clear" w:color="auto" w:fill="F2F2F2"/>
          </w:tcPr>
          <w:p>
            <w:pPr/>
            <w:r>
              <w:t xml:space="preserve">Correct use</w:t>
            </w:r>
          </w:p>
        </w:tc>
      </w:tr>
      <w:tr>
        <w:tc>
          <w:tcPr>
            <w:tcW w:w="3371" w:type="dxa"/>
          </w:tcPr>
          <w:p>
            <w:pPr/>
            <w:r>
              <w:t xml:space="preserve">Affect / effect</w:t>
            </w:r>
          </w:p>
        </w:tc>
        <w:tc>
          <w:tcPr>
            <w:tcW w:w="5988" w:type="dxa"/>
          </w:tcPr>
          <w:p>
            <w:pPr/>
            <w:r>
              <w:t xml:space="preserve">"Affect" is usually a verb (to influence); "effect" is usually a noun (a result).</w:t>
            </w:r>
          </w:p>
        </w:tc>
      </w:tr>
      <w:tr>
        <w:tc>
          <w:tcPr>
            <w:tcW w:w="3371" w:type="dxa"/>
          </w:tcPr>
          <w:p>
            <w:pPr/>
            <w:r>
              <w:t xml:space="preserve">Incidence / prevalence</w:t>
            </w:r>
          </w:p>
        </w:tc>
        <w:tc>
          <w:tcPr>
            <w:tcW w:w="5988" w:type="dxa"/>
          </w:tcPr>
          <w:p>
            <w:pPr/>
            <w:r>
              <w:t xml:space="preserve">Incidence is the number of new cases in a period; prevalence is the total existing cases at a time.</w:t>
            </w:r>
          </w:p>
        </w:tc>
      </w:tr>
      <w:tr>
        <w:tc>
          <w:tcPr>
            <w:tcW w:w="3371" w:type="dxa"/>
          </w:tcPr>
          <w:p>
            <w:pPr/>
            <w:r>
              <w:t xml:space="preserve">Sign / symptom</w:t>
            </w:r>
          </w:p>
        </w:tc>
        <w:tc>
          <w:tcPr>
            <w:tcW w:w="5988" w:type="dxa"/>
          </w:tcPr>
          <w:p>
            <w:pPr/>
            <w:r>
              <w:t xml:space="preserve">A sign is observed by a clinician; a symptom is reported by the patient.</w:t>
            </w:r>
          </w:p>
        </w:tc>
      </w:tr>
      <w:tr>
        <w:tc>
          <w:tcPr>
            <w:tcW w:w="3371" w:type="dxa"/>
          </w:tcPr>
          <w:p>
            <w:pPr/>
            <w:r>
              <w:t xml:space="preserve">Sensitivity / specificity</w:t>
            </w:r>
          </w:p>
        </w:tc>
        <w:tc>
          <w:tcPr>
            <w:tcW w:w="5988" w:type="dxa"/>
          </w:tcPr>
          <w:p>
            <w:pPr/>
            <w:r>
              <w:t xml:space="preserve">Sensitivity is the ability to detect people with the disease; specificity is the ability to rule out people without it.</w:t>
            </w:r>
          </w:p>
        </w:tc>
      </w:tr>
      <w:tr>
        <w:tc>
          <w:tcPr>
            <w:tcW w:w="3371" w:type="dxa"/>
          </w:tcPr>
          <w:p>
            <w:pPr/>
            <w:r>
              <w:t xml:space="preserve">Efficacy / effectiveness</w:t>
            </w:r>
          </w:p>
        </w:tc>
        <w:tc>
          <w:tcPr>
            <w:tcW w:w="5988" w:type="dxa"/>
          </w:tcPr>
          <w:p>
            <w:pPr/>
            <w:r>
              <w:t xml:space="preserve">Efficacy is performance under ideal trial conditions; effectiveness is performance in real-world practice.</w:t>
            </w:r>
          </w:p>
        </w:tc>
      </w:tr>
      <w:tr>
        <w:tc>
          <w:tcPr>
            <w:tcW w:w="3371" w:type="dxa"/>
          </w:tcPr>
          <w:p>
            <w:pPr/>
            <w:r>
              <w:t xml:space="preserve">Mortality / morbidity</w:t>
            </w:r>
          </w:p>
        </w:tc>
        <w:tc>
          <w:tcPr>
            <w:tcW w:w="5988" w:type="dxa"/>
          </w:tcPr>
          <w:p>
            <w:pPr/>
            <w:r>
              <w:t xml:space="preserve">Mortality is death; morbidity is illness or disease burden.</w:t>
            </w:r>
          </w:p>
        </w:tc>
      </w:tr>
      <w:tr>
        <w:tc>
          <w:tcPr>
            <w:tcW w:w="3371" w:type="dxa"/>
          </w:tcPr>
          <w:p>
            <w:pPr/>
            <w:r>
              <w:t xml:space="preserve">Acute / chronic</w:t>
            </w:r>
          </w:p>
        </w:tc>
        <w:tc>
          <w:tcPr>
            <w:tcW w:w="5988" w:type="dxa"/>
          </w:tcPr>
          <w:p>
            <w:pPr/>
            <w:r>
              <w:t xml:space="preserve">Acute is sudden and short-term; chronic is long-lasting.</w:t>
            </w:r>
          </w:p>
        </w:tc>
      </w:tr>
      <w:tr>
        <w:tc>
          <w:tcPr>
            <w:tcW w:w="3371" w:type="dxa"/>
          </w:tcPr>
          <w:p>
            <w:pPr/>
            <w:r>
              <w:t xml:space="preserve">Risk / odds</w:t>
            </w:r>
          </w:p>
        </w:tc>
        <w:tc>
          <w:tcPr>
            <w:tcW w:w="5988" w:type="dxa"/>
          </w:tcPr>
          <w:p>
            <w:pPr/>
            <w:r>
              <w:t xml:space="preserve">Risk is a probability (events divided by total); odds are events divided by non-events.</w:t>
            </w:r>
          </w:p>
        </w:tc>
      </w:tr>
      <w:tr>
        <w:tc>
          <w:tcPr>
            <w:tcW w:w="3371" w:type="dxa"/>
          </w:tcPr>
          <w:p>
            <w:pPr/>
            <w:r>
              <w:t xml:space="preserve">Less / fewer</w:t>
            </w:r>
          </w:p>
        </w:tc>
        <w:tc>
          <w:tcPr>
            <w:tcW w:w="5988" w:type="dxa"/>
          </w:tcPr>
          <w:p>
            <w:pPr/>
            <w:r>
              <w:t xml:space="preserve">Use "fewer" for countable items (fewer hospitalizations) and "less" for amounts.</w:t>
            </w:r>
          </w:p>
        </w:tc>
      </w:tr>
      <w:tr>
        <w:tc>
          <w:tcPr>
            <w:tcW w:w="3371" w:type="dxa"/>
          </w:tcPr>
          <w:p>
            <w:pPr/>
            <w:r>
              <w:t xml:space="preserve">Patients / participants</w:t>
            </w:r>
          </w:p>
        </w:tc>
        <w:tc>
          <w:tcPr>
            <w:tcW w:w="5988" w:type="dxa"/>
          </w:tcPr>
          <w:p>
            <w:pPr/>
            <w:r>
              <w:t xml:space="preserve">Use "patients" for people receiving care and "participants" for people enrolled in research.</w:t>
            </w:r>
          </w:p>
        </w:tc>
      </w:tr>
    </w:tbl>
    <w:p>
      <w:pPr>
        <w:pStyle w:val="Heading2"/>
      </w:pPr>
      <w:r>
        <w:t xml:space="preserve">4. Document Structure</w:t>
      </w:r>
    </w:p>
    <w:p>
      <w:pPr>
        <w:pStyle w:val="Heading3"/>
      </w:pPr>
      <w:r>
        <w:t xml:space="preserve">4.1 IMRaD for research articles</w:t>
      </w:r>
    </w:p>
    <w:p>
      <w:pPr/>
      <w:r>
        <w:t xml:space="preserve">Original research follows IMRaD:</w:t>
      </w:r>
    </w:p>
    <w:p>
      <w:pPr>
        <w:pStyle w:val="ListParagraph"/>
        <w:numPr>
          <w:ilvl w:val="0"/>
          <w:numId w:val="10"/>
        </w:numPr>
      </w:pPr>
      <w:r>
        <w:rPr>
          <w:b/>
        </w:rPr>
        <w:t xml:space="preserve">Introduction:</w:t>
      </w:r>
      <w:r>
        <w:t xml:space="preserve"> What is known, what is not known, and the study objective.</w:t>
      </w:r>
    </w:p>
    <w:p>
      <w:pPr>
        <w:pStyle w:val="ListParagraph"/>
        <w:numPr>
          <w:ilvl w:val="0"/>
          <w:numId w:val="10"/>
        </w:numPr>
      </w:pPr>
      <w:r>
        <w:rPr>
          <w:b/>
        </w:rPr>
        <w:t xml:space="preserve">Methods:</w:t>
      </w:r>
      <w:r>
        <w:t xml:space="preserve"> Enough detail for another researcher to repeat the work: design, participants, interventions, outcomes, statistical analysis, ethics approval and consent.</w:t>
      </w:r>
    </w:p>
    <w:p>
      <w:pPr>
        <w:pStyle w:val="ListParagraph"/>
        <w:numPr>
          <w:ilvl w:val="0"/>
          <w:numId w:val="10"/>
        </w:numPr>
      </w:pPr>
      <w:r>
        <w:rPr>
          <w:b/>
        </w:rPr>
        <w:t xml:space="preserve">Results:</w:t>
      </w:r>
      <w:r>
        <w:t xml:space="preserve"> What was found, in logical order, without interpretation.</w:t>
      </w:r>
    </w:p>
    <w:p>
      <w:pPr>
        <w:pStyle w:val="ListParagraph"/>
        <w:numPr>
          <w:ilvl w:val="0"/>
          <w:numId w:val="10"/>
        </w:numPr>
      </w:pPr>
      <w:r>
        <w:rPr>
          <w:b/>
        </w:rPr>
        <w:t xml:space="preserve">Discussion:</w:t>
      </w:r>
      <w:r>
        <w:t xml:space="preserve"> What the results mean, how they compare with other studies, strengths and limitations, and implications.</w:t>
      </w:r>
    </w:p>
    <w:p>
      <w:pPr/>
      <w:r>
        <w:t xml:space="preserve">The article also includes a title, abstract, keywords, conclusion, acknowledgments, funding and conflict-of-interest statements, and references.</w:t>
      </w:r>
    </w:p>
    <w:p>
      <w:pPr>
        <w:pStyle w:val="Heading3"/>
      </w:pPr>
      <w:r>
        <w:t xml:space="preserve">4.2 Title and abstract</w:t>
      </w:r>
    </w:p>
    <w:p>
      <w:pPr>
        <w:pStyle w:val="ListParagraph"/>
        <w:numPr>
          <w:ilvl w:val="0"/>
          <w:numId w:val="11"/>
        </w:numPr>
      </w:pPr>
      <w:r>
        <w:rPr>
          <w:b/>
        </w:rPr>
        <w:t xml:space="preserve">Title:</w:t>
      </w:r>
      <w:r>
        <w:t xml:space="preserve"> Informative and specific, ideally naming the population, intervention and design. Avoid abbreviations and hype. Example: "Dapagliflozin in Patients With Heart Failure and Reduced Ejection Fraction: A Randomized Trial."</w:t>
      </w:r>
    </w:p>
    <w:p>
      <w:pPr>
        <w:pStyle w:val="ListParagraph"/>
        <w:numPr>
          <w:ilvl w:val="0"/>
          <w:numId w:val="11"/>
        </w:numPr>
      </w:pPr>
      <w:r>
        <w:rPr>
          <w:b/>
        </w:rPr>
        <w:t xml:space="preserve">Abstract:</w:t>
      </w:r>
      <w:r>
        <w:t xml:space="preserve"> A standalone summary, usually 150 to 300 words depending on the journal, with Background, Methods, Results and Conclusions. Include key numbers. Do not include anything that is not in the main text.</w:t>
      </w:r>
    </w:p>
    <w:p>
      <w:pPr>
        <w:pStyle w:val="Heading3"/>
      </w:pPr>
      <w:r>
        <w:t xml:space="preserve">4.3 Reporting guidelines</w:t>
      </w:r>
    </w:p>
    <w:p>
      <w:pPr/>
      <w:r>
        <w:t xml:space="preserve">Use the guideline that matches the study design, and include its checklist when submitting:</w:t>
      </w:r>
    </w:p>
    <w:p>
      <w:pPr>
        <w:pStyle w:val="ListParagraph"/>
        <w:numPr>
          <w:ilvl w:val="0"/>
          <w:numId w:val="12"/>
        </w:numPr>
      </w:pPr>
      <w:r>
        <w:rPr>
          <w:b/>
        </w:rPr>
        <w:t xml:space="preserve">CONSORT</w:t>
      </w:r>
      <w:r>
        <w:t xml:space="preserve"> for randomized trials.</w:t>
      </w:r>
    </w:p>
    <w:p>
      <w:pPr>
        <w:pStyle w:val="ListParagraph"/>
        <w:numPr>
          <w:ilvl w:val="0"/>
          <w:numId w:val="12"/>
        </w:numPr>
      </w:pPr>
      <w:r>
        <w:rPr>
          <w:b/>
        </w:rPr>
        <w:t xml:space="preserve">PRISMA</w:t>
      </w:r>
      <w:r>
        <w:t xml:space="preserve"> for systematic reviews and meta-analyses.</w:t>
      </w:r>
    </w:p>
    <w:p>
      <w:pPr>
        <w:pStyle w:val="ListParagraph"/>
        <w:numPr>
          <w:ilvl w:val="0"/>
          <w:numId w:val="12"/>
        </w:numPr>
      </w:pPr>
      <w:r>
        <w:rPr>
          <w:b/>
        </w:rPr>
        <w:t xml:space="preserve">STROBE</w:t>
      </w:r>
      <w:r>
        <w:t xml:space="preserve"> for observational studies.</w:t>
      </w:r>
    </w:p>
    <w:p>
      <w:pPr>
        <w:pStyle w:val="ListParagraph"/>
        <w:numPr>
          <w:ilvl w:val="0"/>
          <w:numId w:val="12"/>
        </w:numPr>
      </w:pPr>
      <w:r>
        <w:rPr>
          <w:b/>
        </w:rPr>
        <w:t xml:space="preserve">CARE</w:t>
      </w:r>
      <w:r>
        <w:t xml:space="preserve"> for case reports.</w:t>
      </w:r>
    </w:p>
    <w:p>
      <w:pPr>
        <w:pStyle w:val="Heading3"/>
      </w:pPr>
      <w:r>
        <w:t xml:space="preserve">4.4 Structure for general-audience documents</w:t>
      </w:r>
    </w:p>
    <w:p>
      <w:pPr/>
      <w:r>
        <w:t xml:space="preserve">For patient and public material, use this order: key message first, what it means for you, what to do next, then supporting detail. Use short paragraphs, descriptive headings phrased as questions or actions, and lists for steps. Add a short "when to seek help" section where appropriate.</w:t>
      </w:r>
    </w:p>
    <w:p>
      <w:pPr>
        <w:pStyle w:val="Heading3"/>
      </w:pPr>
      <w:r>
        <w:t xml:space="preserve">4.5 Paragraph and section logic</w:t>
      </w:r>
    </w:p>
    <w:p>
      <w:pPr/>
      <w:r>
        <w:t xml:space="preserve">Each paragraph should open with a topic sentence, develop one idea, and link to the next. Headings should tell the reader what the section contains. Never present a statistic or claim without its source or an explanation of its meaning.</w:t>
      </w:r>
    </w:p>
    <w:p>
      <w:pPr>
        <w:pStyle w:val="Heading2"/>
      </w:pPr>
      <w:r>
        <w:t xml:space="preserve">5. Formatting Standards</w:t>
      </w:r>
    </w:p>
    <w:p>
      <w:pPr>
        <w:pStyle w:val="Heading3"/>
      </w:pPr>
      <w:r>
        <w:t xml:space="preserve">5.1 General layout</w:t>
      </w:r>
    </w:p>
    <w:p>
      <w:pPr>
        <w:pStyle w:val="ListParagraph"/>
        <w:numPr>
          <w:ilvl w:val="0"/>
          <w:numId w:val="13"/>
        </w:numPr>
      </w:pPr>
      <w:r>
        <w:rPr>
          <w:b/>
        </w:rPr>
        <w:t xml:space="preserve">Font:</w:t>
      </w:r>
      <w:r>
        <w:t xml:space="preserve"> A clean, readable font such as Times New Roman 12 pt or Arial/Calibri 11 pt, unless the journal specifies otherwise.</w:t>
      </w:r>
    </w:p>
    <w:p>
      <w:pPr>
        <w:pStyle w:val="ListParagraph"/>
        <w:numPr>
          <w:ilvl w:val="0"/>
          <w:numId w:val="13"/>
        </w:numPr>
      </w:pPr>
      <w:r>
        <w:rPr>
          <w:b/>
        </w:rPr>
        <w:t xml:space="preserve">Spacing:</w:t>
      </w:r>
      <w:r>
        <w:t xml:space="preserve"> Double spacing for manuscripts; single spacing with space between paragraphs for reports and handouts.</w:t>
      </w:r>
    </w:p>
    <w:p>
      <w:pPr>
        <w:pStyle w:val="ListParagraph"/>
        <w:numPr>
          <w:ilvl w:val="0"/>
          <w:numId w:val="13"/>
        </w:numPr>
      </w:pPr>
      <w:r>
        <w:rPr>
          <w:b/>
        </w:rPr>
        <w:t xml:space="preserve">Margins:</w:t>
      </w:r>
      <w:r>
        <w:t xml:space="preserve"> 2.5 cm (1 inch) on all sides.</w:t>
      </w:r>
    </w:p>
    <w:p>
      <w:pPr>
        <w:pStyle w:val="ListParagraph"/>
        <w:numPr>
          <w:ilvl w:val="0"/>
          <w:numId w:val="13"/>
        </w:numPr>
      </w:pPr>
      <w:r>
        <w:rPr>
          <w:b/>
        </w:rPr>
        <w:t xml:space="preserve">Alignment:</w:t>
      </w:r>
      <w:r>
        <w:t xml:space="preserve"> Left-aligned, not justified, to keep spacing even.</w:t>
      </w:r>
    </w:p>
    <w:p>
      <w:pPr>
        <w:pStyle w:val="ListParagraph"/>
        <w:numPr>
          <w:ilvl w:val="0"/>
          <w:numId w:val="13"/>
        </w:numPr>
      </w:pPr>
      <w:r>
        <w:rPr>
          <w:b/>
        </w:rPr>
        <w:t xml:space="preserve">Page numbers:</w:t>
      </w:r>
      <w:r>
        <w:t xml:space="preserve"> Included on every page.</w:t>
      </w:r>
    </w:p>
    <w:p>
      <w:pPr>
        <w:pStyle w:val="Heading3"/>
      </w:pPr>
      <w:r>
        <w:t xml:space="preserve">5.2 Headings</w:t>
      </w:r>
    </w:p>
    <w:p>
      <w:pPr>
        <w:pStyle w:val="ListParagraph"/>
        <w:numPr>
          <w:ilvl w:val="0"/>
          <w:numId w:val="14"/>
        </w:numPr>
      </w:pPr>
      <w:r>
        <w:t xml:space="preserve">Use no more than three levels, with a consistent style: Level 1 bold and larger, Level 2 bold, Level 3 italic.</w:t>
      </w:r>
    </w:p>
    <w:p>
      <w:pPr>
        <w:pStyle w:val="ListParagraph"/>
        <w:numPr>
          <w:ilvl w:val="0"/>
          <w:numId w:val="14"/>
        </w:numPr>
      </w:pPr>
      <w:r>
        <w:t xml:space="preserve">Use sentence case or title case consistently, but not both.</w:t>
      </w:r>
    </w:p>
    <w:p>
      <w:pPr>
        <w:pStyle w:val="ListParagraph"/>
        <w:numPr>
          <w:ilvl w:val="0"/>
          <w:numId w:val="14"/>
        </w:numPr>
      </w:pPr>
      <w:r>
        <w:t xml:space="preserve">Number headings in long reports and technical documents.</w:t>
      </w:r>
    </w:p>
    <w:p>
      <w:pPr>
        <w:pStyle w:val="Heading3"/>
      </w:pPr>
      <w:r>
        <w:t xml:space="preserve">5.3 Lists</w:t>
      </w:r>
    </w:p>
    <w:p>
      <w:pPr>
        <w:pStyle w:val="ListParagraph"/>
        <w:numPr>
          <w:ilvl w:val="0"/>
          <w:numId w:val="15"/>
        </w:numPr>
      </w:pPr>
      <w:r>
        <w:t xml:space="preserve">Use bullets for items with no order and numbers for steps or ranked items.</w:t>
      </w:r>
    </w:p>
    <w:p>
      <w:pPr>
        <w:pStyle w:val="ListParagraph"/>
        <w:numPr>
          <w:ilvl w:val="0"/>
          <w:numId w:val="15"/>
        </w:numPr>
      </w:pPr>
      <w:r>
        <w:t xml:space="preserve">Keep list items grammatically parallel.</w:t>
      </w:r>
    </w:p>
    <w:p>
      <w:pPr>
        <w:pStyle w:val="ListParagraph"/>
        <w:numPr>
          <w:ilvl w:val="0"/>
          <w:numId w:val="15"/>
        </w:numPr>
      </w:pPr>
      <w:r>
        <w:t xml:space="preserve">Introduce a list with a complete sentence or phrase ending in a colon.</w:t>
      </w:r>
    </w:p>
    <w:p>
      <w:pPr>
        <w:pStyle w:val="Heading3"/>
      </w:pPr>
      <w:r>
        <w:t xml:space="preserve">5.4 Dates, times and symbols</w:t>
      </w:r>
    </w:p>
    <w:p>
      <w:pPr>
        <w:pStyle w:val="ListParagraph"/>
        <w:numPr>
          <w:ilvl w:val="0"/>
          <w:numId w:val="16"/>
        </w:numPr>
      </w:pPr>
      <w:r>
        <w:t xml:space="preserve">Write dates unambiguously: "29 October 2026" or "October 29, 2026," never "29/10/26" alone.</w:t>
      </w:r>
    </w:p>
    <w:p>
      <w:pPr>
        <w:pStyle w:val="ListParagraph"/>
        <w:numPr>
          <w:ilvl w:val="0"/>
          <w:numId w:val="16"/>
        </w:numPr>
      </w:pPr>
      <w:r>
        <w:t xml:space="preserve">Use a 24-hour clock in clinical documents, or specify a.m. and p.m. consistently.</w:t>
      </w:r>
    </w:p>
    <w:p>
      <w:pPr>
        <w:pStyle w:val="ListParagraph"/>
        <w:numPr>
          <w:ilvl w:val="0"/>
          <w:numId w:val="16"/>
        </w:numPr>
      </w:pPr>
      <w:r>
        <w:t xml:space="preserve">Place a space before and after symbols such as = in text, and follow the journal's rules for P values (for example, "P = .03" in AMA style).</w:t>
      </w:r>
    </w:p>
    <w:p>
      <w:pPr>
        <w:pStyle w:val="Heading3"/>
      </w:pPr>
      <w:r>
        <w:t xml:space="preserve">5.5 Special formatting for general audiences</w:t>
      </w:r>
    </w:p>
    <w:p>
      <w:pPr>
        <w:pStyle w:val="ListParagraph"/>
        <w:numPr>
          <w:ilvl w:val="0"/>
          <w:numId w:val="17"/>
        </w:numPr>
      </w:pPr>
      <w:r>
        <w:t xml:space="preserve">Use at least 12 pt type, plenty of white space and high contrast.</w:t>
      </w:r>
    </w:p>
    <w:p>
      <w:pPr>
        <w:pStyle w:val="ListParagraph"/>
        <w:numPr>
          <w:ilvl w:val="0"/>
          <w:numId w:val="17"/>
        </w:numPr>
      </w:pPr>
      <w:r>
        <w:t xml:space="preserve">Bold only key words or warnings, not whole paragraphs.</w:t>
      </w:r>
    </w:p>
    <w:p>
      <w:pPr>
        <w:pStyle w:val="ListParagraph"/>
        <w:numPr>
          <w:ilvl w:val="0"/>
          <w:numId w:val="17"/>
        </w:numPr>
      </w:pPr>
      <w:r>
        <w:t xml:space="preserve">Avoid all capitals and long blocks of italics.</w:t>
      </w:r>
    </w:p>
    <w:p>
      <w:pPr>
        <w:pStyle w:val="Heading2"/>
      </w:pPr>
      <w:r>
        <w:t xml:space="preserve">6. Citations and References</w:t>
      </w:r>
    </w:p>
    <w:p>
      <w:pPr>
        <w:pStyle w:val="Heading3"/>
      </w:pPr>
      <w:r>
        <w:t xml:space="preserve">6.1 When to cite</w:t>
      </w:r>
    </w:p>
    <w:p>
      <w:pPr/>
      <w:r>
        <w:t xml:space="preserve">Cite any statistic, finding, guideline recommendation or idea that is not your own or common knowledge. Prefer primary sources and recent, peer-reviewed publications. Do not cite a review for a claim you can trace to the original study, and never cite a paper you have not read.</w:t>
      </w:r>
    </w:p>
    <w:p>
      <w:pPr>
        <w:pStyle w:val="Heading3"/>
      </w:pPr>
      <w:r>
        <w:t xml:space="preserve">6.2 AMA numbered style</w:t>
      </w:r>
    </w:p>
    <w:p>
      <w:pPr>
        <w:pStyle w:val="ListParagraph"/>
        <w:numPr>
          <w:ilvl w:val="0"/>
          <w:numId w:val="18"/>
        </w:numPr>
      </w:pPr>
      <w:r>
        <w:t xml:space="preserve">Number references in the order they first appear in the text.</w:t>
      </w:r>
    </w:p>
    <w:p>
      <w:pPr>
        <w:pStyle w:val="ListParagraph"/>
        <w:numPr>
          <w:ilvl w:val="0"/>
          <w:numId w:val="18"/>
        </w:numPr>
      </w:pPr>
      <w:r>
        <w:t xml:space="preserve">In-text citations are superscript numbers or bracketed numbers, placed after punctuation (period and comma) and before colons and semicolons, depending on the journal.</w:t>
      </w:r>
    </w:p>
    <w:p>
      <w:pPr>
        <w:pStyle w:val="ListParagraph"/>
        <w:numPr>
          <w:ilvl w:val="0"/>
          <w:numId w:val="18"/>
        </w:numPr>
      </w:pPr>
      <w:r>
        <w:t xml:space="preserve">Reuse the same number whenever the same source is cited again.</w:t>
      </w:r>
    </w:p>
    <w:p>
      <w:pPr>
        <w:pStyle w:val="ListParagraph"/>
        <w:numPr>
          <w:ilvl w:val="0"/>
          <w:numId w:val="18"/>
        </w:numPr>
      </w:pPr>
      <w:r>
        <w:t xml:space="preserve">List up to six authors; for more than six, list the first three followed by "et al."</w:t>
      </w:r>
    </w:p>
    <w:p>
      <w:pPr>
        <w:pStyle w:val="ListParagraph"/>
        <w:numPr>
          <w:ilvl w:val="0"/>
          <w:numId w:val="18"/>
        </w:numPr>
      </w:pPr>
      <w:r>
        <w:t xml:space="preserve">Abbreviate journal names according to the National Library of Medicine, and add a DOI where available.</w:t>
      </w:r>
    </w:p>
    <w:p>
      <w:pPr/>
      <w:r>
        <w:rPr>
          <w:b/>
        </w:rPr>
        <w:t xml:space="preserve">Journal article:</w:t>
      </w:r>
      <w:r>
        <w:br/>
      </w:r>
      <w:r>
        <w:t xml:space="preserve">McMurray JJV, Solomon SD, Inzucchi SE, et al. Dapagliflozin in patients with heart failure and reduced ejection fraction. </w:t>
      </w:r>
      <w:r>
        <w:rPr>
          <w:i/>
        </w:rPr>
        <w:t xml:space="preserve">N Engl J Med.</w:t>
      </w:r>
      <w:r>
        <w:t xml:space="preserve"> 2019;381(21):1995-2008. doi:10.1056/NEJMoa1911303</w:t>
      </w:r>
    </w:p>
    <w:p>
      <w:pPr/>
      <w:r>
        <w:rPr>
          <w:b/>
        </w:rPr>
        <w:t xml:space="preserve">Book:</w:t>
      </w:r>
      <w:r>
        <w:br/>
      </w:r>
      <w:r>
        <w:t xml:space="preserve">Iverson C, Christiansen S, Flanagin A, et al. </w:t>
      </w:r>
      <w:r>
        <w:rPr>
          <w:i/>
        </w:rPr>
        <w:t xml:space="preserve">AMA Manual of Style: A Guide for Authors and Editors.</w:t>
      </w:r>
      <w:r>
        <w:t xml:space="preserve"> 11th ed. Oxford University Press; 2020.</w:t>
      </w:r>
    </w:p>
    <w:p>
      <w:pPr/>
      <w:r>
        <w:rPr>
          <w:b/>
        </w:rPr>
        <w:t xml:space="preserve">Website:</w:t>
      </w:r>
      <w:r>
        <w:br/>
      </w:r>
      <w:r>
        <w:t xml:space="preserve">International Committee of Medical Journal Editors. Recommendations for the Conduct, Reporting, Editing, and Publication of Scholarly Work in Medical Journals. Accessed [date]. [URL]</w:t>
      </w:r>
    </w:p>
    <w:p>
      <w:pPr>
        <w:pStyle w:val="Heading3"/>
      </w:pPr>
      <w:r>
        <w:t xml:space="preserve">6.3 Quoting, paraphrasing and plagiarism</w:t>
      </w:r>
    </w:p>
    <w:p>
      <w:pPr>
        <w:pStyle w:val="ListParagraph"/>
        <w:numPr>
          <w:ilvl w:val="0"/>
          <w:numId w:val="19"/>
        </w:numPr>
      </w:pPr>
      <w:r>
        <w:t xml:space="preserve">Paraphrase in your own words and cite the source. Changing a few words is not paraphrasing.</w:t>
      </w:r>
    </w:p>
    <w:p>
      <w:pPr>
        <w:pStyle w:val="ListParagraph"/>
        <w:numPr>
          <w:ilvl w:val="0"/>
          <w:numId w:val="19"/>
        </w:numPr>
      </w:pPr>
      <w:r>
        <w:t xml:space="preserve">Use direct quotations rarely, in quotation marks, with the source and page.</w:t>
      </w:r>
    </w:p>
    <w:p>
      <w:pPr>
        <w:pStyle w:val="ListParagraph"/>
        <w:numPr>
          <w:ilvl w:val="0"/>
          <w:numId w:val="19"/>
        </w:numPr>
      </w:pPr>
      <w:r>
        <w:t xml:space="preserve">Disclose the use of any writing or editing tools as the journal requires, and take full responsibility for the accuracy of all content.</w:t>
      </w:r>
    </w:p>
    <w:p>
      <w:pPr>
        <w:pStyle w:val="ListParagraph"/>
        <w:numPr>
          <w:ilvl w:val="0"/>
          <w:numId w:val="19"/>
        </w:numPr>
      </w:pPr>
      <w:r>
        <w:t xml:space="preserve">Use reference-management software (such as Zotero or EndNote) to keep citations consistent.</w:t>
      </w:r>
    </w:p>
    <w:p>
      <w:pPr>
        <w:pStyle w:val="Heading2"/>
      </w:pPr>
      <w:r>
        <w:t xml:space="preserve">7. Visual Data Representation</w:t>
      </w:r>
    </w:p>
    <w:p>
      <w:pPr>
        <w:pStyle w:val="Heading3"/>
      </w:pPr>
      <w:r>
        <w:t xml:space="preserve">7.1 Choosing the right display</w:t>
      </w:r>
    </w:p>
    <w:p>
      <w:pPr/>
      <w:r>
        <w:rPr>
          <w:b/>
        </w:rPr>
        <w:t xml:space="preserve">Table 3. Which visual to use</w:t>
      </w:r>
    </w:p>
    <w:tbl>
      <w:tblPr>
        <w:tblStyle w:val="TableGrid"/>
        <w:tblW w:w="0" w:type="auto"/>
        <w:tblLayout w:type="fixed"/>
        <w:tblLook w:val="04A0" w:firstRow="1" w:lastRow="0" w:firstColumn="0" w:lastColumn="0" w:noHBand="0" w:noVBand="1"/>
      </w:tblPr>
      <w:tblGrid>
        <w:gridCol w:w="3070"/>
        <w:gridCol w:w="2460"/>
        <w:gridCol w:w="3830"/>
      </w:tblGrid>
      <w:tr>
        <w:trPr>
          <w:tblHeader/>
        </w:trPr>
        <w:tc>
          <w:tcPr>
            <w:tcW w:w="3070" w:type="dxa"/>
            <w:shd w:val="clear" w:color="auto" w:fill="F2F2F2"/>
          </w:tcPr>
          <w:p>
            <w:pPr/>
            <w:r>
              <w:t xml:space="preserve">Goal</w:t>
            </w:r>
          </w:p>
        </w:tc>
        <w:tc>
          <w:tcPr>
            <w:tcW w:w="2460" w:type="dxa"/>
            <w:shd w:val="clear" w:color="auto" w:fill="F2F2F2"/>
          </w:tcPr>
          <w:p>
            <w:pPr/>
            <w:r>
              <w:t xml:space="preserve">Best choice</w:t>
            </w:r>
          </w:p>
        </w:tc>
        <w:tc>
          <w:tcPr>
            <w:tcW w:w="3830" w:type="dxa"/>
            <w:shd w:val="clear" w:color="auto" w:fill="F2F2F2"/>
          </w:tcPr>
          <w:p>
            <w:pPr/>
            <w:r>
              <w:t xml:space="preserve">Notes</w:t>
            </w:r>
          </w:p>
        </w:tc>
      </w:tr>
      <w:tr>
        <w:tc>
          <w:tcPr>
            <w:tcW w:w="3070" w:type="dxa"/>
          </w:tcPr>
          <w:p>
            <w:pPr/>
            <w:r>
              <w:t xml:space="preserve">Show exact values or many variables</w:t>
            </w:r>
          </w:p>
        </w:tc>
        <w:tc>
          <w:tcPr>
            <w:tcW w:w="2460" w:type="dxa"/>
          </w:tcPr>
          <w:p>
            <w:pPr/>
            <w:r>
              <w:t xml:space="preserve">Table</w:t>
            </w:r>
          </w:p>
        </w:tc>
        <w:tc>
          <w:tcPr>
            <w:tcW w:w="3830" w:type="dxa"/>
          </w:tcPr>
          <w:p>
            <w:pPr/>
            <w:r>
              <w:t xml:space="preserve">Keep to the essential data; avoid duplicating text</w:t>
            </w:r>
          </w:p>
        </w:tc>
      </w:tr>
      <w:tr>
        <w:tc>
          <w:tcPr>
            <w:tcW w:w="3070" w:type="dxa"/>
          </w:tcPr>
          <w:p>
            <w:pPr/>
            <w:r>
              <w:t xml:space="preserve">Compare categories</w:t>
            </w:r>
          </w:p>
        </w:tc>
        <w:tc>
          <w:tcPr>
            <w:tcW w:w="2460" w:type="dxa"/>
          </w:tcPr>
          <w:p>
            <w:pPr/>
            <w:r>
              <w:t xml:space="preserve">Bar chart</w:t>
            </w:r>
          </w:p>
        </w:tc>
        <w:tc>
          <w:tcPr>
            <w:tcW w:w="3830" w:type="dxa"/>
          </w:tcPr>
          <w:p>
            <w:pPr/>
            <w:r>
              <w:t xml:space="preserve">Start the y-axis at zero</w:t>
            </w:r>
          </w:p>
        </w:tc>
      </w:tr>
      <w:tr>
        <w:tc>
          <w:tcPr>
            <w:tcW w:w="3070" w:type="dxa"/>
          </w:tcPr>
          <w:p>
            <w:pPr/>
            <w:r>
              <w:t xml:space="preserve">Show change over time</w:t>
            </w:r>
          </w:p>
        </w:tc>
        <w:tc>
          <w:tcPr>
            <w:tcW w:w="2460" w:type="dxa"/>
          </w:tcPr>
          <w:p>
            <w:pPr/>
            <w:r>
              <w:t xml:space="preserve">Line graph</w:t>
            </w:r>
          </w:p>
        </w:tc>
        <w:tc>
          <w:tcPr>
            <w:tcW w:w="3830" w:type="dxa"/>
          </w:tcPr>
          <w:p>
            <w:pPr/>
            <w:r>
              <w:t xml:space="preserve">Label time points and units</w:t>
            </w:r>
          </w:p>
        </w:tc>
      </w:tr>
      <w:tr>
        <w:tc>
          <w:tcPr>
            <w:tcW w:w="3070" w:type="dxa"/>
          </w:tcPr>
          <w:p>
            <w:pPr/>
            <w:r>
              <w:t xml:space="preserve">Show survival or time-to-event</w:t>
            </w:r>
          </w:p>
        </w:tc>
        <w:tc>
          <w:tcPr>
            <w:tcW w:w="2460" w:type="dxa"/>
          </w:tcPr>
          <w:p>
            <w:pPr/>
            <w:r>
              <w:t xml:space="preserve">Kaplan-Meier curve</w:t>
            </w:r>
          </w:p>
        </w:tc>
        <w:tc>
          <w:tcPr>
            <w:tcW w:w="3830" w:type="dxa"/>
          </w:tcPr>
          <w:p>
            <w:pPr/>
            <w:r>
              <w:t xml:space="preserve">Include numbers at risk and confidence bands where possible</w:t>
            </w:r>
          </w:p>
        </w:tc>
      </w:tr>
      <w:tr>
        <w:tc>
          <w:tcPr>
            <w:tcW w:w="3070" w:type="dxa"/>
          </w:tcPr>
          <w:p>
            <w:pPr/>
            <w:r>
              <w:t xml:space="preserve">Show effect sizes across studies or subgroups</w:t>
            </w:r>
          </w:p>
        </w:tc>
        <w:tc>
          <w:tcPr>
            <w:tcW w:w="2460" w:type="dxa"/>
          </w:tcPr>
          <w:p>
            <w:pPr/>
            <w:r>
              <w:t xml:space="preserve">Forest plot</w:t>
            </w:r>
          </w:p>
        </w:tc>
        <w:tc>
          <w:tcPr>
            <w:tcW w:w="3830" w:type="dxa"/>
          </w:tcPr>
          <w:p>
            <w:pPr/>
            <w:r>
              <w:t xml:space="preserve">Label the favored direction and the line of no effect</w:t>
            </w:r>
          </w:p>
        </w:tc>
      </w:tr>
      <w:tr>
        <w:tc>
          <w:tcPr>
            <w:tcW w:w="3070" w:type="dxa"/>
          </w:tcPr>
          <w:p>
            <w:pPr/>
            <w:r>
              <w:t xml:space="preserve">Show relationship between two continuous variables</w:t>
            </w:r>
          </w:p>
        </w:tc>
        <w:tc>
          <w:tcPr>
            <w:tcW w:w="2460" w:type="dxa"/>
          </w:tcPr>
          <w:p>
            <w:pPr/>
            <w:r>
              <w:t xml:space="preserve">Scatter plot</w:t>
            </w:r>
          </w:p>
        </w:tc>
        <w:tc>
          <w:tcPr>
            <w:tcW w:w="3830" w:type="dxa"/>
          </w:tcPr>
          <w:p>
            <w:pPr/>
            <w:r>
              <w:t xml:space="preserve">Add a trend line only if justified</w:t>
            </w:r>
          </w:p>
        </w:tc>
      </w:tr>
      <w:tr>
        <w:tc>
          <w:tcPr>
            <w:tcW w:w="3070" w:type="dxa"/>
          </w:tcPr>
          <w:p>
            <w:pPr/>
            <w:r>
              <w:t xml:space="preserve">Show process or patient flow</w:t>
            </w:r>
          </w:p>
        </w:tc>
        <w:tc>
          <w:tcPr>
            <w:tcW w:w="2460" w:type="dxa"/>
          </w:tcPr>
          <w:p>
            <w:pPr/>
            <w:r>
              <w:t xml:space="preserve">Flow diagram</w:t>
            </w:r>
          </w:p>
        </w:tc>
        <w:tc>
          <w:tcPr>
            <w:tcW w:w="3830" w:type="dxa"/>
          </w:tcPr>
          <w:p>
            <w:pPr/>
            <w:r>
              <w:t xml:space="preserve">CONSORT or PRISMA flow diagrams as required</w:t>
            </w:r>
          </w:p>
        </w:tc>
      </w:tr>
      <w:tr>
        <w:tc>
          <w:tcPr>
            <w:tcW w:w="3070" w:type="dxa"/>
          </w:tcPr>
          <w:p>
            <w:pPr/>
            <w:r>
              <w:t xml:space="preserve">Show parts of a whole</w:t>
            </w:r>
          </w:p>
        </w:tc>
        <w:tc>
          <w:tcPr>
            <w:tcW w:w="2460" w:type="dxa"/>
          </w:tcPr>
          <w:p>
            <w:pPr/>
            <w:r>
              <w:t xml:space="preserve">Simple chart or table</w:t>
            </w:r>
          </w:p>
        </w:tc>
        <w:tc>
          <w:tcPr>
            <w:tcW w:w="3830" w:type="dxa"/>
          </w:tcPr>
          <w:p>
            <w:pPr/>
            <w:r>
              <w:t xml:space="preserve">Avoid 3-D charts and crowded pie charts</w:t>
            </w:r>
          </w:p>
        </w:tc>
      </w:tr>
    </w:tbl>
    <w:p>
      <w:pPr>
        <w:pStyle w:val="Heading3"/>
      </w:pPr>
      <w:r>
        <w:t xml:space="preserve">7.2 Rules for tables</w:t>
      </w:r>
    </w:p>
    <w:p>
      <w:pPr>
        <w:pStyle w:val="ListParagraph"/>
        <w:numPr>
          <w:ilvl w:val="0"/>
          <w:numId w:val="20"/>
        </w:numPr>
      </w:pPr>
      <w:r>
        <w:t xml:space="preserve">Number tables in order and refer to each one in the text.</w:t>
      </w:r>
    </w:p>
    <w:p>
      <w:pPr>
        <w:pStyle w:val="ListParagraph"/>
        <w:numPr>
          <w:ilvl w:val="0"/>
          <w:numId w:val="20"/>
        </w:numPr>
      </w:pPr>
      <w:r>
        <w:t xml:space="preserve">Give a clear title above the table, with column headings that include units.</w:t>
      </w:r>
    </w:p>
    <w:p>
      <w:pPr>
        <w:pStyle w:val="ListParagraph"/>
        <w:numPr>
          <w:ilvl w:val="0"/>
          <w:numId w:val="20"/>
        </w:numPr>
      </w:pPr>
      <w:r>
        <w:t xml:space="preserve">Define abbreviations in a footnote below.</w:t>
      </w:r>
    </w:p>
    <w:p>
      <w:pPr>
        <w:pStyle w:val="ListParagraph"/>
        <w:numPr>
          <w:ilvl w:val="0"/>
          <w:numId w:val="20"/>
        </w:numPr>
      </w:pPr>
      <w:r>
        <w:t xml:space="preserve">Do not repeat in the text what is already clear in the table; highlight the key pattern instead.</w:t>
      </w:r>
    </w:p>
    <w:p>
      <w:pPr>
        <w:pStyle w:val="Heading3"/>
      </w:pPr>
      <w:r>
        <w:t xml:space="preserve">7.3 Rules for figures</w:t>
      </w:r>
    </w:p>
    <w:p>
      <w:pPr>
        <w:pStyle w:val="ListParagraph"/>
        <w:numPr>
          <w:ilvl w:val="0"/>
          <w:numId w:val="21"/>
        </w:numPr>
      </w:pPr>
      <w:r>
        <w:t xml:space="preserve">Number figures in order, with a caption below that makes the figure understandable on its own.</w:t>
      </w:r>
    </w:p>
    <w:p>
      <w:pPr>
        <w:pStyle w:val="ListParagraph"/>
        <w:numPr>
          <w:ilvl w:val="0"/>
          <w:numId w:val="21"/>
        </w:numPr>
      </w:pPr>
      <w:r>
        <w:t xml:space="preserve">Label axes with names and units, use readable font sizes and avoid decoration.</w:t>
      </w:r>
    </w:p>
    <w:p>
      <w:pPr>
        <w:pStyle w:val="ListParagraph"/>
        <w:numPr>
          <w:ilvl w:val="0"/>
          <w:numId w:val="21"/>
        </w:numPr>
      </w:pPr>
      <w:r>
        <w:t xml:space="preserve">Use color-blind-friendly palettes and do not rely on color alone; add patterns or labels.</w:t>
      </w:r>
    </w:p>
    <w:p>
      <w:pPr>
        <w:pStyle w:val="ListParagraph"/>
        <w:numPr>
          <w:ilvl w:val="0"/>
          <w:numId w:val="21"/>
        </w:numPr>
      </w:pPr>
      <w:r>
        <w:t xml:space="preserve">Do not truncate axes in a way that exaggerates differences, and do not use 3-D effects.</w:t>
      </w:r>
    </w:p>
    <w:p>
      <w:pPr>
        <w:pStyle w:val="ListParagraph"/>
        <w:numPr>
          <w:ilvl w:val="0"/>
          <w:numId w:val="21"/>
        </w:numPr>
      </w:pPr>
      <w:r>
        <w:t xml:space="preserve">Show uncertainty (confidence intervals or error bars) and state what they represent.</w:t>
      </w:r>
    </w:p>
    <w:p>
      <w:pPr>
        <w:pStyle w:val="ListParagraph"/>
        <w:numPr>
          <w:ilvl w:val="0"/>
          <w:numId w:val="21"/>
        </w:numPr>
      </w:pPr>
      <w:r>
        <w:t xml:space="preserve">For images of patients, remove identifying features or obtain written consent.</w:t>
      </w:r>
    </w:p>
    <w:p>
      <w:pPr>
        <w:pStyle w:val="Heading3"/>
      </w:pPr>
      <w:r>
        <w:t xml:space="preserve">7.4 Accessibility</w:t>
      </w:r>
    </w:p>
    <w:p>
      <w:pPr/>
      <w:r>
        <w:t xml:space="preserve">Add alternative text to images in digital documents, ensure sufficient contrast and avoid putting key information in images only.</w:t>
      </w:r>
    </w:p>
    <w:p>
      <w:pPr>
        <w:pStyle w:val="Heading2"/>
      </w:pPr>
      <w:r>
        <w:t xml:space="preserve">8. Ethics and Integrity</w:t>
      </w:r>
    </w:p>
    <w:p>
      <w:pPr>
        <w:pStyle w:val="ListParagraph"/>
        <w:numPr>
          <w:ilvl w:val="0"/>
          <w:numId w:val="22"/>
        </w:numPr>
      </w:pPr>
      <w:r>
        <w:t xml:space="preserve">Report data honestly. Never fabricate, falsify or selectively omit results.</w:t>
      </w:r>
    </w:p>
    <w:p>
      <w:pPr>
        <w:pStyle w:val="ListParagraph"/>
        <w:numPr>
          <w:ilvl w:val="0"/>
          <w:numId w:val="22"/>
        </w:numPr>
      </w:pPr>
      <w:r>
        <w:t xml:space="preserve">Protect patient privacy: remove names, dates of birth, addresses and other identifiers, and obtain consent for case descriptions or images.</w:t>
      </w:r>
    </w:p>
    <w:p>
      <w:pPr>
        <w:pStyle w:val="ListParagraph"/>
        <w:numPr>
          <w:ilvl w:val="0"/>
          <w:numId w:val="22"/>
        </w:numPr>
      </w:pPr>
      <w:r>
        <w:t xml:space="preserve">State funding sources and disclose conflicts of interest.</w:t>
      </w:r>
    </w:p>
    <w:p>
      <w:pPr>
        <w:pStyle w:val="ListParagraph"/>
        <w:numPr>
          <w:ilvl w:val="0"/>
          <w:numId w:val="22"/>
        </w:numPr>
      </w:pPr>
      <w:r>
        <w:t xml:space="preserve">Credit authorship according to ICMJE criteria and acknowledge contributors who do not meet them.</w:t>
      </w:r>
    </w:p>
    <w:p>
      <w:pPr>
        <w:pStyle w:val="ListParagraph"/>
        <w:numPr>
          <w:ilvl w:val="0"/>
          <w:numId w:val="22"/>
        </w:numPr>
      </w:pPr>
      <w:r>
        <w:t xml:space="preserve">Do not give personalized medical advice in general-audience material; direct readers to their health professional.</w:t>
      </w:r>
    </w:p>
    <w:p>
      <w:pPr>
        <w:pStyle w:val="ListParagraph"/>
        <w:numPr>
          <w:ilvl w:val="0"/>
          <w:numId w:val="22"/>
        </w:numPr>
      </w:pPr>
      <w:r>
        <w:t xml:space="preserve">Correct errors promptly and transparently.</w:t>
      </w:r>
    </w:p>
    <w:p>
      <w:pPr>
        <w:pStyle w:val="Heading2"/>
      </w:pPr>
      <w:r>
        <w:t xml:space="preserve">9. Best Practices and Workflow</w:t>
      </w:r>
    </w:p>
    <w:p>
      <w:pPr>
        <w:pStyle w:val="Heading3"/>
      </w:pPr>
      <w:r>
        <w:t xml:space="preserve">9.1 Writing process</w:t>
      </w:r>
    </w:p>
    <w:p>
      <w:pPr>
        <w:pStyle w:val="ListParagraph"/>
        <w:numPr>
          <w:ilvl w:val="0"/>
          <w:numId w:val="23"/>
        </w:numPr>
      </w:pPr>
      <w:r>
        <w:rPr>
          <w:b/>
        </w:rPr>
        <w:t xml:space="preserve">Plan:</w:t>
      </w:r>
      <w:r>
        <w:t xml:space="preserve"> Define the audience, purpose and key message in one sentence before writing.</w:t>
      </w:r>
    </w:p>
    <w:p>
      <w:pPr>
        <w:pStyle w:val="ListParagraph"/>
        <w:numPr>
          <w:ilvl w:val="0"/>
          <w:numId w:val="23"/>
        </w:numPr>
      </w:pPr>
      <w:r>
        <w:rPr>
          <w:b/>
        </w:rPr>
        <w:t xml:space="preserve">Outline:</w:t>
      </w:r>
      <w:r>
        <w:t xml:space="preserve"> Build the structure and note the evidence for each section.</w:t>
      </w:r>
    </w:p>
    <w:p>
      <w:pPr>
        <w:pStyle w:val="ListParagraph"/>
        <w:numPr>
          <w:ilvl w:val="0"/>
          <w:numId w:val="23"/>
        </w:numPr>
      </w:pPr>
      <w:r>
        <w:rPr>
          <w:b/>
        </w:rPr>
        <w:t xml:space="preserve">Draft:</w:t>
      </w:r>
      <w:r>
        <w:t xml:space="preserve"> Write quickly without over-editing; leave gaps rather than guessing facts.</w:t>
      </w:r>
    </w:p>
    <w:p>
      <w:pPr>
        <w:pStyle w:val="ListParagraph"/>
        <w:numPr>
          <w:ilvl w:val="0"/>
          <w:numId w:val="23"/>
        </w:numPr>
      </w:pPr>
      <w:r>
        <w:rPr>
          <w:b/>
        </w:rPr>
        <w:t xml:space="preserve">Revise for content:</w:t>
      </w:r>
      <w:r>
        <w:t xml:space="preserve"> Check logic, completeness and accuracy.</w:t>
      </w:r>
    </w:p>
    <w:p>
      <w:pPr>
        <w:pStyle w:val="ListParagraph"/>
        <w:numPr>
          <w:ilvl w:val="0"/>
          <w:numId w:val="23"/>
        </w:numPr>
      </w:pPr>
      <w:r>
        <w:rPr>
          <w:b/>
        </w:rPr>
        <w:t xml:space="preserve">Edit for style:</w:t>
      </w:r>
      <w:r>
        <w:t xml:space="preserve"> Apply this guide: voice, language, formatting.</w:t>
      </w:r>
    </w:p>
    <w:p>
      <w:pPr>
        <w:pStyle w:val="ListParagraph"/>
        <w:numPr>
          <w:ilvl w:val="0"/>
          <w:numId w:val="23"/>
        </w:numPr>
      </w:pPr>
      <w:r>
        <w:rPr>
          <w:b/>
        </w:rPr>
        <w:t xml:space="preserve">Proofread:</w:t>
      </w:r>
      <w:r>
        <w:t xml:space="preserve"> Check spelling, numbers, units and references. Read aloud and read backwards for typos.</w:t>
      </w:r>
    </w:p>
    <w:p>
      <w:pPr>
        <w:pStyle w:val="ListParagraph"/>
        <w:numPr>
          <w:ilvl w:val="0"/>
          <w:numId w:val="23"/>
        </w:numPr>
      </w:pPr>
      <w:r>
        <w:rPr>
          <w:b/>
        </w:rPr>
        <w:t xml:space="preserve">Peer review:</w:t>
      </w:r>
      <w:r>
        <w:t xml:space="preserve"> Have a colleague check for clarity and accuracy, ideally someone from the target audience.</w:t>
      </w:r>
    </w:p>
    <w:p>
      <w:pPr>
        <w:pStyle w:val="Heading3"/>
      </w:pPr>
      <w:r>
        <w:t xml:space="preserve">9.2 Before and after examples</w:t>
      </w:r>
    </w:p>
    <w:p>
      <w:pPr/>
      <w:r>
        <w:rPr>
          <w:b/>
        </w:rPr>
        <w:t xml:space="preserve">Example 1: Clarity</w:t>
      </w:r>
      <w:r>
        <w:br/>
      </w:r>
      <w:r>
        <w:rPr>
          <w:i/>
        </w:rPr>
        <w:t xml:space="preserve">Before:</w:t>
      </w:r>
      <w:r>
        <w:t xml:space="preserve"> "It was observed that a statistically significant amelioration of symptomatology occurred in the majority of patients subsequent to administration."</w:t>
      </w:r>
      <w:r>
        <w:br/>
      </w:r>
      <w:r>
        <w:rPr>
          <w:i/>
        </w:rPr>
        <w:t xml:space="preserve">After:</w:t>
      </w:r>
      <w:r>
        <w:t xml:space="preserve"> "Most patients had fewer symptoms after treatment (P &lt; .001)."</w:t>
      </w:r>
    </w:p>
    <w:p>
      <w:pPr/>
      <w:r>
        <w:rPr>
          <w:b/>
        </w:rPr>
        <w:t xml:space="preserve">Example 2: Overstated claim</w:t>
      </w:r>
      <w:r>
        <w:br/>
      </w:r>
      <w:r>
        <w:rPr>
          <w:i/>
        </w:rPr>
        <w:t xml:space="preserve">Before:</w:t>
      </w:r>
      <w:r>
        <w:t xml:space="preserve"> "Coffee prevents heart disease." (from an observational study)</w:t>
      </w:r>
      <w:r>
        <w:br/>
      </w:r>
      <w:r>
        <w:rPr>
          <w:i/>
        </w:rPr>
        <w:t xml:space="preserve">After:</w:t>
      </w:r>
      <w:r>
        <w:t xml:space="preserve"> "Coffee drinking was associated with a lower risk of heart disease, but this study cannot show that coffee was the cause."</w:t>
      </w:r>
    </w:p>
    <w:p>
      <w:pPr/>
      <w:r>
        <w:rPr>
          <w:b/>
        </w:rPr>
        <w:t xml:space="preserve">Example 3: General audience</w:t>
      </w:r>
      <w:r>
        <w:br/>
      </w:r>
      <w:r>
        <w:rPr>
          <w:i/>
        </w:rPr>
        <w:t xml:space="preserve">Before:</w:t>
      </w:r>
      <w:r>
        <w:t xml:space="preserve"> "Patients with HFpEF exhibit diastolic dysfunction with preserved LVEF."</w:t>
      </w:r>
      <w:r>
        <w:br/>
      </w:r>
      <w:r>
        <w:rPr>
          <w:i/>
        </w:rPr>
        <w:t xml:space="preserve">After:</w:t>
      </w:r>
      <w:r>
        <w:t xml:space="preserve"> "In some types of heart failure, the heart pumps normally but is stiff and does not fill with blood as well as it should."</w:t>
      </w:r>
    </w:p>
    <w:p>
      <w:pPr/>
      <w:r>
        <w:rPr>
          <w:b/>
        </w:rPr>
        <w:t xml:space="preserve">Example 4: Stigmatizing language</w:t>
      </w:r>
      <w:r>
        <w:br/>
      </w:r>
      <w:r>
        <w:rPr>
          <w:i/>
        </w:rPr>
        <w:t xml:space="preserve">Before:</w:t>
      </w:r>
      <w:r>
        <w:t xml:space="preserve"> "The non-compliant diabetic failed insulin therapy."</w:t>
      </w:r>
      <w:r>
        <w:br/>
      </w:r>
      <w:r>
        <w:rPr>
          <w:i/>
        </w:rPr>
        <w:t xml:space="preserve">After:</w:t>
      </w:r>
      <w:r>
        <w:t xml:space="preserve"> "The person with diabetes did not take insulin as prescribed, and their blood sugar remained high."</w:t>
      </w:r>
    </w:p>
    <w:p>
      <w:pPr>
        <w:pStyle w:val="Heading3"/>
      </w:pPr>
      <w:r>
        <w:t xml:space="preserve">9.3 Final quality checklist</w:t>
      </w:r>
    </w:p>
    <w:p>
      <w:pPr>
        <w:pStyle w:val="ListParagraph"/>
        <w:numPr>
          <w:ilvl w:val="0"/>
          <w:numId w:val="24"/>
        </w:numPr>
      </w:pPr>
      <w:r>
        <w:t xml:space="preserve">Is the main message clear in the first paragraph or abstract?</w:t>
      </w:r>
    </w:p>
    <w:p>
      <w:pPr>
        <w:pStyle w:val="ListParagraph"/>
        <w:numPr>
          <w:ilvl w:val="0"/>
          <w:numId w:val="24"/>
        </w:numPr>
      </w:pPr>
      <w:r>
        <w:t xml:space="preserve">Does every claim match the strength of the evidence?</w:t>
      </w:r>
    </w:p>
    <w:p>
      <w:pPr>
        <w:pStyle w:val="ListParagraph"/>
        <w:numPr>
          <w:ilvl w:val="0"/>
          <w:numId w:val="24"/>
        </w:numPr>
      </w:pPr>
      <w:r>
        <w:t xml:space="preserve">Are all abbreviations defined and used consistently?</w:t>
      </w:r>
    </w:p>
    <w:p>
      <w:pPr>
        <w:pStyle w:val="ListParagraph"/>
        <w:numPr>
          <w:ilvl w:val="0"/>
          <w:numId w:val="24"/>
        </w:numPr>
      </w:pPr>
      <w:r>
        <w:t xml:space="preserve">Are all numbers, units and statistics correct and consistently formatted?</w:t>
      </w:r>
    </w:p>
    <w:p>
      <w:pPr>
        <w:pStyle w:val="ListParagraph"/>
        <w:numPr>
          <w:ilvl w:val="0"/>
          <w:numId w:val="24"/>
        </w:numPr>
      </w:pPr>
      <w:r>
        <w:t xml:space="preserve">Is every statement that needs a source cited, and do the references match the text?</w:t>
      </w:r>
    </w:p>
    <w:p>
      <w:pPr>
        <w:pStyle w:val="ListParagraph"/>
        <w:numPr>
          <w:ilvl w:val="0"/>
          <w:numId w:val="24"/>
        </w:numPr>
      </w:pPr>
      <w:r>
        <w:t xml:space="preserve">Are tables and figures numbered, titled, referenced in the text and accessible?</w:t>
      </w:r>
    </w:p>
    <w:p>
      <w:pPr>
        <w:pStyle w:val="ListParagraph"/>
        <w:numPr>
          <w:ilvl w:val="0"/>
          <w:numId w:val="24"/>
        </w:numPr>
      </w:pPr>
      <w:r>
        <w:t xml:space="preserve">Is the language bias-free, respectful and free of unexplained jargon (for general audiences)?</w:t>
      </w:r>
    </w:p>
    <w:p>
      <w:pPr>
        <w:pStyle w:val="ListParagraph"/>
        <w:numPr>
          <w:ilvl w:val="0"/>
          <w:numId w:val="24"/>
        </w:numPr>
      </w:pPr>
      <w:r>
        <w:t xml:space="preserve">Have ethics, consent, funding and conflicts of interest been addressed?</w:t>
      </w:r>
    </w:p>
    <w:p>
      <w:pPr>
        <w:pStyle w:val="ListParagraph"/>
        <w:numPr>
          <w:ilvl w:val="0"/>
          <w:numId w:val="24"/>
        </w:numPr>
      </w:pPr>
      <w:r>
        <w:t xml:space="preserve">Has the document been proofread and checked against the target journal's instructions?</w:t>
      </w:r>
    </w:p>
    <w:p>
      <w:pPr>
        <w:pStyle w:val="Heading2"/>
      </w:pPr>
      <w:r>
        <w:t xml:space="preserve">10. Quick Reference Card</w:t>
      </w:r>
    </w:p>
    <w:tbl>
      <w:tblPr>
        <w:tblStyle w:val="TableGrid"/>
        <w:tblW w:w="0" w:type="auto"/>
        <w:tblLayout w:type="fixed"/>
        <w:tblLook w:val="04A0" w:firstRow="1" w:lastRow="0" w:firstColumn="0" w:lastColumn="0" w:noHBand="0" w:noVBand="1"/>
      </w:tblPr>
      <w:tblGrid>
        <w:gridCol w:w="2362"/>
        <w:gridCol w:w="6997"/>
      </w:tblGrid>
      <w:tr>
        <w:trPr>
          <w:tblHeader/>
        </w:trPr>
        <w:tc>
          <w:tcPr>
            <w:tcW w:w="2362" w:type="dxa"/>
            <w:shd w:val="clear" w:color="auto" w:fill="F2F2F2"/>
          </w:tcPr>
          <w:p>
            <w:pPr/>
            <w:r>
              <w:t xml:space="preserve">Topic</w:t>
            </w:r>
          </w:p>
        </w:tc>
        <w:tc>
          <w:tcPr>
            <w:tcW w:w="6997" w:type="dxa"/>
            <w:shd w:val="clear" w:color="auto" w:fill="F2F2F2"/>
          </w:tcPr>
          <w:p>
            <w:pPr/>
            <w:r>
              <w:t xml:space="preserve">Rule in one line</w:t>
            </w:r>
          </w:p>
        </w:tc>
      </w:tr>
      <w:tr>
        <w:tc>
          <w:tcPr>
            <w:tcW w:w="2362" w:type="dxa"/>
          </w:tcPr>
          <w:p>
            <w:pPr/>
            <w:r>
              <w:t xml:space="preserve">Voice</w:t>
            </w:r>
          </w:p>
        </w:tc>
        <w:tc>
          <w:tcPr>
            <w:tcW w:w="6997" w:type="dxa"/>
          </w:tcPr>
          <w:p>
            <w:pPr/>
            <w:r>
              <w:t xml:space="preserve">Active by default; passive for methods</w:t>
            </w:r>
          </w:p>
        </w:tc>
      </w:tr>
      <w:tr>
        <w:tc>
          <w:tcPr>
            <w:tcW w:w="2362" w:type="dxa"/>
          </w:tcPr>
          <w:p>
            <w:pPr/>
            <w:r>
              <w:t xml:space="preserve">Tone</w:t>
            </w:r>
          </w:p>
        </w:tc>
        <w:tc>
          <w:tcPr>
            <w:tcW w:w="6997" w:type="dxa"/>
          </w:tcPr>
          <w:p>
            <w:pPr/>
            <w:r>
              <w:t xml:space="preserve">Neutral, precise, calibrated to evidence</w:t>
            </w:r>
          </w:p>
        </w:tc>
      </w:tr>
      <w:tr>
        <w:tc>
          <w:tcPr>
            <w:tcW w:w="2362" w:type="dxa"/>
          </w:tcPr>
          <w:p>
            <w:pPr/>
            <w:r>
              <w:t xml:space="preserve">Drug names</w:t>
            </w:r>
          </w:p>
        </w:tc>
        <w:tc>
          <w:tcPr>
            <w:tcW w:w="6997" w:type="dxa"/>
          </w:tcPr>
          <w:p>
            <w:pPr/>
            <w:r>
              <w:t xml:space="preserve">Generic, lowercase</w:t>
            </w:r>
          </w:p>
        </w:tc>
      </w:tr>
      <w:tr>
        <w:tc>
          <w:tcPr>
            <w:tcW w:w="2362" w:type="dxa"/>
          </w:tcPr>
          <w:p>
            <w:pPr/>
            <w:r>
              <w:t xml:space="preserve">Abbreviations</w:t>
            </w:r>
          </w:p>
        </w:tc>
        <w:tc>
          <w:tcPr>
            <w:tcW w:w="6997" w:type="dxa"/>
          </w:tcPr>
          <w:p>
            <w:pPr/>
            <w:r>
              <w:t xml:space="preserve">Define at first use; avoid in titles</w:t>
            </w:r>
          </w:p>
        </w:tc>
      </w:tr>
      <w:tr>
        <w:tc>
          <w:tcPr>
            <w:tcW w:w="2362" w:type="dxa"/>
          </w:tcPr>
          <w:p>
            <w:pPr/>
            <w:r>
              <w:t xml:space="preserve">Numbers</w:t>
            </w:r>
          </w:p>
        </w:tc>
        <w:tc>
          <w:tcPr>
            <w:tcW w:w="6997" w:type="dxa"/>
          </w:tcPr>
          <w:p>
            <w:pPr/>
            <w:r>
              <w:t xml:space="preserve">Numerals for 10 and above and with units; spell out at sentence start</w:t>
            </w:r>
          </w:p>
        </w:tc>
      </w:tr>
      <w:tr>
        <w:tc>
          <w:tcPr>
            <w:tcW w:w="2362" w:type="dxa"/>
          </w:tcPr>
          <w:p>
            <w:pPr/>
            <w:r>
              <w:t xml:space="preserve">Statistics</w:t>
            </w:r>
          </w:p>
        </w:tc>
        <w:tc>
          <w:tcPr>
            <w:tcW w:w="6997" w:type="dxa"/>
          </w:tcPr>
          <w:p>
            <w:pPr/>
            <w:r>
              <w:t xml:space="preserve">Effect size with 95% CI; absolute and relative risk</w:t>
            </w:r>
          </w:p>
        </w:tc>
      </w:tr>
      <w:tr>
        <w:tc>
          <w:tcPr>
            <w:tcW w:w="2362" w:type="dxa"/>
          </w:tcPr>
          <w:p>
            <w:pPr/>
            <w:r>
              <w:t xml:space="preserve">Structure</w:t>
            </w:r>
          </w:p>
        </w:tc>
        <w:tc>
          <w:tcPr>
            <w:tcW w:w="6997" w:type="dxa"/>
          </w:tcPr>
          <w:p>
            <w:pPr/>
            <w:r>
              <w:t xml:space="preserve">IMRaD for research; key message first for the public</w:t>
            </w:r>
          </w:p>
        </w:tc>
      </w:tr>
      <w:tr>
        <w:tc>
          <w:tcPr>
            <w:tcW w:w="2362" w:type="dxa"/>
          </w:tcPr>
          <w:p>
            <w:pPr/>
            <w:r>
              <w:t xml:space="preserve">Citations</w:t>
            </w:r>
          </w:p>
        </w:tc>
        <w:tc>
          <w:tcPr>
            <w:tcW w:w="6997" w:type="dxa"/>
          </w:tcPr>
          <w:p>
            <w:pPr/>
            <w:r>
              <w:t xml:space="preserve">Numbered in order of appearance; AMA format</w:t>
            </w:r>
          </w:p>
        </w:tc>
      </w:tr>
      <w:tr>
        <w:tc>
          <w:tcPr>
            <w:tcW w:w="2362" w:type="dxa"/>
          </w:tcPr>
          <w:p>
            <w:pPr/>
            <w:r>
              <w:t xml:space="preserve">Visuals</w:t>
            </w:r>
          </w:p>
        </w:tc>
        <w:tc>
          <w:tcPr>
            <w:tcW w:w="6997" w:type="dxa"/>
          </w:tcPr>
          <w:p>
            <w:pPr/>
            <w:r>
              <w:t xml:space="preserve">Match chart to goal; label axes; no 3-D</w:t>
            </w:r>
          </w:p>
        </w:tc>
      </w:tr>
      <w:tr>
        <w:tc>
          <w:tcPr>
            <w:tcW w:w="2362" w:type="dxa"/>
          </w:tcPr>
          <w:p>
            <w:pPr/>
            <w:r>
              <w:t xml:space="preserve">Language</w:t>
            </w:r>
          </w:p>
        </w:tc>
        <w:tc>
          <w:tcPr>
            <w:tcW w:w="6997" w:type="dxa"/>
          </w:tcPr>
          <w:p>
            <w:pPr/>
            <w:r>
              <w:t xml:space="preserve">Person-first, non-stigmatizing, plain for the public</w:t>
            </w:r>
          </w:p>
        </w:tc>
      </w:tr>
    </w:tbl>
    <w:p>
      <w:pPr>
        <w:pStyle w:val="Heading2"/>
      </w:pPr>
      <w:r>
        <w:t xml:space="preserve">References</w:t>
      </w:r>
    </w:p>
    <w:p>
      <w:pPr>
        <w:pStyle w:val="ListParagraph"/>
        <w:numPr>
          <w:ilvl w:val="0"/>
          <w:numId w:val="25"/>
        </w:numPr>
      </w:pPr>
      <w:r>
        <w:t xml:space="preserve">Iverson C, Christiansen S, Flanagin A, et al. </w:t>
      </w:r>
      <w:r>
        <w:rPr>
          <w:i/>
        </w:rPr>
        <w:t xml:space="preserve">AMA Manual of Style: A Guide for Authors and Editors.</w:t>
      </w:r>
      <w:r>
        <w:t xml:space="preserve"> 11th ed. Oxford University Press; 2020.</w:t>
      </w:r>
    </w:p>
    <w:p>
      <w:pPr>
        <w:pStyle w:val="ListParagraph"/>
        <w:numPr>
          <w:ilvl w:val="0"/>
          <w:numId w:val="25"/>
        </w:numPr>
      </w:pPr>
      <w:r>
        <w:t xml:space="preserve">International Committee of Medical Journal Editors. Recommendations for the Conduct, Reporting, Editing, and Publication of Scholarly Work in Medical Journals. Current version available at icmje.org.</w:t>
      </w:r>
    </w:p>
    <w:p>
      <w:pPr>
        <w:pStyle w:val="ListParagraph"/>
        <w:numPr>
          <w:ilvl w:val="0"/>
          <w:numId w:val="25"/>
        </w:numPr>
      </w:pPr>
      <w:r>
        <w:t xml:space="preserve">Schulz KF, Altman DG, Moher D; CONSORT Group. CONSORT 2010 statement: updated guidelines for reporting parallel group randomised trials. </w:t>
      </w:r>
      <w:r>
        <w:rPr>
          <w:i/>
        </w:rPr>
        <w:t xml:space="preserve">BMJ.</w:t>
      </w:r>
      <w:r>
        <w:t xml:space="preserve"> 2010;340:c332.</w:t>
      </w:r>
    </w:p>
    <w:p>
      <w:pPr>
        <w:pStyle w:val="ListParagraph"/>
        <w:numPr>
          <w:ilvl w:val="0"/>
          <w:numId w:val="25"/>
        </w:numPr>
      </w:pPr>
      <w:r>
        <w:t xml:space="preserve">Page MJ, McKenzie JE, Bossuyt PM, et al. The PRISMA 2020 statement: an updated guideline for reporting systematic reviews. </w:t>
      </w:r>
      <w:r>
        <w:rPr>
          <w:i/>
        </w:rPr>
        <w:t xml:space="preserve">BMJ.</w:t>
      </w:r>
      <w:r>
        <w:t xml:space="preserve"> 2021;372:n71.</w:t>
      </w:r>
    </w:p>
    <w:p>
      <w:pPr>
        <w:pStyle w:val="ListParagraph"/>
        <w:numPr>
          <w:ilvl w:val="0"/>
          <w:numId w:val="25"/>
        </w:numPr>
      </w:pPr>
      <w:r>
        <w:t xml:space="preserve">Plain Language Action and Information Network. Federal Plain Language Guidelines. Available at plainlanguage.gov.</w:t>
      </w:r>
    </w:p>
    <w:p>
      <w:pPr>
        <w:pStyle w:val="ListParagraph"/>
        <w:numPr>
          <w:ilvl w:val="0"/>
          <w:numId w:val="25"/>
        </w:numPr>
      </w:pPr>
      <w:r>
        <w:t xml:space="preserve">Centers for Disease Control and Prevention. CDC Clear Communication Index: A Tool for Developing and Assessing CDC Public Communication Products. Available at cdc.gov.</w:t>
      </w:r>
    </w:p>
    <w:p>
      <w:pPr>
        <w:pStyle w:val="Heading2"/>
      </w:pPr>
      <w:r>
        <w:t xml:space="preserve">Explanation of Approach and Rationale (~300 words)</w:t>
      </w:r>
    </w:p>
    <w:p>
      <w:pPr/>
      <w:r>
        <w:t xml:space="preserve">I built this guide by first researching established standards rather than inventing rules. The AMA Manual of Style and the ICMJE recommendations define how medical journals expect articles to be written, reported and cited. The CONSORT and PRISMA statements show how study designs should be reported, and federal plain-language guidance shows how to communicate with non-experts. I compared these sources, kept the rules where they agree, and added my own recommendations where they leave room for choice, such as readability targets and tone.</w:t>
      </w:r>
    </w:p>
    <w:p>
      <w:pPr/>
      <w:r>
        <w:t xml:space="preserve">The structure follows the sections requested in the task: introduction, language guidelines, formatting standards, common terminology and best practices. I added sections on voice and tone, document structure, citations, visual data and ethics because these areas cause the most errors in real medical writing. I ordered them from the reader's experience outward: how the text sounds, how words are chosen, how the document is organized, how it looks, how sources are credited and how data are displayed.</w:t>
      </w:r>
    </w:p>
    <w:p>
      <w:pPr/>
      <w:r>
        <w:t xml:space="preserve">A central design choice was to write for two audiences. Experts need precision and full methods, while general readers need plain words and practical meaning. Showing both versions of the same sentence makes the difference concrete and helps a writer decide which style to use.</w:t>
      </w:r>
    </w:p>
    <w:p>
      <w:pPr/>
      <w:r>
        <w:t xml:space="preserve">I included examples, tables and a checklist so the guide can work as a standalone reference. Before-and-after examples demonstrate why a rule exists, not just what it is. The quick reference card and checklist let a busy writer apply the guide in minutes.</w:t>
      </w:r>
    </w:p>
    <w:p>
      <w:pPr/>
      <w:r>
        <w:t xml:space="preserve">Finally, I stressed accuracy and ethics: calibrating claims to the strength of evidence, reporting uncertainty, protecting privacy and avoiding stigmatizing language. These principles protect readers and keep medical writing trustworthy, which is the main purpose of any style guide in this field.</w:t>
      </w:r>
    </w:p>
    <w:sectPr>
      <w:pgSz w:w="12240" w:h="15840"/>
      <w:pgMar w:top="1440" w:right="1440" w:bottom="1440" w:left="1440" w:header="720" w:footer="720" w:gutter="0"/>
    </w:sectPr>
  </w:body>
</w:document>
</file>

<file path=word/numbering.xml><?xml version="1.0" encoding="utf-8"?>
<w:numbering xmlns:w="http://schemas.openxmlformats.org/wordprocessingml/2006/main">
  <w:abstractNum w:abstractNumId="0">
    <w:multiLevelType w:val="hybridMultilevel"/>
    <w:lvl w:ilvl="0">
      <w:start w:val="1"/>
      <w:numFmt w:val="bullet"/>
      <w:lvlText w:val="•"/>
      <w:lvlJc w:val="left"/>
      <w:pPr>
        <w:ind w:left="720" w:hanging="360"/>
      </w:pPr>
    </w:lvl>
    <w:lvl w:ilvl="1">
      <w:start w:val="1"/>
      <w:numFmt w:val="bullet"/>
      <w:lvlText w:val="o"/>
      <w:lvlJc w:val="left"/>
      <w:pPr>
        <w:ind w:left="1440" w:hanging="360"/>
      </w:pPr>
    </w:lvl>
    <w:lvl w:ilvl="2">
      <w:start w:val="1"/>
      <w:numFmt w:val="bullet"/>
      <w:lvlText w:val="▪"/>
      <w:lvlJc w:val="left"/>
      <w:pPr>
        <w:ind w:left="2160" w:hanging="360"/>
      </w:pPr>
    </w:lvl>
    <w:lvl w:ilvl="3">
      <w:start w:val="1"/>
      <w:numFmt w:val="bullet"/>
      <w:lvlText w:val="•"/>
      <w:lvlJc w:val="left"/>
      <w:pPr>
        <w:ind w:left="2880" w:hanging="360"/>
      </w:pPr>
    </w:lvl>
    <w:lvl w:ilvl="4">
      <w:start w:val="1"/>
      <w:numFmt w:val="bullet"/>
      <w:lvlText w:val="o"/>
      <w:lvlJc w:val="left"/>
      <w:pPr>
        <w:ind w:left="3600" w:hanging="360"/>
      </w:pPr>
    </w:lvl>
    <w:lvl w:ilvl="5">
      <w:start w:val="1"/>
      <w:numFmt w:val="bullet"/>
      <w:lvlText w:val="▪"/>
      <w:lvlJc w:val="left"/>
      <w:pPr>
        <w:ind w:left="4320" w:hanging="360"/>
      </w:pPr>
    </w:lvl>
    <w:lvl w:ilvl="6">
      <w:start w:val="1"/>
      <w:numFmt w:val="bullet"/>
      <w:lvlText w:val="•"/>
      <w:lvlJc w:val="left"/>
      <w:pPr>
        <w:ind w:left="5040" w:hanging="360"/>
      </w:pPr>
    </w:lvl>
    <w:lvl w:ilvl="7">
      <w:start w:val="1"/>
      <w:numFmt w:val="bullet"/>
      <w:lvlText w:val="o"/>
      <w:lvlJc w:val="left"/>
      <w:pPr>
        <w:ind w:left="5760" w:hanging="360"/>
      </w:pPr>
    </w:lvl>
    <w:lvl w:ilvl="8">
      <w:start w:val="1"/>
      <w:numFmt w:val="bullet"/>
      <w:lvlText w:val="▪"/>
      <w:lvlJc w:val="left"/>
      <w:pPr>
        <w:ind w:left="6480" w:hanging="360"/>
      </w:pPr>
    </w:lvl>
  </w:abstractNum>
  <w:abstractNum w:abstractNumId="1">
    <w:multiLevelType w:val="hybridMultilevel"/>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left"/>
      <w:pPr>
        <w:ind w:left="2160" w:hanging="36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left"/>
      <w:pPr>
        <w:ind w:left="4320" w:hanging="36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left"/>
      <w:pPr>
        <w:ind w:left="6480" w:hanging="360"/>
      </w:pPr>
    </w:lvl>
  </w:abstractNum>
  <w:num w:numId="1">
    <w:abstractNumId w:val="0"/>
  </w:num>
  <w:num w:numId="2">
    <w:abstractNumId w:val="0"/>
  </w:num>
  <w:num w:numId="3">
    <w:abstractNumId w:val="0"/>
  </w:num>
  <w:num w:numId="4">
    <w:abstractNumId w:val="0"/>
  </w:num>
  <w:num w:numId="5">
    <w:abstractNumId w:val="0"/>
  </w:num>
  <w:num w:numId="6">
    <w:abstractNumId w:val="0"/>
  </w:num>
  <w:num w:numId="7">
    <w:abstractNumId w:val="0"/>
  </w:num>
  <w:num w:numId="8">
    <w:abstractNumId w:val="0"/>
  </w:num>
  <w:num w:numId="9">
    <w:abstractNumId w:val="0"/>
  </w:num>
  <w:num w:numId="10">
    <w:abstractNumId w:val="1"/>
    <w:lvlOverride w:ilvl="0">
      <w:startOverride w:val="1"/>
    </w:lvlOverride>
  </w:num>
  <w:num w:numId="11">
    <w:abstractNumId w:val="0"/>
  </w:num>
  <w:num w:numId="12">
    <w:abstractNumId w:val="0"/>
  </w:num>
  <w:num w:numId="13">
    <w:abstractNumId w:val="0"/>
  </w:num>
  <w:num w:numId="14">
    <w:abstractNumId w:val="0"/>
  </w:num>
  <w:num w:numId="15">
    <w:abstractNumId w:val="0"/>
  </w:num>
  <w:num w:numId="16">
    <w:abstractNumId w:val="0"/>
  </w:num>
  <w:num w:numId="17">
    <w:abstractNumId w:val="0"/>
  </w:num>
  <w:num w:numId="18">
    <w:abstractNumId w:val="0"/>
  </w:num>
  <w:num w:numId="19">
    <w:abstractNumId w:val="0"/>
  </w:num>
  <w:num w:numId="20">
    <w:abstractNumId w:val="0"/>
  </w:num>
  <w:num w:numId="21">
    <w:abstractNumId w:val="0"/>
  </w:num>
  <w:num w:numId="22">
    <w:abstractNumId w:val="0"/>
  </w:num>
  <w:num w:numId="23">
    <w:abstractNumId w:val="1"/>
    <w:lvlOverride w:ilvl="0">
      <w:startOverride w:val="1"/>
    </w:lvlOverride>
  </w:num>
  <w:num w:numId="24">
    <w:abstractNumId w:val="0"/>
  </w:num>
  <w:num w:numId="25">
    <w:abstractNumId w:val="1"/>
    <w:lvlOverride w:ilvl="0">
      <w:startOverride w:val="1"/>
    </w:lvlOverride>
  </w:num>
</w:numbering>
</file>

<file path=word/styles.xml><?xml version="1.0" encoding="utf-8"?>
<w:styles xmlns:w="http://schemas.openxmlformats.org/wordprocessingml/2006/main">
  <w:docDefaults>
    <w:rPrDefault>
      <w:rPr>
        <w:rFonts w:ascii="Calibri" w:hAnsi="Calibri" w:eastAsia="Calibri" w:cs="Calibri"/>
        <w:sz w:val="22"/>
        <w:szCs w:val="22"/>
        <w:lang w:val="en-US"/>
      </w:rPr>
    </w:rPrDefault>
    <w:pPrDefault>
      <w:pPr>
        <w:spacing w:after="160" w:line="259" w:lineRule="auto"/>
      </w:pPr>
    </w:pPrDefault>
  </w:docDefaults>
  <w:style w:type="paragraph" w:default="1" w:styleId="Normal">
    <w:name w:val="Normal"/>
    <w:qFormat/>
  </w:style>
  <w:style w:type="paragraph" w:styleId="Heading1">
    <w:name w:val="heading 1"/>
    <w:basedOn w:val="Normal"/>
    <w:next w:val="Normal"/>
    <w:qFormat/>
    <w:pPr>
      <w:keepNext/>
      <w:spacing w:before="360" w:after="120"/>
      <w:outlineLvl w:val="0"/>
    </w:pPr>
    <w:rPr>
      <w:b/>
      <w:sz w:val="32"/>
    </w:rPr>
  </w:style>
  <w:style w:type="paragraph" w:styleId="Heading2">
    <w:name w:val="heading 2"/>
    <w:basedOn w:val="Normal"/>
    <w:next w:val="Normal"/>
    <w:qFormat/>
    <w:pPr>
      <w:keepNext/>
      <w:spacing w:before="280" w:after="100"/>
      <w:outlineLvl w:val="1"/>
    </w:pPr>
    <w:rPr>
      <w:b/>
      <w:sz w:val="26"/>
    </w:rPr>
  </w:style>
  <w:style w:type="paragraph" w:styleId="Heading3">
    <w:name w:val="heading 3"/>
    <w:basedOn w:val="Normal"/>
    <w:next w:val="Normal"/>
    <w:qFormat/>
    <w:pPr>
      <w:keepNext/>
      <w:spacing w:before="240" w:after="80"/>
      <w:outlineLvl w:val="2"/>
    </w:pPr>
    <w:rPr>
      <w:b/>
      <w:sz w:val="24"/>
    </w:rPr>
  </w:style>
  <w:style w:type="paragraph" w:styleId="Heading4">
    <w:name w:val="heading 4"/>
    <w:basedOn w:val="Normal"/>
    <w:next w:val="Normal"/>
    <w:qFormat/>
    <w:pPr>
      <w:keepNext/>
      <w:outlineLvl w:val="3"/>
    </w:pPr>
    <w:rPr>
      <w:b/>
      <w:sz w:val="22"/>
    </w:rPr>
  </w:style>
  <w:style w:type="paragraph" w:styleId="Heading5">
    <w:name w:val="heading 5"/>
    <w:basedOn w:val="Normal"/>
    <w:next w:val="Normal"/>
    <w:qFormat/>
    <w:pPr>
      <w:keepNext/>
      <w:outlineLvl w:val="4"/>
    </w:pPr>
    <w:rPr>
      <w:b/>
      <w:sz w:val="22"/>
    </w:rPr>
  </w:style>
  <w:style w:type="paragraph" w:styleId="Heading6">
    <w:name w:val="heading 6"/>
    <w:basedOn w:val="Normal"/>
    <w:next w:val="Normal"/>
    <w:qFormat/>
    <w:pPr>
      <w:keepNext/>
      <w:outlineLvl w:val="5"/>
    </w:pPr>
    <w:rPr>
      <w:i/>
      <w:sz w:val="22"/>
    </w:rPr>
  </w:style>
  <w:style w:type="paragraph" w:styleId="Title">
    <w:name w:val="Title"/>
    <w:basedOn w:val="Normal"/>
    <w:next w:val="Normal"/>
    <w:qFormat/>
    <w:pPr>
      <w:spacing w:after="80"/>
      <w:contextualSpacing/>
    </w:pPr>
    <w:rPr>
      <w:sz w:val="56"/>
    </w:rPr>
  </w:style>
  <w:style w:type="paragraph" w:styleId="Quote">
    <w:name w:val="Quote"/>
    <w:basedOn w:val="Normal"/>
    <w:qFormat/>
    <w:pPr>
      <w:ind w:left="720" w:right="720"/>
      <w:pBdr>
        <w:left w:val="single" w:sz="12" w:space="8" w:color="A0A0A0"/>
      </w:pBdr>
    </w:pPr>
    <w:rPr>
      <w:i/>
      <w:color w:val="404040"/>
    </w:rPr>
  </w:style>
  <w:style w:type="paragraph" w:styleId="Code">
    <w:name w:val="Code"/>
    <w:basedOn w:val="Normal"/>
    <w:link w:val="CodeChar"/>
    <w:pPr>
      <w:spacing w:after="0" w:line="240" w:lineRule="auto"/>
      <w:contextualSpacing/>
      <w:shd w:val="clear" w:color="auto" w:fill="F5F5F5"/>
    </w:pPr>
    <w:rPr>
      <w:rFonts w:ascii="Consolas" w:hAnsi="Consolas" w:eastAsia="Consolas" w:cs="Consolas"/>
      <w:sz w:val="20"/>
    </w:rPr>
  </w:style>
  <w:style w:type="character" w:styleId="CodeChar">
    <w:name w:val="Code Char"/>
    <w:link w:val="Code"/>
    <w:rPr>
      <w:rFonts w:ascii="Consolas" w:hAnsi="Consolas" w:eastAsia="Consolas" w:cs="Consolas"/>
      <w:sz w:val="20"/>
      <w:shd w:val="clear" w:color="auto" w:fill="F5F5F5"/>
    </w:rPr>
  </w:style>
  <w:style w:type="paragraph" w:styleId="ListParagraph">
    <w:name w:val="List Paragraph"/>
    <w:basedOn w:val="Normal"/>
    <w:qFormat/>
    <w:pPr>
      <w:ind w:left="720"/>
      <w:contextualSpacing/>
    </w:pPr>
  </w:style>
  <w:style w:type="character" w:styleId="Hyperlink">
    <w:name w:val="Hyperlink"/>
    <w:rPr>
      <w:color w:val="0563C1"/>
      <w:u w:val="single"/>
    </w:rPr>
  </w:style>
  <w:style w:type="paragraph" w:styleId="CommentText">
    <w:name w:val="annotation text"/>
    <w:basedOn w:val="Normal"/>
    <w:link w:val="CommentTextChar"/>
    <w:pPr>
      <w:spacing w:line="240" w:lineRule="auto"/>
    </w:pPr>
    <w:rPr>
      <w:sz w:val="20"/>
      <w:szCs w:val="20"/>
    </w:rPr>
  </w:style>
  <w:style w:type="character" w:styleId="CommentReference">
    <w:name w:val="annotation reference"/>
    <w:rPr>
      <w:sz w:val="16"/>
      <w:szCs w:val="16"/>
    </w:rPr>
  </w:style>
  <w:style w:type="table" w:default="1" w:styleId="TableNormal">
    <w:name w:val="Normal Table"/>
    <w:tblPr>
      <w:tblInd w:w="0" w:type="dxa"/>
      <w:tblCellMar>
        <w:top w:w="0" w:type="dxa"/>
        <w:left w:w="108" w:type="dxa"/>
        <w:bottom w:w="0" w:type="dxa"/>
        <w:right w:w="108" w:type="dxa"/>
      </w:tblCellMar>
    </w:tblPr>
  </w:style>
  <w:style w:type="table" w:styleId="TableGrid">
    <w:name w:val="Table Grid"/>
    <w:basedOn w:val="TableNormal"/>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_rels/document.xml.rels><?xml version="1.0" encoding="UTF-8" standalone="yes"?><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s>
</file>

<file path=docProps/app.xml><?xml version="1.0" encoding="utf-8"?>
<Properties xmlns="http://schemas.openxmlformats.org/officeDocument/2006/extended-properties">
  <Application>Claude Docs</Application>
  <AppVersion>2.0000</AppVersion>
</Properties>
</file>

<file path=docProps/core.xml><?xml version="1.0" encoding="utf-8"?>
<cp:coreProperties xmlns:cp="http://schemas.openxmlformats.org/package/2006/metadata/core-properties" xmlns:dc="http://purl.org/dc/elements/1.1/" xmlns:dcterms="http://purl.org/dc/terms/" xmlns:xsi="http://www.w3.org/2001/XMLSchema-instance">
  <dc:title>Medical Writing Style Guide</dc:title>
  <dc:description>Claude Docs node/6a3bdbe6-f81f@1 docx-w7</dc:description>
  <cp:revision>1</cp:revision>
</cp:coreProperties>
</file>