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Week 5 Submission: Revised Medical Article and Self-Evaluation</w:t>
      </w:r>
    </w:p>
    <w:p>
      <w:pPr/>
      <w:r>
        <w:rPr>
          <w:b/>
        </w:rPr>
        <w:t xml:space="preserve">Author:</w:t>
      </w:r>
      <w:r>
        <w:t xml:space="preserve"> [Your Full Name]</w:t>
      </w:r>
      <w:r>
        <w:br/>
      </w:r>
      <w:r>
        <w:rPr>
          <w:b/>
        </w:rPr>
        <w:t xml:space="preserve">Affiliation:</w:t>
      </w:r>
      <w:r>
        <w:t xml:space="preserve"> [Internship Organization / Department]</w:t>
      </w:r>
      <w:r>
        <w:br/>
      </w:r>
      <w:r>
        <w:rPr>
          <w:b/>
        </w:rPr>
        <w:t xml:space="preserve">Task:</w:t>
      </w:r>
      <w:r>
        <w:t xml:space="preserve"> Week 5 - Final Revision and Self-Evaluation</w:t>
      </w:r>
    </w:p>
    <w:p>
      <w:pPr/>
      <w:r>
        <w:rPr>
          <w:b/>
        </w:rPr>
        <w:t xml:space="preserve">Contents:</w:t>
      </w:r>
      <w:r>
        <w:t xml:space="preserve"> Part A is the revised Week 2 article. Part B is the self-evaluation report.</w:t>
      </w:r>
    </w:p>
    <w:p>
      <w:pPr>
        <w:pStyle w:val="Quote"/>
      </w:pPr>
      <w:r>
        <w:rPr>
          <w:b/>
        </w:rPr>
        <w:t xml:space="preserve">Note before you submit:</w:t>
      </w:r>
      <w:r>
        <w:t xml:space="preserve"> The revised article keeps the Week 2 topic (SGLT2 inhibitors in heart failure). If you used a different topic, keep the structure and swap in your own content. Verify every statistic and citation against the original papers. If your internship requires you to disclose the tools you used while writing or editing, add that statement at the end of Part B.</w:t>
      </w:r>
    </w:p>
    <w:p>
      <w:pPr>
        <w:pBdr>
          <w:bottom w:val="single" w:sz="6" w:space="1" w:color="auto"/>
        </w:pBdr>
      </w:pPr>
    </w:p>
    <w:p>
      <w:pPr>
        <w:pStyle w:val="Heading1"/>
      </w:pPr>
      <w:r>
        <w:t xml:space="preserve">Part A: Revised Article</w:t>
      </w:r>
    </w:p>
    <w:p>
      <w:pPr>
        <w:pStyle w:val="Heading2"/>
      </w:pPr>
      <w:r>
        <w:t xml:space="preserve">SGLT2 Inhibitors Across the Heart Failure Spectrum: A Narrative Review of Randomized Trial Evidence</w:t>
      </w:r>
    </w:p>
    <w:p>
      <w:pPr/>
      <w:r>
        <w:rPr>
          <w:b/>
        </w:rPr>
        <w:t xml:space="preserve">Author:</w:t>
      </w:r>
      <w:r>
        <w:t xml:space="preserve"> [Your Full Name]</w:t>
      </w:r>
      <w:r>
        <w:br/>
      </w:r>
      <w:r>
        <w:rPr>
          <w:b/>
        </w:rPr>
        <w:t xml:space="preserve">Affiliation:</w:t>
      </w:r>
      <w:r>
        <w:t xml:space="preserve"> [Internship Organization / Department]</w:t>
      </w:r>
      <w:r>
        <w:br/>
      </w:r>
      <w:r>
        <w:rPr>
          <w:b/>
        </w:rPr>
        <w:t xml:space="preserve">Corresponding author:</w:t>
      </w:r>
      <w:r>
        <w:t xml:space="preserve"> [Email]</w:t>
      </w:r>
      <w:r>
        <w:br/>
      </w:r>
      <w:r>
        <w:rPr>
          <w:b/>
        </w:rPr>
        <w:t xml:space="preserve">Keywords:</w:t>
      </w:r>
      <w:r>
        <w:t xml:space="preserve"> heart failure; sodium-glucose cotransporter 2 inhibitors; dapagliflozin; empagliflozin; cardiovascular outcomes; ejection fraction</w:t>
      </w:r>
      <w:r>
        <w:br/>
      </w:r>
      <w:r>
        <w:rPr>
          <w:b/>
        </w:rPr>
        <w:t xml:space="preserve">Word count:</w:t>
      </w:r>
      <w:r>
        <w:t xml:space="preserve"> [Add after final edit]</w:t>
      </w:r>
    </w:p>
    <w:p>
      <w:pPr>
        <w:pStyle w:val="Heading3"/>
      </w:pPr>
      <w:r>
        <w:t xml:space="preserve">Key Points</w:t>
      </w:r>
    </w:p>
    <w:p>
      <w:pPr>
        <w:pStyle w:val="ListParagraph"/>
        <w:numPr>
          <w:ilvl w:val="0"/>
          <w:numId w:val="2"/>
        </w:numPr>
      </w:pPr>
      <w:r>
        <w:rPr>
          <w:b/>
        </w:rPr>
        <w:t xml:space="preserve">Question:</w:t>
      </w:r>
      <w:r>
        <w:t xml:space="preserve"> Do sodium-glucose cotransporter 2 (SGLT2) inhibitors improve outcomes in patients with heart failure (HF), and does the effect depend on ejection fraction?</w:t>
      </w:r>
    </w:p>
    <w:p>
      <w:pPr>
        <w:pStyle w:val="ListParagraph"/>
        <w:numPr>
          <w:ilvl w:val="0"/>
          <w:numId w:val="2"/>
        </w:numPr>
      </w:pPr>
      <w:r>
        <w:rPr>
          <w:b/>
        </w:rPr>
        <w:t xml:space="preserve">Findings:</w:t>
      </w:r>
      <w:r>
        <w:t xml:space="preserve"> In four large randomized trials, SGLT2 inhibitors reduced the risk of cardiovascular death or worsening HF by 18% to 26% compared with placebo, in patients with reduced and preserved ejection fraction.</w:t>
      </w:r>
    </w:p>
    <w:p>
      <w:pPr>
        <w:pStyle w:val="ListParagraph"/>
        <w:numPr>
          <w:ilvl w:val="0"/>
          <w:numId w:val="2"/>
        </w:numPr>
      </w:pPr>
      <w:r>
        <w:rPr>
          <w:b/>
        </w:rPr>
        <w:t xml:space="preserve">Meaning:</w:t>
      </w:r>
      <w:r>
        <w:t xml:space="preserve"> SGLT2 inhibitors are a foundational therapy across the HF spectrum, with the clearest benefit being fewer HF hospitalizations.</w:t>
      </w:r>
    </w:p>
    <w:p>
      <w:pPr>
        <w:pStyle w:val="Heading3"/>
      </w:pPr>
      <w:r>
        <w:t xml:space="preserve">Abstract</w:t>
      </w:r>
    </w:p>
    <w:p>
      <w:pPr/>
      <w:r>
        <w:rPr>
          <w:b/>
        </w:rPr>
        <w:t xml:space="preserve">Background:</w:t>
      </w:r>
      <w:r>
        <w:t xml:space="preserve"> Heart failure affects millions of people worldwide and causes frequent hospital admissions and premature death. SGLT2 inhibitors were developed to lower blood glucose in type 2 diabetes, but cardiovascular outcome trials in diabetes showed fewer HF hospitalizations, which led to dedicated trials in HF.</w:t>
      </w:r>
    </w:p>
    <w:p>
      <w:pPr/>
      <w:r>
        <w:rPr>
          <w:b/>
        </w:rPr>
        <w:t xml:space="preserve">Objective:</w:t>
      </w:r>
      <w:r>
        <w:t xml:space="preserve"> To summarize and interpret published randomized evidence on SGLT2 inhibitors in HF across the range of left ventricular ejection fraction (LVEF).</w:t>
      </w:r>
    </w:p>
    <w:p>
      <w:pPr/>
      <w:r>
        <w:rPr>
          <w:b/>
        </w:rPr>
        <w:t xml:space="preserve">Methods:</w:t>
      </w:r>
      <w:r>
        <w:t xml:space="preserve"> Structured narrative review of four landmark phase 3 randomized controlled trials (RCTs), one pooled meta-analysis and the current North American HF guideline, identified through PubMed and ClinicalTrials.gov.</w:t>
      </w:r>
    </w:p>
    <w:p>
      <w:pPr/>
      <w:r>
        <w:rPr>
          <w:b/>
        </w:rPr>
        <w:t xml:space="preserve">Results:</w:t>
      </w:r>
      <w:r>
        <w:t xml:space="preserve"> The trials (DAPA-HF, EMPEROR-Reduced, EMPEROR-Preserved and DELIVER) enrolled 20,725 patients in total. The hazard ratio (HR) for the primary composite outcome of cardiovascular death or worsening HF ranged from 0.74 to 0.82, corresponding to absolute differences of 3.1 to 5.3 percentage points. Benefit was consistent in patients with and without diabetes. In preserved ejection fraction the effect was driven mainly by fewer HF hospitalizations.</w:t>
      </w:r>
    </w:p>
    <w:p>
      <w:pPr/>
      <w:r>
        <w:rPr>
          <w:b/>
        </w:rPr>
        <w:t xml:space="preserve">Conclusions:</w:t>
      </w:r>
      <w:r>
        <w:t xml:space="preserve"> SGLT2 inhibitors reduce worsening HF across the full LVEF range and have a favorable safety profile. Open questions include use in frail older adults, in advanced kidney disease and during acute illness, and equitable access to treatment.</w:t>
      </w:r>
    </w:p>
    <w:p>
      <w:pPr>
        <w:pStyle w:val="Heading3"/>
      </w:pPr>
      <w:r>
        <w:t xml:space="preserve">Plain-Language Summary</w:t>
      </w:r>
    </w:p>
    <w:p>
      <w:pPr/>
      <w:r>
        <w:t xml:space="preserve">Heart failure means the heart cannot pump or fill with blood as well as it should. Medicines called SGLT2 inhibitors were first used to treat diabetes. Large studies then showed that, when added to usual care, they help people with heart failure stay out of the hospital and, in some groups, live longer. This was true whether or not the person had diabetes. The medicines are taken as a daily tablet. Possible side effects include genital yeast infections and dehydration, so anyone considering this treatment should talk with their doctor.</w:t>
      </w:r>
    </w:p>
    <w:p>
      <w:pPr>
        <w:pStyle w:val="Heading3"/>
      </w:pPr>
      <w:r>
        <w:t xml:space="preserve">1. Introduction</w:t>
      </w:r>
    </w:p>
    <w:p>
      <w:pPr/>
      <w:r>
        <w:t xml:space="preserve">Heart failure is a clinical syndrome in which the heart cannot meet the body's needs for blood flow. It is classified by LVEF, the percentage of blood the left ventricle pumps out with each beat. Heart failure with reduced ejection fraction (HFrEF) generally means an LVEF of 40% or lower, mildly reduced ejection fraction (HFmrEF) means 41% to 49%, and preserved ejection fraction (HFpEF) means 50% or higher. Symptoms include breathlessness, fatigue and fluid retention, and the condition is a leading cause of hospital admission in older adults.</w:t>
      </w:r>
    </w:p>
    <w:p>
      <w:pPr/>
      <w:r>
        <w:t xml:space="preserve">For HFrEF, several drug classes had already been shown to improve survival: renin-angiotensin system inhibitors (including angiotensin receptor-neprilysin inhibitors), beta-blockers and mineralocorticoid receptor antagonists. For HFpEF, by contrast, few treatments had proven outcome benefit, leaving many patients with limited options.[1]</w:t>
      </w:r>
    </w:p>
    <w:p>
      <w:pPr/>
      <w:r>
        <w:t xml:space="preserve">The picture began to change when cardiovascular outcome trials in type 2 diabetes reported unexpected results. In the EMPA-REG OUTCOME trial, empagliflozin reduced cardiovascular death and HF hospitalization in patients with diabetes and established cardiovascular disease.[2] Because the reduction in HF events appeared early and could not be explained by glucose control alone, researchers proposed other mechanisms, including osmotic diuresis, reduced cardiac workload, improved cardiac energy metabolism and kidney protection.</w:t>
      </w:r>
    </w:p>
    <w:p>
      <w:pPr/>
      <w:r>
        <w:t xml:space="preserve">This finding prompted trials that enrolled patients with HF itself, with or without diabetes. The objective of this review is to summarize those trials, compare results across LVEF categories, and discuss what they mean for clinical practice. Key terms are defined at first use so that the article is accessible to clinicians from other specialties and informed non-specialist readers.</w:t>
      </w:r>
    </w:p>
    <w:p>
      <w:pPr>
        <w:pStyle w:val="Heading3"/>
      </w:pPr>
      <w:r>
        <w:t xml:space="preserve">2. Methods</w:t>
      </w:r>
    </w:p>
    <w:p>
      <w:pPr/>
      <w:r>
        <w:rPr>
          <w:b/>
        </w:rPr>
        <w:t xml:space="preserve">Design.</w:t>
      </w:r>
      <w:r>
        <w:t xml:space="preserve"> This is a structured narrative review. It does not generate new patient data; it interprets and compares results from peer-reviewed publications.</w:t>
      </w:r>
    </w:p>
    <w:p>
      <w:pPr/>
      <w:r>
        <w:rPr>
          <w:b/>
        </w:rPr>
        <w:t xml:space="preserve">Search strategy.</w:t>
      </w:r>
      <w:r>
        <w:t xml:space="preserve"> PubMed and ClinicalTrials.gov were searched on [add search date] using combinations of the terms "SGLT2 inhibitor," "dapagliflozin," "empagliflozin," "heart failure" and "randomized controlled trial." Reference lists of included papers and of current guidelines were also screened.</w:t>
      </w:r>
    </w:p>
    <w:p>
      <w:pPr/>
      <w:r>
        <w:rPr>
          <w:b/>
        </w:rPr>
        <w:t xml:space="preserve">Eligibility criteria.</w:t>
      </w:r>
      <w:r>
        <w:t xml:space="preserve"> Studies were included if they were (1) phase 3 RCTs with a primary outcome combining cardiovascular death and HF events, (2) enrolling patients with symptomatic chronic HF, and (3) published in a peer-reviewed journal. One pooled meta-analysis and the most recent North American HF guideline were included for context.</w:t>
      </w:r>
    </w:p>
    <w:p>
      <w:pPr/>
      <w:r>
        <w:rPr>
          <w:b/>
        </w:rPr>
        <w:t xml:space="preserve">Data extraction.</w:t>
      </w:r>
      <w:r>
        <w:t xml:space="preserve"> For each trial, the following were recorded: drug and dose, number of patients, LVEF range, median follow-up, primary outcome, event rates in each group, HR with 95% CI, and notable safety findings. Absolute differences in event rates were calculated by subtracting the rate in the drug group from the rate in the placebo group.</w:t>
      </w:r>
    </w:p>
    <w:p>
      <w:pPr/>
      <w:r>
        <w:rPr>
          <w:b/>
        </w:rPr>
        <w:t xml:space="preserve">Appraisal.</w:t>
      </w:r>
      <w:r>
        <w:t xml:space="preserve"> Trials were judged on randomization, blinding, completeness of follow-up and consistency of effect. Because the trials used similar designs, results were compared descriptively and were not re-pooled.</w:t>
      </w:r>
    </w:p>
    <w:p>
      <w:pPr/>
      <w:r>
        <w:rPr>
          <w:b/>
        </w:rPr>
        <w:t xml:space="preserve">Limitations of the approach.</w:t>
      </w:r>
      <w:r>
        <w:t xml:space="preserve"> A narrative review is more vulnerable to selection bias than a systematic review, and the conclusions depend on the trials chosen.</w:t>
      </w:r>
    </w:p>
    <w:p>
      <w:pPr>
        <w:pStyle w:val="Heading3"/>
      </w:pPr>
      <w:r>
        <w:t xml:space="preserve">3. Results</w:t>
      </w:r>
    </w:p>
    <w:p>
      <w:pPr>
        <w:pStyle w:val="Heading4"/>
      </w:pPr>
      <w:r>
        <w:t xml:space="preserve">3.1 Characteristics of the included trials</w:t>
      </w:r>
    </w:p>
    <w:p>
      <w:pPr/>
      <w:r>
        <w:t xml:space="preserve">Four double-blind, placebo-controlled RCTs met the criteria (Table 1). All tested a 10-mg once-daily dose added to standard HF therapy.</w:t>
      </w:r>
    </w:p>
    <w:p>
      <w:pPr/>
      <w:r>
        <w:rPr>
          <w:b/>
        </w:rPr>
        <w:t xml:space="preserve">Table 1. Characteristics and primary results of the included trials</w:t>
      </w:r>
    </w:p>
    <w:tbl>
      <w:tblPr>
        <w:tblStyle w:val="TableGrid"/>
        <w:tblW w:w="0" w:type="auto"/>
        <w:tblLayout w:type="fixed"/>
        <w:tblLook w:val="04A0" w:firstRow="1" w:lastRow="0" w:firstColumn="0" w:lastColumn="0" w:noHBand="0" w:noVBand="1"/>
      </w:tblPr>
      <w:tblGrid>
        <w:gridCol w:w="1198"/>
        <w:gridCol w:w="1170"/>
        <w:gridCol w:w="1170"/>
        <w:gridCol w:w="924"/>
        <w:gridCol w:w="1086"/>
        <w:gridCol w:w="1470"/>
        <w:gridCol w:w="1172"/>
        <w:gridCol w:w="1170"/>
      </w:tblGrid>
      <w:tr>
        <w:trPr>
          <w:tblHeader/>
        </w:trPr>
        <w:tc>
          <w:tcPr>
            <w:tcW w:w="1198" w:type="dxa"/>
            <w:shd w:val="clear" w:color="auto" w:fill="F2F2F2"/>
          </w:tcPr>
          <w:p>
            <w:pPr/>
            <w:r>
              <w:t xml:space="preserve">Trial</w:t>
            </w:r>
          </w:p>
        </w:tc>
        <w:tc>
          <w:tcPr>
            <w:tcW w:w="1170" w:type="dxa"/>
            <w:shd w:val="clear" w:color="auto" w:fill="F2F2F2"/>
          </w:tcPr>
          <w:p>
            <w:pPr/>
            <w:r>
              <w:t xml:space="preserve">Drug</w:t>
            </w:r>
          </w:p>
        </w:tc>
        <w:tc>
          <w:tcPr>
            <w:tcW w:w="1170" w:type="dxa"/>
            <w:shd w:val="clear" w:color="auto" w:fill="F2F2F2"/>
          </w:tcPr>
          <w:p>
            <w:pPr/>
            <w:r>
              <w:t xml:space="preserve">Patients, No.</w:t>
            </w:r>
          </w:p>
        </w:tc>
        <w:tc>
          <w:tcPr>
            <w:tcW w:w="924" w:type="dxa"/>
            <w:shd w:val="clear" w:color="auto" w:fill="F2F2F2"/>
          </w:tcPr>
          <w:p>
            <w:pPr/>
            <w:r>
              <w:t xml:space="preserve">LVEF</w:t>
            </w:r>
          </w:p>
        </w:tc>
        <w:tc>
          <w:tcPr>
            <w:tcW w:w="1086" w:type="dxa"/>
            <w:shd w:val="clear" w:color="auto" w:fill="F2F2F2"/>
          </w:tcPr>
          <w:p>
            <w:pPr/>
            <w:r>
              <w:t xml:space="preserve">Median follow-up</w:t>
            </w:r>
          </w:p>
        </w:tc>
        <w:tc>
          <w:tcPr>
            <w:tcW w:w="1470" w:type="dxa"/>
            <w:shd w:val="clear" w:color="auto" w:fill="F2F2F2"/>
          </w:tcPr>
          <w:p>
            <w:pPr/>
            <w:r>
              <w:t xml:space="preserve">Primary outcome, drug vs placebo</w:t>
            </w:r>
          </w:p>
        </w:tc>
        <w:tc>
          <w:tcPr>
            <w:tcW w:w="1172" w:type="dxa"/>
            <w:shd w:val="clear" w:color="auto" w:fill="F2F2F2"/>
          </w:tcPr>
          <w:p>
            <w:pPr/>
            <w:r>
              <w:t xml:space="preserve">HR (95% CI)</w:t>
            </w:r>
          </w:p>
        </w:tc>
        <w:tc>
          <w:tcPr>
            <w:tcW w:w="1170" w:type="dxa"/>
            <w:shd w:val="clear" w:color="auto" w:fill="F2F2F2"/>
          </w:tcPr>
          <w:p>
            <w:pPr/>
            <w:r>
              <w:t xml:space="preserve">Absolute difference</w:t>
            </w:r>
          </w:p>
        </w:tc>
      </w:tr>
      <w:tr>
        <w:tc>
          <w:tcPr>
            <w:tcW w:w="1198" w:type="dxa"/>
          </w:tcPr>
          <w:p>
            <w:pPr/>
            <w:r>
              <w:t xml:space="preserve">DAPA-HF[3]</w:t>
            </w:r>
          </w:p>
        </w:tc>
        <w:tc>
          <w:tcPr>
            <w:tcW w:w="1170" w:type="dxa"/>
          </w:tcPr>
          <w:p>
            <w:pPr/>
            <w:r>
              <w:t xml:space="preserve">Dapagliflozin</w:t>
            </w:r>
          </w:p>
        </w:tc>
        <w:tc>
          <w:tcPr>
            <w:tcW w:w="1170" w:type="dxa"/>
          </w:tcPr>
          <w:p>
            <w:pPr/>
            <w:r>
              <w:t xml:space="preserve">4,744</w:t>
            </w:r>
          </w:p>
        </w:tc>
        <w:tc>
          <w:tcPr>
            <w:tcW w:w="924" w:type="dxa"/>
          </w:tcPr>
          <w:p>
            <w:pPr/>
            <w:r>
              <w:t xml:space="preserve">40% or lower</w:t>
            </w:r>
          </w:p>
        </w:tc>
        <w:tc>
          <w:tcPr>
            <w:tcW w:w="1086" w:type="dxa"/>
          </w:tcPr>
          <w:p>
            <w:pPr/>
            <w:r>
              <w:t xml:space="preserve">About 18 mo</w:t>
            </w:r>
          </w:p>
        </w:tc>
        <w:tc>
          <w:tcPr>
            <w:tcW w:w="1470" w:type="dxa"/>
          </w:tcPr>
          <w:p>
            <w:pPr/>
            <w:r>
              <w:t xml:space="preserve">16.3% vs 21.2%</w:t>
            </w:r>
          </w:p>
        </w:tc>
        <w:tc>
          <w:tcPr>
            <w:tcW w:w="1172" w:type="dxa"/>
          </w:tcPr>
          <w:p>
            <w:pPr/>
            <w:r>
              <w:t xml:space="preserve">0.74 (0.65-0.85)</w:t>
            </w:r>
          </w:p>
        </w:tc>
        <w:tc>
          <w:tcPr>
            <w:tcW w:w="1170" w:type="dxa"/>
          </w:tcPr>
          <w:p>
            <w:pPr/>
            <w:r>
              <w:t xml:space="preserve">4.9 points</w:t>
            </w:r>
          </w:p>
        </w:tc>
      </w:tr>
      <w:tr>
        <w:tc>
          <w:tcPr>
            <w:tcW w:w="1198" w:type="dxa"/>
          </w:tcPr>
          <w:p>
            <w:pPr/>
            <w:r>
              <w:t xml:space="preserve">EMPEROR-Reduced[4]</w:t>
            </w:r>
          </w:p>
        </w:tc>
        <w:tc>
          <w:tcPr>
            <w:tcW w:w="1170" w:type="dxa"/>
          </w:tcPr>
          <w:p>
            <w:pPr/>
            <w:r>
              <w:t xml:space="preserve">Empagliflozin</w:t>
            </w:r>
          </w:p>
        </w:tc>
        <w:tc>
          <w:tcPr>
            <w:tcW w:w="1170" w:type="dxa"/>
          </w:tcPr>
          <w:p>
            <w:pPr/>
            <w:r>
              <w:t xml:space="preserve">3,730</w:t>
            </w:r>
          </w:p>
        </w:tc>
        <w:tc>
          <w:tcPr>
            <w:tcW w:w="924" w:type="dxa"/>
          </w:tcPr>
          <w:p>
            <w:pPr/>
            <w:r>
              <w:t xml:space="preserve">40% or lower</w:t>
            </w:r>
          </w:p>
        </w:tc>
        <w:tc>
          <w:tcPr>
            <w:tcW w:w="1086" w:type="dxa"/>
          </w:tcPr>
          <w:p>
            <w:pPr/>
            <w:r>
              <w:t xml:space="preserve">About 16 mo</w:t>
            </w:r>
          </w:p>
        </w:tc>
        <w:tc>
          <w:tcPr>
            <w:tcW w:w="1470" w:type="dxa"/>
          </w:tcPr>
          <w:p>
            <w:pPr/>
            <w:r>
              <w:t xml:space="preserve">19.4% vs 24.7%</w:t>
            </w:r>
          </w:p>
        </w:tc>
        <w:tc>
          <w:tcPr>
            <w:tcW w:w="1172" w:type="dxa"/>
          </w:tcPr>
          <w:p>
            <w:pPr/>
            <w:r>
              <w:t xml:space="preserve">0.75 (0.65-0.86)</w:t>
            </w:r>
          </w:p>
        </w:tc>
        <w:tc>
          <w:tcPr>
            <w:tcW w:w="1170" w:type="dxa"/>
          </w:tcPr>
          <w:p>
            <w:pPr/>
            <w:r>
              <w:t xml:space="preserve">5.3 points</w:t>
            </w:r>
          </w:p>
        </w:tc>
      </w:tr>
      <w:tr>
        <w:tc>
          <w:tcPr>
            <w:tcW w:w="1198" w:type="dxa"/>
          </w:tcPr>
          <w:p>
            <w:pPr/>
            <w:r>
              <w:t xml:space="preserve">EMPEROR-Preserved[5]</w:t>
            </w:r>
          </w:p>
        </w:tc>
        <w:tc>
          <w:tcPr>
            <w:tcW w:w="1170" w:type="dxa"/>
          </w:tcPr>
          <w:p>
            <w:pPr/>
            <w:r>
              <w:t xml:space="preserve">Empagliflozin</w:t>
            </w:r>
          </w:p>
        </w:tc>
        <w:tc>
          <w:tcPr>
            <w:tcW w:w="1170" w:type="dxa"/>
          </w:tcPr>
          <w:p>
            <w:pPr/>
            <w:r>
              <w:t xml:space="preserve">5,988</w:t>
            </w:r>
          </w:p>
        </w:tc>
        <w:tc>
          <w:tcPr>
            <w:tcW w:w="924" w:type="dxa"/>
          </w:tcPr>
          <w:p>
            <w:pPr/>
            <w:r>
              <w:t xml:space="preserve">Above 40%</w:t>
            </w:r>
          </w:p>
        </w:tc>
        <w:tc>
          <w:tcPr>
            <w:tcW w:w="1086" w:type="dxa"/>
          </w:tcPr>
          <w:p>
            <w:pPr/>
            <w:r>
              <w:t xml:space="preserve">About 26 mo</w:t>
            </w:r>
          </w:p>
        </w:tc>
        <w:tc>
          <w:tcPr>
            <w:tcW w:w="1470" w:type="dxa"/>
          </w:tcPr>
          <w:p>
            <w:pPr/>
            <w:r>
              <w:t xml:space="preserve">13.8% vs 17.1%</w:t>
            </w:r>
          </w:p>
        </w:tc>
        <w:tc>
          <w:tcPr>
            <w:tcW w:w="1172" w:type="dxa"/>
          </w:tcPr>
          <w:p>
            <w:pPr/>
            <w:r>
              <w:t xml:space="preserve">0.79 (0.69-0.90)</w:t>
            </w:r>
          </w:p>
        </w:tc>
        <w:tc>
          <w:tcPr>
            <w:tcW w:w="1170" w:type="dxa"/>
          </w:tcPr>
          <w:p>
            <w:pPr/>
            <w:r>
              <w:t xml:space="preserve">3.3 points</w:t>
            </w:r>
          </w:p>
        </w:tc>
      </w:tr>
      <w:tr>
        <w:tc>
          <w:tcPr>
            <w:tcW w:w="1198" w:type="dxa"/>
          </w:tcPr>
          <w:p>
            <w:pPr/>
            <w:r>
              <w:t xml:space="preserve">DELIVER[6]</w:t>
            </w:r>
          </w:p>
        </w:tc>
        <w:tc>
          <w:tcPr>
            <w:tcW w:w="1170" w:type="dxa"/>
          </w:tcPr>
          <w:p>
            <w:pPr/>
            <w:r>
              <w:t xml:space="preserve">Dapagliflozin</w:t>
            </w:r>
          </w:p>
        </w:tc>
        <w:tc>
          <w:tcPr>
            <w:tcW w:w="1170" w:type="dxa"/>
          </w:tcPr>
          <w:p>
            <w:pPr/>
            <w:r>
              <w:t xml:space="preserve">6,263</w:t>
            </w:r>
          </w:p>
        </w:tc>
        <w:tc>
          <w:tcPr>
            <w:tcW w:w="924" w:type="dxa"/>
          </w:tcPr>
          <w:p>
            <w:pPr/>
            <w:r>
              <w:t xml:space="preserve">Above 40%</w:t>
            </w:r>
          </w:p>
        </w:tc>
        <w:tc>
          <w:tcPr>
            <w:tcW w:w="1086" w:type="dxa"/>
          </w:tcPr>
          <w:p>
            <w:pPr/>
            <w:r>
              <w:t xml:space="preserve">About 28 mo</w:t>
            </w:r>
          </w:p>
        </w:tc>
        <w:tc>
          <w:tcPr>
            <w:tcW w:w="1470" w:type="dxa"/>
          </w:tcPr>
          <w:p>
            <w:pPr/>
            <w:r>
              <w:t xml:space="preserve">16.4% vs 19.5%</w:t>
            </w:r>
          </w:p>
        </w:tc>
        <w:tc>
          <w:tcPr>
            <w:tcW w:w="1172" w:type="dxa"/>
          </w:tcPr>
          <w:p>
            <w:pPr/>
            <w:r>
              <w:t xml:space="preserve">0.82 (0.73-0.92)</w:t>
            </w:r>
          </w:p>
        </w:tc>
        <w:tc>
          <w:tcPr>
            <w:tcW w:w="1170" w:type="dxa"/>
          </w:tcPr>
          <w:p>
            <w:pPr/>
            <w:r>
              <w:t xml:space="preserve">3.1 points</w:t>
            </w:r>
          </w:p>
        </w:tc>
      </w:tr>
    </w:tbl>
    <w:p>
      <w:pPr/>
      <w:r>
        <w:rPr>
          <w:i/>
        </w:rPr>
        <w:t xml:space="preserve">Abbreviations: CI, confidence interval; HR, hazard ratio; LVEF, left ventricular ejection fraction. The primary outcome was cardiovascular death or worsening HF (hospitalization or urgent visit); exact definitions varied slightly between trials. Absolute differences are percentage points and are not directly comparable because follow-up differed.</w:t>
      </w:r>
    </w:p>
    <w:p>
      <w:pPr>
        <w:pStyle w:val="Heading4"/>
      </w:pPr>
      <w:r>
        <w:t xml:space="preserve">3.2 Reduced ejection fraction</w:t>
      </w:r>
    </w:p>
    <w:p>
      <w:pPr/>
      <w:r>
        <w:t xml:space="preserve">In DAPA-HF, adding dapagliflozin reduced the risk of the primary outcome by 26%, and the effect was similar in patients with and without diabetes.[3] EMPEROR-Reduced found a 25% reduction with empagliflozin and a slower decline in kidney function.[4] Agreement between two different drugs in two independent trials supports a class effect rather than a finding specific to one study.</w:t>
      </w:r>
    </w:p>
    <w:p>
      <w:pPr>
        <w:pStyle w:val="Heading4"/>
      </w:pPr>
      <w:r>
        <w:t xml:space="preserve">3.3 Mildly reduced and preserved ejection fraction</w:t>
      </w:r>
    </w:p>
    <w:p>
      <w:pPr/>
      <w:r>
        <w:t xml:space="preserve">EMPEROR-Preserved was the first large trial to show an outcome benefit in HFpEF, mainly because of fewer HF hospitalizations.[5] DELIVER extended the finding to patients with mildly reduced ejection fraction and to those whose ejection fraction had improved over time, with an 18% relative reduction in the primary outcome.[6] The relative effects are somewhat smaller than in HFrEF, but the absolute benefit is clinically meaningful because HFpEF is common and previously had little proven treatment.</w:t>
      </w:r>
    </w:p>
    <w:p>
      <w:pPr>
        <w:pStyle w:val="Heading4"/>
      </w:pPr>
      <w:r>
        <w:t xml:space="preserve">3.4 Pooled evidence</w:t>
      </w:r>
    </w:p>
    <w:p>
      <w:pPr/>
      <w:r>
        <w:t xml:space="preserve">A meta-analysis of the major trials across the full LVEF range found about a 23% reduction in the composite of cardiovascular death or first HF hospitalization, with consistent benefit across subgroups.[7] The reduction in cardiovascular death alone was clearer in HFrEF than in HFpEF, where the main gain was fewer hospital admissions.</w:t>
      </w:r>
    </w:p>
    <w:p>
      <w:pPr>
        <w:pStyle w:val="Heading4"/>
      </w:pPr>
      <w:r>
        <w:t xml:space="preserve">3.5 Safety</w:t>
      </w:r>
    </w:p>
    <w:p>
      <w:pPr/>
      <w:r>
        <w:t xml:space="preserve">Common adverse effects were genital mycotic infections and, less often, volume depletion. Diabetic ketoacidosis was rare but is a recognized risk, particularly in people with type 1 diabetes and during acute illness or fasting. Hypoglycemia was uncommon in patients without diabetes. Overall serious adverse events were similar to or lower than with placebo.</w:t>
      </w:r>
    </w:p>
    <w:p>
      <w:pPr>
        <w:pStyle w:val="Heading3"/>
      </w:pPr>
      <w:r>
        <w:t xml:space="preserve">4. Discussion</w:t>
      </w:r>
    </w:p>
    <w:p>
      <w:pPr/>
      <w:r>
        <w:rPr>
          <w:b/>
        </w:rPr>
        <w:t xml:space="preserve">Interpretation.</w:t>
      </w:r>
      <w:r>
        <w:t xml:space="preserve"> Together, the trials show that SGLT2 inhibitors reduce HF hospitalizations in all LVEF groups and, in reduced ejection fraction, probably reduce cardiovascular death. It is unusual for a drug designed to lower blood glucose to benefit people without diabetes, which indicates that the effect arises mainly from cardiac, hemodynamic and kidney mechanisms rather than glucose lowering. The 2022 AHA/ACC/HFSA guideline recommends SGLT2 inhibitors for HFrEF and also for HFmrEF and HFpEF.[1]</w:t>
      </w:r>
    </w:p>
    <w:p>
      <w:pPr/>
      <w:r>
        <w:rPr>
          <w:b/>
        </w:rPr>
        <w:t xml:space="preserve">Clinical meaning.</w:t>
      </w:r>
      <w:r>
        <w:t xml:space="preserve"> For clinicians, these drugs can be started early at a fixed dose without slow titration and can be combined with existing HF therapy. Monitoring should include volume status and kidney function, and treatment should be paused during acute illness, prolonged fasting or before surgery to limit the risk of ketoacidosis. For patients, it means a once-daily tablet that can reduce the chance of hospital admission.</w:t>
      </w:r>
    </w:p>
    <w:p>
      <w:pPr/>
      <w:r>
        <w:rPr>
          <w:b/>
        </w:rPr>
        <w:t xml:space="preserve">Strengths and limitations.</w:t>
      </w:r>
      <w:r>
        <w:t xml:space="preserve"> The evidence comes from large, well-conducted RCTs with consistent results. However, all four trials were funded by drug manufacturers, and primary outcomes were composites in which HF hospitalization, a partly clinician-driven event, contributed most. Participants were generally younger, more often male and healthier than real-world patients, and people with advanced kidney disease were excluded. Follow-up was usually under three years. This review is narrative and may be affected by selective inclusion.</w:t>
      </w:r>
    </w:p>
    <w:p>
      <w:pPr/>
      <w:r>
        <w:rPr>
          <w:b/>
        </w:rPr>
        <w:t xml:space="preserve">Future research.</w:t>
      </w:r>
      <w:r>
        <w:t xml:space="preserve"> Priorities include use during or soon after hospitalization, long-term safety in frail older adults, cost-effectiveness, and access in low-income settings where HF burden is high but newer drugs are least available.</w:t>
      </w:r>
    </w:p>
    <w:p>
      <w:pPr>
        <w:pStyle w:val="Heading3"/>
      </w:pPr>
      <w:r>
        <w:t xml:space="preserve">5. Conclusion</w:t>
      </w:r>
    </w:p>
    <w:p>
      <w:pPr/>
      <w:r>
        <w:t xml:space="preserve">Randomized evidence from more than 20,000 patients shows that SGLT2 inhibitors reduce worsening HF across the spectrum of ejection fraction, with an acceptable safety profile. They have moved from diabetes drugs to a cornerstone of HF care. Wider and more equitable implementation is now the priority.</w:t>
      </w:r>
    </w:p>
    <w:p>
      <w:pPr>
        <w:pStyle w:val="Heading3"/>
      </w:pPr>
      <w:r>
        <w:t xml:space="preserve">References</w:t>
      </w:r>
    </w:p>
    <w:p>
      <w:pPr>
        <w:pStyle w:val="ListParagraph"/>
        <w:numPr>
          <w:ilvl w:val="0"/>
          <w:numId w:val="3"/>
        </w:numPr>
      </w:pPr>
      <w:r>
        <w:t xml:space="preserve">Heidenreich PA, Bozkurt B, Aguilar D, et al. 2022 AHA/ACC/HFSA guideline for the management of heart failure. </w:t>
      </w:r>
      <w:r>
        <w:rPr>
          <w:i/>
        </w:rPr>
        <w:t xml:space="preserve">Circulation.</w:t>
      </w:r>
      <w:r>
        <w:t xml:space="preserve"> 2022;145(18):e895-e1032.</w:t>
      </w:r>
    </w:p>
    <w:p>
      <w:pPr>
        <w:pStyle w:val="ListParagraph"/>
        <w:numPr>
          <w:ilvl w:val="0"/>
          <w:numId w:val="3"/>
        </w:numPr>
      </w:pPr>
      <w:r>
        <w:t xml:space="preserve">Zinman B, Wanner C, Lachin JM, et al. Empagliflozin, cardiovascular outcomes, and mortality in type 2 diabetes. </w:t>
      </w:r>
      <w:r>
        <w:rPr>
          <w:i/>
        </w:rPr>
        <w:t xml:space="preserve">N Engl J Med.</w:t>
      </w:r>
      <w:r>
        <w:t xml:space="preserve"> 2015;373(22):2117-2128.</w:t>
      </w:r>
    </w:p>
    <w:p>
      <w:pPr>
        <w:pStyle w:val="ListParagraph"/>
        <w:numPr>
          <w:ilvl w:val="0"/>
          <w:numId w:val="3"/>
        </w:numPr>
      </w:pPr>
      <w:r>
        <w:t xml:space="preserve">McMurray JJV, Solomon SD, Inzucchi SE, et al. Dapagliflozin in patients with heart failure and reduced ejection fraction. </w:t>
      </w:r>
      <w:r>
        <w:rPr>
          <w:i/>
        </w:rPr>
        <w:t xml:space="preserve">N Engl J Med.</w:t>
      </w:r>
      <w:r>
        <w:t xml:space="preserve"> 2019;381(21):1995-2008.</w:t>
      </w:r>
    </w:p>
    <w:p>
      <w:pPr>
        <w:pStyle w:val="ListParagraph"/>
        <w:numPr>
          <w:ilvl w:val="0"/>
          <w:numId w:val="3"/>
        </w:numPr>
      </w:pPr>
      <w:r>
        <w:t xml:space="preserve">Packer M, Anker SD, Butler J, et al. Cardiovascular and renal outcomes with empagliflozin in heart failure. </w:t>
      </w:r>
      <w:r>
        <w:rPr>
          <w:i/>
        </w:rPr>
        <w:t xml:space="preserve">N Engl J Med.</w:t>
      </w:r>
      <w:r>
        <w:t xml:space="preserve"> 2020;383(15):1413-1424.</w:t>
      </w:r>
    </w:p>
    <w:p>
      <w:pPr>
        <w:pStyle w:val="ListParagraph"/>
        <w:numPr>
          <w:ilvl w:val="0"/>
          <w:numId w:val="3"/>
        </w:numPr>
      </w:pPr>
      <w:r>
        <w:t xml:space="preserve">Anker SD, Butler J, Filippatos G, et al. Empagliflozin in heart failure with a preserved ejection fraction. </w:t>
      </w:r>
      <w:r>
        <w:rPr>
          <w:i/>
        </w:rPr>
        <w:t xml:space="preserve">N Engl J Med.</w:t>
      </w:r>
      <w:r>
        <w:t xml:space="preserve"> 2021;385(16):1451-1461.</w:t>
      </w:r>
    </w:p>
    <w:p>
      <w:pPr>
        <w:pStyle w:val="ListParagraph"/>
        <w:numPr>
          <w:ilvl w:val="0"/>
          <w:numId w:val="3"/>
        </w:numPr>
      </w:pPr>
      <w:r>
        <w:t xml:space="preserve">Solomon SD, McMurray JJV, Claggett B, et al. Dapagliflozin in heart failure with mildly reduced or preserved ejection fraction. </w:t>
      </w:r>
      <w:r>
        <w:rPr>
          <w:i/>
        </w:rPr>
        <w:t xml:space="preserve">N Engl J Med.</w:t>
      </w:r>
      <w:r>
        <w:t xml:space="preserve"> 2022;387(12):1089-1098.</w:t>
      </w:r>
    </w:p>
    <w:p>
      <w:pPr>
        <w:pStyle w:val="ListParagraph"/>
        <w:numPr>
          <w:ilvl w:val="0"/>
          <w:numId w:val="3"/>
        </w:numPr>
      </w:pPr>
      <w:r>
        <w:t xml:space="preserve">Vaduganathan M, Docherty KF, Claggett BL, et al. SGLT-2 inhibitors in patients with heart failure: a comprehensive meta-analysis of five randomised controlled trials. </w:t>
      </w:r>
      <w:r>
        <w:rPr>
          <w:i/>
        </w:rPr>
        <w:t xml:space="preserve">Lancet.</w:t>
      </w:r>
      <w:r>
        <w:t xml:space="preserve"> 2022;400(10354):757-767.</w:t>
      </w:r>
    </w:p>
    <w:p>
      <w:pPr>
        <w:pBdr>
          <w:bottom w:val="single" w:sz="6" w:space="1" w:color="auto"/>
        </w:pBdr>
      </w:pPr>
    </w:p>
    <w:p>
      <w:pPr>
        <w:pStyle w:val="Heading1"/>
      </w:pPr>
      <w:r>
        <w:t xml:space="preserve">Part B: Self-Evaluation Report</w:t>
      </w:r>
    </w:p>
    <w:p>
      <w:pPr>
        <w:pStyle w:val="Heading2"/>
      </w:pPr>
      <w:r>
        <w:t xml:space="preserve">1. Document selected and why</w:t>
      </w:r>
    </w:p>
    <w:p>
      <w:pPr/>
      <w:r>
        <w:t xml:space="preserve">I chose to revise my Week 2 medical article because it was the longest and most complex piece I produced, so it had the most room for improvement. It was also the document that most directly benefited from the Week 3 literature review and the Week 4 style guide: Week 3 taught me to read trials critically, and Week 4 gave me a checklist against which to edit. Revising it gave me a chance to apply everything I had learned in one place.</w:t>
      </w:r>
    </w:p>
    <w:p>
      <w:pPr>
        <w:pStyle w:val="Heading2"/>
      </w:pPr>
      <w:r>
        <w:t xml:space="preserve">2. Summary of revisions</w:t>
      </w:r>
    </w:p>
    <w:p>
      <w:pPr/>
      <w:r>
        <w:rPr>
          <w:b/>
        </w:rPr>
        <w:t xml:space="preserve">Table 2. What I changed and why</w:t>
      </w:r>
    </w:p>
    <w:tbl>
      <w:tblPr>
        <w:tblStyle w:val="TableGrid"/>
        <w:tblW w:w="0" w:type="auto"/>
        <w:tblLayout w:type="fixed"/>
        <w:tblLook w:val="04A0" w:firstRow="1" w:lastRow="0" w:firstColumn="0" w:lastColumn="0" w:noHBand="0" w:noVBand="1"/>
      </w:tblPr>
      <w:tblGrid>
        <w:gridCol w:w="2057"/>
        <w:gridCol w:w="2108"/>
        <w:gridCol w:w="3187"/>
        <w:gridCol w:w="2008"/>
      </w:tblGrid>
      <w:tr>
        <w:trPr>
          <w:tblHeader/>
        </w:trPr>
        <w:tc>
          <w:tcPr>
            <w:tcW w:w="2057" w:type="dxa"/>
            <w:shd w:val="clear" w:color="auto" w:fill="F2F2F2"/>
          </w:tcPr>
          <w:p>
            <w:pPr/>
            <w:r>
              <w:t xml:space="preserve">Area</w:t>
            </w:r>
          </w:p>
        </w:tc>
        <w:tc>
          <w:tcPr>
            <w:tcW w:w="2108" w:type="dxa"/>
            <w:shd w:val="clear" w:color="auto" w:fill="F2F2F2"/>
          </w:tcPr>
          <w:p>
            <w:pPr/>
            <w:r>
              <w:t xml:space="preserve">Problem in the Week 2 draft</w:t>
            </w:r>
          </w:p>
        </w:tc>
        <w:tc>
          <w:tcPr>
            <w:tcW w:w="3187" w:type="dxa"/>
            <w:shd w:val="clear" w:color="auto" w:fill="F2F2F2"/>
          </w:tcPr>
          <w:p>
            <w:pPr/>
            <w:r>
              <w:t xml:space="preserve">Revision made</w:t>
            </w:r>
          </w:p>
        </w:tc>
        <w:tc>
          <w:tcPr>
            <w:tcW w:w="2008" w:type="dxa"/>
            <w:shd w:val="clear" w:color="auto" w:fill="F2F2F2"/>
          </w:tcPr>
          <w:p>
            <w:pPr/>
            <w:r>
              <w:t xml:space="preserve">Why it matters</w:t>
            </w:r>
          </w:p>
        </w:tc>
      </w:tr>
      <w:tr>
        <w:tc>
          <w:tcPr>
            <w:tcW w:w="2057" w:type="dxa"/>
          </w:tcPr>
          <w:p>
            <w:pPr/>
            <w:r>
              <w:t xml:space="preserve">Content</w:t>
            </w:r>
          </w:p>
        </w:tc>
        <w:tc>
          <w:tcPr>
            <w:tcW w:w="2108" w:type="dxa"/>
          </w:tcPr>
          <w:p>
            <w:pPr/>
            <w:r>
              <w:t xml:space="preserve">Results reported only relative effects (hazard ratios)</w:t>
            </w:r>
          </w:p>
        </w:tc>
        <w:tc>
          <w:tcPr>
            <w:tcW w:w="3187" w:type="dxa"/>
          </w:tcPr>
          <w:p>
            <w:pPr/>
            <w:r>
              <w:t xml:space="preserve">Added median follow-up and absolute differences in event rates, with a note that they are not directly comparable</w:t>
            </w:r>
          </w:p>
        </w:tc>
        <w:tc>
          <w:tcPr>
            <w:tcW w:w="2008" w:type="dxa"/>
          </w:tcPr>
          <w:p>
            <w:pPr/>
            <w:r>
              <w:t xml:space="preserve">Relative effects alone can exaggerate benefit; readers need baseline risk</w:t>
            </w:r>
          </w:p>
        </w:tc>
      </w:tr>
      <w:tr>
        <w:tc>
          <w:tcPr>
            <w:tcW w:w="2057" w:type="dxa"/>
          </w:tcPr>
          <w:p>
            <w:pPr/>
            <w:r>
              <w:t xml:space="preserve">Content</w:t>
            </w:r>
          </w:p>
        </w:tc>
        <w:tc>
          <w:tcPr>
            <w:tcW w:w="2108" w:type="dxa"/>
          </w:tcPr>
          <w:p>
            <w:pPr/>
            <w:r>
              <w:t xml:space="preserve">Limitations of the evidence were brief</w:t>
            </w:r>
          </w:p>
        </w:tc>
        <w:tc>
          <w:tcPr>
            <w:tcW w:w="3187" w:type="dxa"/>
          </w:tcPr>
          <w:p>
            <w:pPr/>
            <w:r>
              <w:t xml:space="preserve">Added industry funding, composite endpoints driven by hospitalizations, selected populations and short follow-up</w:t>
            </w:r>
          </w:p>
        </w:tc>
        <w:tc>
          <w:tcPr>
            <w:tcW w:w="2008" w:type="dxa"/>
          </w:tcPr>
          <w:p>
            <w:pPr/>
            <w:r>
              <w:t xml:space="preserve">Honest appraisal makes conclusions more trustworthy</w:t>
            </w:r>
          </w:p>
        </w:tc>
      </w:tr>
      <w:tr>
        <w:tc>
          <w:tcPr>
            <w:tcW w:w="2057" w:type="dxa"/>
          </w:tcPr>
          <w:p>
            <w:pPr/>
            <w:r>
              <w:t xml:space="preserve">Content</w:t>
            </w:r>
          </w:p>
        </w:tc>
        <w:tc>
          <w:tcPr>
            <w:tcW w:w="2108" w:type="dxa"/>
          </w:tcPr>
          <w:p>
            <w:pPr/>
            <w:r>
              <w:t xml:space="preserve">Safety advice was general</w:t>
            </w:r>
          </w:p>
        </w:tc>
        <w:tc>
          <w:tcPr>
            <w:tcW w:w="3187" w:type="dxa"/>
          </w:tcPr>
          <w:p>
            <w:pPr/>
            <w:r>
              <w:t xml:space="preserve">Added practical monitoring and when to pause treatment</w:t>
            </w:r>
          </w:p>
        </w:tc>
        <w:tc>
          <w:tcPr>
            <w:tcW w:w="2008" w:type="dxa"/>
          </w:tcPr>
          <w:p>
            <w:pPr/>
            <w:r>
              <w:t xml:space="preserve">Makes the discussion useful in practice</w:t>
            </w:r>
          </w:p>
        </w:tc>
      </w:tr>
      <w:tr>
        <w:tc>
          <w:tcPr>
            <w:tcW w:w="2057" w:type="dxa"/>
          </w:tcPr>
          <w:p>
            <w:pPr/>
            <w:r>
              <w:t xml:space="preserve">Structure</w:t>
            </w:r>
          </w:p>
        </w:tc>
        <w:tc>
          <w:tcPr>
            <w:tcW w:w="2108" w:type="dxa"/>
          </w:tcPr>
          <w:p>
            <w:pPr/>
            <w:r>
              <w:t xml:space="preserve">Two sections both numbered 3.2; numbering later in Results was inconsistent</w:t>
            </w:r>
          </w:p>
        </w:tc>
        <w:tc>
          <w:tcPr>
            <w:tcW w:w="3187" w:type="dxa"/>
          </w:tcPr>
          <w:p>
            <w:pPr/>
            <w:r>
              <w:t xml:space="preserve">Renumbered 3.1 to 3.5 in logical order</w:t>
            </w:r>
          </w:p>
        </w:tc>
        <w:tc>
          <w:tcPr>
            <w:tcW w:w="2008" w:type="dxa"/>
          </w:tcPr>
          <w:p>
            <w:pPr/>
            <w:r>
              <w:t xml:space="preserve">Duplicate headings confuse readers and look careless</w:t>
            </w:r>
          </w:p>
        </w:tc>
      </w:tr>
      <w:tr>
        <w:tc>
          <w:tcPr>
            <w:tcW w:w="2057" w:type="dxa"/>
          </w:tcPr>
          <w:p>
            <w:pPr/>
            <w:r>
              <w:t xml:space="preserve">Structure</w:t>
            </w:r>
          </w:p>
        </w:tc>
        <w:tc>
          <w:tcPr>
            <w:tcW w:w="2108" w:type="dxa"/>
          </w:tcPr>
          <w:p>
            <w:pPr/>
            <w:r>
              <w:t xml:space="preserve">No quick summary for busy readers</w:t>
            </w:r>
          </w:p>
        </w:tc>
        <w:tc>
          <w:tcPr>
            <w:tcW w:w="3187" w:type="dxa"/>
          </w:tcPr>
          <w:p>
            <w:pPr/>
            <w:r>
              <w:t xml:space="preserve">Added Key Points and a plain-language summary</w:t>
            </w:r>
          </w:p>
        </w:tc>
        <w:tc>
          <w:tcPr>
            <w:tcW w:w="2008" w:type="dxa"/>
          </w:tcPr>
          <w:p>
            <w:pPr/>
            <w:r>
              <w:t xml:space="preserve">Serves both expert and general audiences, as the Week 4 guide recommends</w:t>
            </w:r>
          </w:p>
        </w:tc>
      </w:tr>
      <w:tr>
        <w:tc>
          <w:tcPr>
            <w:tcW w:w="2057" w:type="dxa"/>
          </w:tcPr>
          <w:p>
            <w:pPr/>
            <w:r>
              <w:t xml:space="preserve">Style</w:t>
            </w:r>
          </w:p>
        </w:tc>
        <w:tc>
          <w:tcPr>
            <w:tcW w:w="2108" w:type="dxa"/>
          </w:tcPr>
          <w:p>
            <w:pPr/>
            <w:r>
              <w:t xml:space="preserve">Grammar error ("a 18%") and inconsistent statistics format</w:t>
            </w:r>
          </w:p>
        </w:tc>
        <w:tc>
          <w:tcPr>
            <w:tcW w:w="3187" w:type="dxa"/>
          </w:tcPr>
          <w:p>
            <w:pPr/>
            <w:r>
              <w:t xml:space="preserve">Corrected to "an 18%" and used a consistent "HR (95% CI)" format</w:t>
            </w:r>
          </w:p>
        </w:tc>
        <w:tc>
          <w:tcPr>
            <w:tcW w:w="2008" w:type="dxa"/>
          </w:tcPr>
          <w:p>
            <w:pPr/>
            <w:r>
              <w:t xml:space="preserve">Consistency and accuracy are core scholarly standards</w:t>
            </w:r>
          </w:p>
        </w:tc>
      </w:tr>
      <w:tr>
        <w:tc>
          <w:tcPr>
            <w:tcW w:w="2057" w:type="dxa"/>
          </w:tcPr>
          <w:p>
            <w:pPr/>
            <w:r>
              <w:t xml:space="preserve">Style</w:t>
            </w:r>
          </w:p>
        </w:tc>
        <w:tc>
          <w:tcPr>
            <w:tcW w:w="2108" w:type="dxa"/>
          </w:tcPr>
          <w:p>
            <w:pPr/>
            <w:r>
              <w:t xml:space="preserve">Abbreviations not always defined; drug and term use varied</w:t>
            </w:r>
          </w:p>
        </w:tc>
        <w:tc>
          <w:tcPr>
            <w:tcW w:w="3187" w:type="dxa"/>
          </w:tcPr>
          <w:p>
            <w:pPr/>
            <w:r>
              <w:t xml:space="preserve">Defined each abbreviation at first use, used generic names throughout, and defined HFrEF, HFmrEF and HFpEF</w:t>
            </w:r>
          </w:p>
        </w:tc>
        <w:tc>
          <w:tcPr>
            <w:tcW w:w="2008" w:type="dxa"/>
          </w:tcPr>
          <w:p>
            <w:pPr/>
            <w:r>
              <w:t xml:space="preserve">Reduces confusion for non-specialists</w:t>
            </w:r>
          </w:p>
        </w:tc>
      </w:tr>
      <w:tr>
        <w:tc>
          <w:tcPr>
            <w:tcW w:w="2057" w:type="dxa"/>
          </w:tcPr>
          <w:p>
            <w:pPr/>
            <w:r>
              <w:t xml:space="preserve">Data presentation</w:t>
            </w:r>
          </w:p>
        </w:tc>
        <w:tc>
          <w:tcPr>
            <w:tcW w:w="2108" w:type="dxa"/>
          </w:tcPr>
          <w:p>
            <w:pPr/>
            <w:r>
              <w:t xml:space="preserve">Table lacked follow-up and footnotes</w:t>
            </w:r>
          </w:p>
        </w:tc>
        <w:tc>
          <w:tcPr>
            <w:tcW w:w="3187" w:type="dxa"/>
          </w:tcPr>
          <w:p>
            <w:pPr/>
            <w:r>
              <w:t xml:space="preserve">Rebuilt Table 1 with follow-up, absolute difference and an abbreviation footnote</w:t>
            </w:r>
          </w:p>
        </w:tc>
        <w:tc>
          <w:tcPr>
            <w:tcW w:w="2008" w:type="dxa"/>
          </w:tcPr>
          <w:p>
            <w:pPr/>
            <w:r>
              <w:t xml:space="preserve">Tables should be understandable on their own</w:t>
            </w:r>
          </w:p>
        </w:tc>
      </w:tr>
      <w:tr>
        <w:tc>
          <w:tcPr>
            <w:tcW w:w="2057" w:type="dxa"/>
          </w:tcPr>
          <w:p>
            <w:pPr/>
            <w:r>
              <w:t xml:space="preserve">References</w:t>
            </w:r>
          </w:p>
        </w:tc>
        <w:tc>
          <w:tcPr>
            <w:tcW w:w="2108" w:type="dxa"/>
          </w:tcPr>
          <w:p>
            <w:pPr/>
            <w:r>
              <w:t xml:space="preserve">An unsupported placeholder reference appeared, and numbering did not follow order of first citation</w:t>
            </w:r>
          </w:p>
        </w:tc>
        <w:tc>
          <w:tcPr>
            <w:tcW w:w="3187" w:type="dxa"/>
          </w:tcPr>
          <w:p>
            <w:pPr/>
            <w:r>
              <w:t xml:space="preserve">Removed the placeholder, reduced to seven verified sources, renumbered in order of first appearance and added author lists in AMA style</w:t>
            </w:r>
          </w:p>
        </w:tc>
        <w:tc>
          <w:tcPr>
            <w:tcW w:w="2008" w:type="dxa"/>
          </w:tcPr>
          <w:p>
            <w:pPr/>
            <w:r>
              <w:t xml:space="preserve">A reference list must match the text exactly</w:t>
            </w:r>
          </w:p>
        </w:tc>
      </w:tr>
      <w:tr>
        <w:tc>
          <w:tcPr>
            <w:tcW w:w="2057" w:type="dxa"/>
          </w:tcPr>
          <w:p>
            <w:pPr/>
            <w:r>
              <w:t xml:space="preserve">Methods</w:t>
            </w:r>
          </w:p>
        </w:tc>
        <w:tc>
          <w:tcPr>
            <w:tcW w:w="2108" w:type="dxa"/>
          </w:tcPr>
          <w:p>
            <w:pPr/>
            <w:r>
              <w:t xml:space="preserve">No search date or data-extraction detail</w:t>
            </w:r>
          </w:p>
        </w:tc>
        <w:tc>
          <w:tcPr>
            <w:tcW w:w="3187" w:type="dxa"/>
          </w:tcPr>
          <w:p>
            <w:pPr/>
            <w:r>
              <w:t xml:space="preserve">Added a search-date field, extraction items and how absolute differences were calculated</w:t>
            </w:r>
          </w:p>
        </w:tc>
        <w:tc>
          <w:tcPr>
            <w:tcW w:w="2008" w:type="dxa"/>
          </w:tcPr>
          <w:p>
            <w:pPr/>
            <w:r>
              <w:t xml:space="preserve">Makes the review reproducible</w:t>
            </w:r>
          </w:p>
        </w:tc>
      </w:tr>
    </w:tbl>
    <w:p>
      <w:pPr>
        <w:pStyle w:val="Heading2"/>
      </w:pPr>
      <w:r>
        <w:t xml:space="preserve">3. Evaluation against the assessment criteria</w:t>
      </w:r>
    </w:p>
    <w:p>
      <w:pPr/>
      <w:r>
        <w:rPr>
          <w:b/>
        </w:rPr>
        <w:t xml:space="preserve">Structure.</w:t>
      </w:r>
      <w:r>
        <w:t xml:space="preserve"> The original draft had all required sections but flawed numbering and no summary. The revised version has consistent headings, a logical flow from question to conclusion, and front-loaded key points. I would rate this as strong (4 out of 5), because the structure now follows the standard format for research articles.</w:t>
      </w:r>
    </w:p>
    <w:p>
      <w:pPr/>
      <w:r>
        <w:rPr>
          <w:b/>
        </w:rPr>
        <w:t xml:space="preserve">Content quality.</w:t>
      </w:r>
      <w:r>
        <w:t xml:space="preserve"> The first draft described the trials accurately but leaned on relative risk and gave limited critique. The revision adds absolute effects, a fuller discussion of bias and applicability, and practical safety guidance. I rate this as good (4 out of 5). The main remaining weakness is that the review covers only five sources, so it is not exhaustive.</w:t>
      </w:r>
    </w:p>
    <w:p>
      <w:pPr/>
      <w:r>
        <w:rPr>
          <w:b/>
        </w:rPr>
        <w:t xml:space="preserve">Clarity.</w:t>
      </w:r>
      <w:r>
        <w:t xml:space="preserve"> I shortened sentences, replaced unexplained jargon, defined abbreviations and added a plain-language summary. I rate this as good (4 out of 5). Some paragraphs in the results still contain dense statistics that could be simplified further for non-experts.</w:t>
      </w:r>
    </w:p>
    <w:p>
      <w:pPr/>
      <w:r>
        <w:rPr>
          <w:b/>
        </w:rPr>
        <w:t xml:space="preserve">Scholarly style.</w:t>
      </w:r>
      <w:r>
        <w:t xml:space="preserve"> I applied the Week 4 guide: active voice where suitable, calibrated verbs ("reduced," not "proved"), generic drug names, consistent statistics format and numbered references in order of appearance. I rate this as strong (4 out of 5). I would still check the target journal's author instructions before submitting.</w:t>
      </w:r>
    </w:p>
    <w:p>
      <w:pPr/>
      <w:r>
        <w:rPr>
          <w:b/>
        </w:rPr>
        <w:t xml:space="preserve">Integration of research findings.</w:t>
      </w:r>
      <w:r>
        <w:t xml:space="preserve"> The revised article compares trials side by side, separates results by ejection fraction group, and links findings to the guideline and to clinical practice. I rate this as good (4 out of 5). Including newer studies would improve it further.</w:t>
      </w:r>
    </w:p>
    <w:p>
      <w:pPr>
        <w:pStyle w:val="Heading2"/>
      </w:pPr>
      <w:r>
        <w:t xml:space="preserve">4. Challenges</w:t>
      </w:r>
    </w:p>
    <w:p>
      <w:pPr/>
      <w:r>
        <w:t xml:space="preserve">The hardest part was balancing precision and readability. Experts want exact statistics, while general readers need plain language, and I had to serve both without doubling the length. I solved this by adding a Key Points box and a plain-language summary while keeping the technical body intact. A second challenge was resisting the urge to add content. Revision is often about cutting, correcting and clarifying rather than writing more. A third challenge was verifying details. I found that I had to check each number and citation against the original publication, and that a reference list can contain errors that are easy to miss unless every entry is matched to the text.</w:t>
      </w:r>
    </w:p>
    <w:p>
      <w:pPr>
        <w:pStyle w:val="Heading2"/>
      </w:pPr>
      <w:r>
        <w:t xml:space="preserve">5. Lessons learned</w:t>
      </w:r>
    </w:p>
    <w:p>
      <w:pPr>
        <w:pStyle w:val="ListParagraph"/>
        <w:numPr>
          <w:ilvl w:val="0"/>
          <w:numId w:val="4"/>
        </w:numPr>
      </w:pPr>
      <w:r>
        <w:t xml:space="preserve">Revision is a separate skill from drafting. Reading my own work as a critical reviewer exposed errors that I did not see while writing.</w:t>
      </w:r>
    </w:p>
    <w:p>
      <w:pPr>
        <w:pStyle w:val="ListParagraph"/>
        <w:numPr>
          <w:ilvl w:val="0"/>
          <w:numId w:val="4"/>
        </w:numPr>
      </w:pPr>
      <w:r>
        <w:t xml:space="preserve">Relative effects alone can mislead. Reporting absolute differences and follow-up makes evidence more honest.</w:t>
      </w:r>
    </w:p>
    <w:p>
      <w:pPr>
        <w:pStyle w:val="ListParagraph"/>
        <w:numPr>
          <w:ilvl w:val="0"/>
          <w:numId w:val="4"/>
        </w:numPr>
      </w:pPr>
      <w:r>
        <w:t xml:space="preserve">Consistency is part of credibility. Numbering, terminology and formatting errors make readers doubt the accuracy of the content as well.</w:t>
      </w:r>
    </w:p>
    <w:p>
      <w:pPr>
        <w:pStyle w:val="ListParagraph"/>
        <w:numPr>
          <w:ilvl w:val="0"/>
          <w:numId w:val="4"/>
        </w:numPr>
      </w:pPr>
      <w:r>
        <w:t xml:space="preserve">Writing for more than one audience is possible if the document is layered: summary first, detail second.</w:t>
      </w:r>
    </w:p>
    <w:p>
      <w:pPr>
        <w:pStyle w:val="ListParagraph"/>
        <w:numPr>
          <w:ilvl w:val="0"/>
          <w:numId w:val="4"/>
        </w:numPr>
      </w:pPr>
      <w:r>
        <w:t xml:space="preserve">Evidence needs appraisal, not only summary. Funding, endpoints and trial populations all affect how far results can be applied.</w:t>
      </w:r>
    </w:p>
    <w:p>
      <w:pPr>
        <w:pStyle w:val="Heading2"/>
      </w:pPr>
      <w:r>
        <w:t xml:space="preserve">6. Future writing strategies</w:t>
      </w:r>
    </w:p>
    <w:p>
      <w:pPr>
        <w:pStyle w:val="ListParagraph"/>
        <w:numPr>
          <w:ilvl w:val="0"/>
          <w:numId w:val="5"/>
        </w:numPr>
      </w:pPr>
      <w:r>
        <w:t xml:space="preserve">Outline before drafting, and write the key message in one sentence.</w:t>
      </w:r>
    </w:p>
    <w:p>
      <w:pPr>
        <w:pStyle w:val="ListParagraph"/>
        <w:numPr>
          <w:ilvl w:val="0"/>
          <w:numId w:val="5"/>
        </w:numPr>
      </w:pPr>
      <w:r>
        <w:t xml:space="preserve">Use a checklist, such as the one in my Week 4 style guide, at each revision pass: content first, then structure, then style, then proofreading.</w:t>
      </w:r>
    </w:p>
    <w:p>
      <w:pPr>
        <w:pStyle w:val="ListParagraph"/>
        <w:numPr>
          <w:ilvl w:val="0"/>
          <w:numId w:val="5"/>
        </w:numPr>
      </w:pPr>
      <w:r>
        <w:t xml:space="preserve">Verify every figure and reference against the source as I write, not at the end.</w:t>
      </w:r>
    </w:p>
    <w:p>
      <w:pPr>
        <w:pStyle w:val="ListParagraph"/>
        <w:numPr>
          <w:ilvl w:val="0"/>
          <w:numId w:val="5"/>
        </w:numPr>
      </w:pPr>
      <w:r>
        <w:t xml:space="preserve">Ask a colleague, ideally someone outside my specialty, to review the draft for clarity.</w:t>
      </w:r>
    </w:p>
    <w:p>
      <w:pPr>
        <w:pStyle w:val="ListParagraph"/>
        <w:numPr>
          <w:ilvl w:val="0"/>
          <w:numId w:val="5"/>
        </w:numPr>
      </w:pPr>
      <w:r>
        <w:t xml:space="preserve">Let the draft rest before revising, and read it aloud to catch awkward sentences.</w:t>
      </w:r>
    </w:p>
    <w:p>
      <w:pPr>
        <w:pStyle w:val="ListParagraph"/>
        <w:numPr>
          <w:ilvl w:val="0"/>
          <w:numId w:val="5"/>
        </w:numPr>
      </w:pPr>
      <w:r>
        <w:t xml:space="preserve">Keep a personal list of recurring errors (for example, inconsistent numbering or missing definitions) and check for them first.</w:t>
      </w:r>
    </w:p>
    <w:p>
      <w:pPr>
        <w:pStyle w:val="ListParagraph"/>
        <w:numPr>
          <w:ilvl w:val="0"/>
          <w:numId w:val="5"/>
        </w:numPr>
      </w:pPr>
      <w:r>
        <w:t xml:space="preserve">Update the literature search periodically so that conclusions reflect the newest evidence.</w:t>
      </w:r>
    </w:p>
    <w:p>
      <w:pPr>
        <w:pStyle w:val="Heading2"/>
      </w:pPr>
      <w:r>
        <w:t xml:space="preserve">7. Conclusion</w:t>
      </w:r>
    </w:p>
    <w:p>
      <w:pPr/>
      <w:r>
        <w:t xml:space="preserve">This revision improved the article's accuracy, structure, clarity and scholarly style, and it made the evidence easier for different readers to use. More importantly, it showed me that good medical writing is the result of repeated, deliberate revision against clear standards. The process connected everything in this internship: drafting an article, critically reading the literature, building a style guide, and finally applying that guide to my own work. I will carry the checklist, the habit of verifying sources and the practice of writing for layered audiences into future projects.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Week 5 Submission Revised Medical Article and Self-Evaluation</dc:title>
  <dc:description>Claude Docs node/d09f5c3a-d595@1 docx-w7</dc:description>
  <cp:revision>1</cp:revision>
</cp:coreProperties>
</file>