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Mini Literature Review and Critique: SGLT2 Inhibitors in Heart Failure</w:t>
      </w:r>
    </w:p>
    <w:p>
      <w:pPr/>
      <w:r>
        <w:rPr>
          <w:b/>
        </w:rPr>
        <w:t xml:space="preserve">Author:</w:t>
      </w:r>
      <w:r>
        <w:t xml:space="preserve"> [Your Full Name]</w:t>
      </w:r>
      <w:r>
        <w:br/>
      </w:r>
      <w:r>
        <w:rPr>
          <w:b/>
        </w:rPr>
        <w:t xml:space="preserve">Affiliation:</w:t>
      </w:r>
      <w:r>
        <w:t xml:space="preserve"> [Internship Organization / Department]</w:t>
      </w:r>
      <w:r>
        <w:br/>
      </w:r>
      <w:r>
        <w:rPr>
          <w:b/>
        </w:rPr>
        <w:t xml:space="preserve">Task:</w:t>
      </w:r>
      <w:r>
        <w:t xml:space="preserve"> Week 3 - Literature Review and Critique</w:t>
      </w:r>
      <w:r>
        <w:br/>
      </w:r>
      <w:r>
        <w:rPr>
          <w:b/>
        </w:rPr>
        <w:t xml:space="preserve">Word count:</w:t>
      </w:r>
      <w:r>
        <w:t xml:space="preserve"> [Add after final edit]</w:t>
      </w:r>
    </w:p>
    <w:p>
      <w:pPr>
        <w:pStyle w:val="Quote"/>
      </w:pPr>
      <w:r>
        <w:rPr>
          <w:b/>
        </w:rPr>
        <w:t xml:space="preserve">Note before you submit:</w:t>
      </w:r>
      <w:r>
        <w:t xml:space="preserve"> This review continues the Week 2 topic (SGLT2 inhibitors in heart failure). If your topic is different, keep the structure and replace the studies. Verify every number and citation against the original paper before submitting. The five trials below were published between 2019 and 2022; if your internship asks for studies from the last 2 to 3 years, add a few newer papers from PubMed (for example, secondary analyses or real-world studies published since 2024).</w:t>
      </w:r>
    </w:p>
    <w:p>
      <w:pPr>
        <w:pStyle w:val="Heading2"/>
      </w:pPr>
      <w:r>
        <w:t xml:space="preserve">1. Introduction</w:t>
      </w:r>
    </w:p>
    <w:p>
      <w:pPr/>
      <w:r>
        <w:rPr>
          <w:b/>
        </w:rPr>
        <w:t xml:space="preserve">Focus area and justification.</w:t>
      </w:r>
      <w:r>
        <w:t xml:space="preserve"> I chose sodium-glucose cotransporter 2 (SGLT2) inhibitors in heart failure (HF) for three reasons. First, HF is common, costly and a leading cause of hospital admission, so even modest improvements in treatment matter at population level. Second, this is one of the clearest recent examples of a drug class moving across specialties: SGLT2 inhibitors began as diabetes drugs and are now recommended for HF patients with and without diabetes. Third, the evidence base is large, public and well documented, which allows a fair critical comparison of study design, results and bias.</w:t>
      </w:r>
    </w:p>
    <w:p>
      <w:pPr/>
      <w:r>
        <w:rPr>
          <w:b/>
        </w:rPr>
        <w:t xml:space="preserve">Aim.</w:t>
      </w:r>
      <w:r>
        <w:t xml:space="preserve"> This review summarizes five influential published studies, critiques their methodology, compares their findings, and considers what they mean for clinical practice.</w:t>
      </w:r>
    </w:p>
    <w:p>
      <w:pPr/>
      <w:r>
        <w:rPr>
          <w:b/>
        </w:rPr>
        <w:t xml:space="preserve">Search approach.</w:t>
      </w:r>
      <w:r>
        <w:t xml:space="preserve"> Studies were identified through PubMed and ClinicalTrials.gov using the terms "SGLT2 inhibitor," "dapagliflozin," "empagliflozin," "heart failure" and "randomized." I selected phase 3 randomized controlled trials (RCTs) in chronic HF with cardiovascular death and HF events as the primary outcome, plus one meta-analysis that pools them. Selection was based on size, journal quality and relevance across ejection fraction (EF) categories, so it is a purposive rather than exhaustive sample.</w:t>
      </w:r>
    </w:p>
    <w:p>
      <w:pPr>
        <w:pStyle w:val="Heading2"/>
      </w:pPr>
      <w:r>
        <w:t xml:space="preserve">2. Review of Selected Studies</w:t>
      </w:r>
    </w:p>
    <w:p>
      <w:pPr>
        <w:pStyle w:val="Heading3"/>
      </w:pPr>
      <w:r>
        <w:t xml:space="preserve">2.1 DAPA-HF (McMurray et al., 2019) [1]</w:t>
      </w:r>
    </w:p>
    <w:p>
      <w:pPr/>
      <w:r>
        <w:rPr>
          <w:b/>
        </w:rPr>
        <w:t xml:space="preserve">Methodology.</w:t>
      </w:r>
      <w:r>
        <w:t xml:space="preserve"> Double-blind, placebo-controlled RCT of 4,744 patients with symptomatic HF and EF of 40% or lower. Patients received dapagliflozin 10 mg or placebo once daily on top of standard HF therapy. Median follow-up was about 18 months. The primary outcome was a composite of worsening HF (hospitalization or urgent visit) or cardiovascular death.</w:t>
      </w:r>
    </w:p>
    <w:p>
      <w:pPr/>
      <w:r>
        <w:rPr>
          <w:b/>
        </w:rPr>
        <w:t xml:space="preserve">Key results.</w:t>
      </w:r>
      <w:r>
        <w:t xml:space="preserve"> The primary outcome occurred in 16.3% of the dapagliflozin group and 21.2% of the placebo group (HR 0.74; 95% CI 0.65-0.85). The benefit was similar in patients with and without type 2 diabetes.</w:t>
      </w:r>
    </w:p>
    <w:p>
      <w:pPr/>
      <w:r>
        <w:rPr>
          <w:b/>
        </w:rPr>
        <w:t xml:space="preserve">Conclusion of the authors.</w:t>
      </w:r>
      <w:r>
        <w:t xml:space="preserve"> Dapagliflozin reduced the risk of worsening HF or cardiovascular death in HFrEF, regardless of diabetes status.</w:t>
      </w:r>
    </w:p>
    <w:p>
      <w:pPr>
        <w:pStyle w:val="Heading3"/>
      </w:pPr>
      <w:r>
        <w:t xml:space="preserve">2.2 EMPEROR-Reduced (Packer et al., 2020) [2]</w:t>
      </w:r>
    </w:p>
    <w:p>
      <w:pPr/>
      <w:r>
        <w:rPr>
          <w:b/>
        </w:rPr>
        <w:t xml:space="preserve">Methodology.</w:t>
      </w:r>
      <w:r>
        <w:t xml:space="preserve"> Double-blind RCT of 3,730 patients with HF and EF of 40% or lower, randomized to empagliflozin 10 mg or placebo. Median follow-up was about 16 months. The primary outcome was cardiovascular death or HF hospitalization.</w:t>
      </w:r>
    </w:p>
    <w:p>
      <w:pPr/>
      <w:r>
        <w:rPr>
          <w:b/>
        </w:rPr>
        <w:t xml:space="preserve">Key results.</w:t>
      </w:r>
      <w:r>
        <w:t xml:space="preserve"> The primary outcome occurred in 19.4% with empagliflozin versus 24.7% with placebo (HR 0.75; 95% CI 0.65-0.86). Empagliflozin also slowed the yearly decline in estimated kidney function compared with placebo. Genital infections were more common with the drug.</w:t>
      </w:r>
    </w:p>
    <w:p>
      <w:pPr/>
      <w:r>
        <w:rPr>
          <w:b/>
        </w:rPr>
        <w:t xml:space="preserve">Conclusion of the authors.</w:t>
      </w:r>
      <w:r>
        <w:t xml:space="preserve"> Empagliflozin reduced cardiovascular and renal events in HFrEF, with or without diabetes.</w:t>
      </w:r>
    </w:p>
    <w:p>
      <w:pPr>
        <w:pStyle w:val="Heading3"/>
      </w:pPr>
      <w:r>
        <w:t xml:space="preserve">2.3 EMPEROR-Preserved (Anker et al., 2021) [3]</w:t>
      </w:r>
    </w:p>
    <w:p>
      <w:pPr/>
      <w:r>
        <w:rPr>
          <w:b/>
        </w:rPr>
        <w:t xml:space="preserve">Methodology.</w:t>
      </w:r>
      <w:r>
        <w:t xml:space="preserve"> Double-blind RCT of 5,988 patients with HF and EF above 40%, randomized to empagliflozin 10 mg or placebo, with a median follow-up of about 26 months. Primary outcome: cardiovascular death or HF hospitalization.</w:t>
      </w:r>
    </w:p>
    <w:p>
      <w:pPr/>
      <w:r>
        <w:rPr>
          <w:b/>
        </w:rPr>
        <w:t xml:space="preserve">Key results.</w:t>
      </w:r>
      <w:r>
        <w:t xml:space="preserve"> The primary outcome occurred in 13.8% versus 17.1% (HR 0.79; 95% CI 0.69-0.90). The effect was mainly due to fewer HF hospitalizations; cardiovascular death on its own was not significantly different.</w:t>
      </w:r>
    </w:p>
    <w:p>
      <w:pPr/>
      <w:r>
        <w:rPr>
          <w:b/>
        </w:rPr>
        <w:t xml:space="preserve">Conclusion of the authors.</w:t>
      </w:r>
      <w:r>
        <w:t xml:space="preserve"> Empagliflozin improved outcomes in HF with preserved EF, the first drug to do so in a large trial.</w:t>
      </w:r>
    </w:p>
    <w:p>
      <w:pPr>
        <w:pStyle w:val="Heading3"/>
      </w:pPr>
      <w:r>
        <w:t xml:space="preserve">2.4 DELIVER (Solomon et al., 2022) [4]</w:t>
      </w:r>
    </w:p>
    <w:p>
      <w:pPr/>
      <w:r>
        <w:rPr>
          <w:b/>
        </w:rPr>
        <w:t xml:space="preserve">Methodology.</w:t>
      </w:r>
      <w:r>
        <w:t xml:space="preserve"> Double-blind RCT of 6,263 patients with HF and EF above 40%, including patients with mildly reduced EF, those whose EF had improved over time, and some recently hospitalized patients. Participants received dapagliflozin 10 mg or placebo; median follow-up was about 2.3 years. Primary outcome: worsening HF or cardiovascular death.</w:t>
      </w:r>
    </w:p>
    <w:p>
      <w:pPr/>
      <w:r>
        <w:rPr>
          <w:b/>
        </w:rPr>
        <w:t xml:space="preserve">Key results.</w:t>
      </w:r>
      <w:r>
        <w:t xml:space="preserve"> The primary outcome occurred in 16.4% versus 19.5% (HR 0.82; 95% CI 0.73-0.92). Benefit was driven mostly by fewer worsening HF events, and was seen across the EF range studied and regardless of diabetes status.</w:t>
      </w:r>
    </w:p>
    <w:p>
      <w:pPr/>
      <w:r>
        <w:rPr>
          <w:b/>
        </w:rPr>
        <w:t xml:space="preserve">Conclusion of the authors.</w:t>
      </w:r>
      <w:r>
        <w:t xml:space="preserve"> Dapagliflozin reduced worsening HF or cardiovascular death in HF with mildly reduced or preserved EF.</w:t>
      </w:r>
    </w:p>
    <w:p>
      <w:pPr>
        <w:pStyle w:val="Heading3"/>
      </w:pPr>
      <w:r>
        <w:t xml:space="preserve">2.5 Pooled meta-analysis (Vaduganathan et al., 2022) [5]</w:t>
      </w:r>
    </w:p>
    <w:p>
      <w:pPr/>
      <w:r>
        <w:rPr>
          <w:b/>
        </w:rPr>
        <w:t xml:space="preserve">Methodology.</w:t>
      </w:r>
      <w:r>
        <w:t xml:space="preserve"> Meta-analysis combining the four trials above plus SOLOIST-WHF (sotagliflozin, in patients with diabetes recently hospitalized for worsening HF), covering roughly 22,000 patients across the full EF range. It used trial-level data to estimate pooled effects.</w:t>
      </w:r>
    </w:p>
    <w:p>
      <w:pPr/>
      <w:r>
        <w:rPr>
          <w:b/>
        </w:rPr>
        <w:t xml:space="preserve">Key results.</w:t>
      </w:r>
      <w:r>
        <w:t xml:space="preserve"> The pooled HR for cardiovascular death or first HF hospitalization was about 0.77. There was a reduction in cardiovascular death alone, and a larger reduction in first HF hospitalization. Findings were consistent across subgroups, including diabetes status.</w:t>
      </w:r>
    </w:p>
    <w:p>
      <w:pPr/>
      <w:r>
        <w:rPr>
          <w:b/>
        </w:rPr>
        <w:t xml:space="preserve">Conclusion of the authors.</w:t>
      </w:r>
      <w:r>
        <w:t xml:space="preserve"> SGLT2 inhibitors reduce major HF outcomes across the spectrum of EF and care settings.</w:t>
      </w:r>
    </w:p>
    <w:p>
      <w:pPr>
        <w:pStyle w:val="Heading3"/>
      </w:pPr>
      <w:r>
        <w:t xml:space="preserve">Table 1. Summary of reviewed studies</w:t>
      </w:r>
    </w:p>
    <w:tbl>
      <w:tblPr>
        <w:tblStyle w:val="TableGrid"/>
        <w:tblW w:w="0" w:type="auto"/>
        <w:tblLayout w:type="fixed"/>
        <w:tblLook w:val="04A0" w:firstRow="1" w:lastRow="0" w:firstColumn="0" w:lastColumn="0" w:noHBand="0" w:noVBand="1"/>
      </w:tblPr>
      <w:tblGrid>
        <w:gridCol w:w="1887"/>
        <w:gridCol w:w="2076"/>
        <w:gridCol w:w="1582"/>
        <w:gridCol w:w="1636"/>
        <w:gridCol w:w="2178"/>
      </w:tblGrid>
      <w:tr>
        <w:trPr>
          <w:tblHeader/>
        </w:trPr>
        <w:tc>
          <w:tcPr>
            <w:tcW w:w="1887" w:type="dxa"/>
            <w:shd w:val="clear" w:color="auto" w:fill="F2F2F2"/>
          </w:tcPr>
          <w:p>
            <w:pPr/>
            <w:r>
              <w:t xml:space="preserve">Study</w:t>
            </w:r>
          </w:p>
        </w:tc>
        <w:tc>
          <w:tcPr>
            <w:tcW w:w="2076" w:type="dxa"/>
            <w:shd w:val="clear" w:color="auto" w:fill="F2F2F2"/>
          </w:tcPr>
          <w:p>
            <w:pPr/>
            <w:r>
              <w:t xml:space="preserve">Design</w:t>
            </w:r>
          </w:p>
        </w:tc>
        <w:tc>
          <w:tcPr>
            <w:tcW w:w="1582" w:type="dxa"/>
            <w:shd w:val="clear" w:color="auto" w:fill="F2F2F2"/>
          </w:tcPr>
          <w:p>
            <w:pPr/>
            <w:r>
              <w:t xml:space="preserve">Patients (n)</w:t>
            </w:r>
          </w:p>
        </w:tc>
        <w:tc>
          <w:tcPr>
            <w:tcW w:w="1636" w:type="dxa"/>
            <w:shd w:val="clear" w:color="auto" w:fill="F2F2F2"/>
          </w:tcPr>
          <w:p>
            <w:pPr/>
            <w:r>
              <w:t xml:space="preserve">EF group</w:t>
            </w:r>
          </w:p>
        </w:tc>
        <w:tc>
          <w:tcPr>
            <w:tcW w:w="2178" w:type="dxa"/>
            <w:shd w:val="clear" w:color="auto" w:fill="F2F2F2"/>
          </w:tcPr>
          <w:p>
            <w:pPr/>
            <w:r>
              <w:t xml:space="preserve">Primary outcome result</w:t>
            </w:r>
          </w:p>
        </w:tc>
      </w:tr>
      <w:tr>
        <w:tc>
          <w:tcPr>
            <w:tcW w:w="1887" w:type="dxa"/>
          </w:tcPr>
          <w:p>
            <w:pPr/>
            <w:r>
              <w:t xml:space="preserve">DAPA-HF [1]</w:t>
            </w:r>
          </w:p>
        </w:tc>
        <w:tc>
          <w:tcPr>
            <w:tcW w:w="2076" w:type="dxa"/>
          </w:tcPr>
          <w:p>
            <w:pPr/>
            <w:r>
              <w:t xml:space="preserve">RCT, dapagliflozin</w:t>
            </w:r>
          </w:p>
        </w:tc>
        <w:tc>
          <w:tcPr>
            <w:tcW w:w="1582" w:type="dxa"/>
          </w:tcPr>
          <w:p>
            <w:pPr/>
            <w:r>
              <w:t xml:space="preserve">4,744</w:t>
            </w:r>
          </w:p>
        </w:tc>
        <w:tc>
          <w:tcPr>
            <w:tcW w:w="1636" w:type="dxa"/>
          </w:tcPr>
          <w:p>
            <w:pPr/>
            <w:r>
              <w:t xml:space="preserve">40% or lower</w:t>
            </w:r>
          </w:p>
        </w:tc>
        <w:tc>
          <w:tcPr>
            <w:tcW w:w="2178" w:type="dxa"/>
          </w:tcPr>
          <w:p>
            <w:pPr/>
            <w:r>
              <w:t xml:space="preserve">HR 0.74 (0.65-0.85)</w:t>
            </w:r>
          </w:p>
        </w:tc>
      </w:tr>
      <w:tr>
        <w:tc>
          <w:tcPr>
            <w:tcW w:w="1887" w:type="dxa"/>
          </w:tcPr>
          <w:p>
            <w:pPr/>
            <w:r>
              <w:t xml:space="preserve">EMPEROR-Reduced [2]</w:t>
            </w:r>
          </w:p>
        </w:tc>
        <w:tc>
          <w:tcPr>
            <w:tcW w:w="2076" w:type="dxa"/>
          </w:tcPr>
          <w:p>
            <w:pPr/>
            <w:r>
              <w:t xml:space="preserve">RCT, empagliflozin</w:t>
            </w:r>
          </w:p>
        </w:tc>
        <w:tc>
          <w:tcPr>
            <w:tcW w:w="1582" w:type="dxa"/>
          </w:tcPr>
          <w:p>
            <w:pPr/>
            <w:r>
              <w:t xml:space="preserve">3,730</w:t>
            </w:r>
          </w:p>
        </w:tc>
        <w:tc>
          <w:tcPr>
            <w:tcW w:w="1636" w:type="dxa"/>
          </w:tcPr>
          <w:p>
            <w:pPr/>
            <w:r>
              <w:t xml:space="preserve">40% or lower</w:t>
            </w:r>
          </w:p>
        </w:tc>
        <w:tc>
          <w:tcPr>
            <w:tcW w:w="2178" w:type="dxa"/>
          </w:tcPr>
          <w:p>
            <w:pPr/>
            <w:r>
              <w:t xml:space="preserve">HR 0.75 (0.65-0.86)</w:t>
            </w:r>
          </w:p>
        </w:tc>
      </w:tr>
      <w:tr>
        <w:tc>
          <w:tcPr>
            <w:tcW w:w="1887" w:type="dxa"/>
          </w:tcPr>
          <w:p>
            <w:pPr/>
            <w:r>
              <w:t xml:space="preserve">EMPEROR-Preserved [3]</w:t>
            </w:r>
          </w:p>
        </w:tc>
        <w:tc>
          <w:tcPr>
            <w:tcW w:w="2076" w:type="dxa"/>
          </w:tcPr>
          <w:p>
            <w:pPr/>
            <w:r>
              <w:t xml:space="preserve">RCT, empagliflozin</w:t>
            </w:r>
          </w:p>
        </w:tc>
        <w:tc>
          <w:tcPr>
            <w:tcW w:w="1582" w:type="dxa"/>
          </w:tcPr>
          <w:p>
            <w:pPr/>
            <w:r>
              <w:t xml:space="preserve">5,988</w:t>
            </w:r>
          </w:p>
        </w:tc>
        <w:tc>
          <w:tcPr>
            <w:tcW w:w="1636" w:type="dxa"/>
          </w:tcPr>
          <w:p>
            <w:pPr/>
            <w:r>
              <w:t xml:space="preserve">Above 40%</w:t>
            </w:r>
          </w:p>
        </w:tc>
        <w:tc>
          <w:tcPr>
            <w:tcW w:w="2178" w:type="dxa"/>
          </w:tcPr>
          <w:p>
            <w:pPr/>
            <w:r>
              <w:t xml:space="preserve">HR 0.79 (0.69-0.90)</w:t>
            </w:r>
          </w:p>
        </w:tc>
      </w:tr>
      <w:tr>
        <w:tc>
          <w:tcPr>
            <w:tcW w:w="1887" w:type="dxa"/>
          </w:tcPr>
          <w:p>
            <w:pPr/>
            <w:r>
              <w:t xml:space="preserve">DELIVER [4]</w:t>
            </w:r>
          </w:p>
        </w:tc>
        <w:tc>
          <w:tcPr>
            <w:tcW w:w="2076" w:type="dxa"/>
          </w:tcPr>
          <w:p>
            <w:pPr/>
            <w:r>
              <w:t xml:space="preserve">RCT, dapagliflozin</w:t>
            </w:r>
          </w:p>
        </w:tc>
        <w:tc>
          <w:tcPr>
            <w:tcW w:w="1582" w:type="dxa"/>
          </w:tcPr>
          <w:p>
            <w:pPr/>
            <w:r>
              <w:t xml:space="preserve">6,263</w:t>
            </w:r>
          </w:p>
        </w:tc>
        <w:tc>
          <w:tcPr>
            <w:tcW w:w="1636" w:type="dxa"/>
          </w:tcPr>
          <w:p>
            <w:pPr/>
            <w:r>
              <w:t xml:space="preserve">Above 40%</w:t>
            </w:r>
          </w:p>
        </w:tc>
        <w:tc>
          <w:tcPr>
            <w:tcW w:w="2178" w:type="dxa"/>
          </w:tcPr>
          <w:p>
            <w:pPr/>
            <w:r>
              <w:t xml:space="preserve">HR 0.82 (0.73-0.92)</w:t>
            </w:r>
          </w:p>
        </w:tc>
      </w:tr>
      <w:tr>
        <w:tc>
          <w:tcPr>
            <w:tcW w:w="1887" w:type="dxa"/>
          </w:tcPr>
          <w:p>
            <w:pPr/>
            <w:r>
              <w:t xml:space="preserve">Vaduganathan [5]</w:t>
            </w:r>
          </w:p>
        </w:tc>
        <w:tc>
          <w:tcPr>
            <w:tcW w:w="2076" w:type="dxa"/>
          </w:tcPr>
          <w:p>
            <w:pPr/>
            <w:r>
              <w:t xml:space="preserve">Meta-analysis of 5 trials</w:t>
            </w:r>
          </w:p>
        </w:tc>
        <w:tc>
          <w:tcPr>
            <w:tcW w:w="1582" w:type="dxa"/>
          </w:tcPr>
          <w:p>
            <w:pPr/>
            <w:r>
              <w:t xml:space="preserve">About 22,000</w:t>
            </w:r>
          </w:p>
        </w:tc>
        <w:tc>
          <w:tcPr>
            <w:tcW w:w="1636" w:type="dxa"/>
          </w:tcPr>
          <w:p>
            <w:pPr/>
            <w:r>
              <w:t xml:space="preserve">All</w:t>
            </w:r>
          </w:p>
        </w:tc>
        <w:tc>
          <w:tcPr>
            <w:tcW w:w="2178" w:type="dxa"/>
          </w:tcPr>
          <w:p>
            <w:pPr/>
            <w:r>
              <w:t xml:space="preserve">HR about 0.77</w:t>
            </w:r>
          </w:p>
        </w:tc>
      </w:tr>
    </w:tbl>
    <w:p>
      <w:pPr>
        <w:pStyle w:val="Heading2"/>
      </w:pPr>
      <w:r>
        <w:t xml:space="preserve">3. Critical Analysis</w:t>
      </w:r>
    </w:p>
    <w:p>
      <w:pPr>
        <w:pStyle w:val="Heading3"/>
      </w:pPr>
      <w:r>
        <w:t xml:space="preserve">3.1 Strengths</w:t>
      </w:r>
    </w:p>
    <w:p>
      <w:pPr>
        <w:pStyle w:val="ListParagraph"/>
        <w:numPr>
          <w:ilvl w:val="0"/>
          <w:numId w:val="2"/>
        </w:numPr>
      </w:pPr>
      <w:r>
        <w:rPr>
          <w:b/>
        </w:rPr>
        <w:t xml:space="preserve">Rigorous design.</w:t>
      </w:r>
      <w:r>
        <w:t xml:space="preserve"> All four trials were randomized, double-blind and placebo-controlled, which minimizes selection and performance bias.</w:t>
      </w:r>
    </w:p>
    <w:p>
      <w:pPr>
        <w:pStyle w:val="ListParagraph"/>
        <w:numPr>
          <w:ilvl w:val="0"/>
          <w:numId w:val="2"/>
        </w:numPr>
      </w:pPr>
      <w:r>
        <w:rPr>
          <w:b/>
        </w:rPr>
        <w:t xml:space="preserve">Large samples and hard endpoints.</w:t>
      </w:r>
      <w:r>
        <w:t xml:space="preserve"> Thousands of patients and clinically meaningful outcomes (death, hospitalization) give confidence that the effects are real and not due to chance.</w:t>
      </w:r>
    </w:p>
    <w:p>
      <w:pPr>
        <w:pStyle w:val="ListParagraph"/>
        <w:numPr>
          <w:ilvl w:val="0"/>
          <w:numId w:val="2"/>
        </w:numPr>
      </w:pPr>
      <w:r>
        <w:rPr>
          <w:b/>
        </w:rPr>
        <w:t xml:space="preserve">Consistency.</w:t>
      </w:r>
      <w:r>
        <w:t xml:space="preserve"> Two different drugs, in four separate trials, produced similar effect sizes. This strengthens the case for a class effect.</w:t>
      </w:r>
    </w:p>
    <w:p>
      <w:pPr>
        <w:pStyle w:val="ListParagraph"/>
        <w:numPr>
          <w:ilvl w:val="0"/>
          <w:numId w:val="2"/>
        </w:numPr>
      </w:pPr>
      <w:r>
        <w:rPr>
          <w:b/>
        </w:rPr>
        <w:t xml:space="preserve">Broad generalizability across diabetes status.</w:t>
      </w:r>
      <w:r>
        <w:t xml:space="preserve"> Including patients with and without diabetes shows the benefit is not simply a glucose-lowering effect.</w:t>
      </w:r>
    </w:p>
    <w:p>
      <w:pPr>
        <w:pStyle w:val="Heading3"/>
      </w:pPr>
      <w:r>
        <w:t xml:space="preserve">3.2 Weaknesses and potential biases</w:t>
      </w:r>
    </w:p>
    <w:p>
      <w:pPr>
        <w:pStyle w:val="ListParagraph"/>
        <w:numPr>
          <w:ilvl w:val="0"/>
          <w:numId w:val="3"/>
        </w:numPr>
      </w:pPr>
      <w:r>
        <w:rPr>
          <w:b/>
        </w:rPr>
        <w:t xml:space="preserve">Industry sponsorship.</w:t>
      </w:r>
      <w:r>
        <w:t xml:space="preserve"> The trials were funded by the manufacturers of the drugs. Strong trial governance and independent committees reduce risk, but funding source is a recognized source of potential bias in design, analysis and reporting.</w:t>
      </w:r>
    </w:p>
    <w:p>
      <w:pPr>
        <w:pStyle w:val="ListParagraph"/>
        <w:numPr>
          <w:ilvl w:val="0"/>
          <w:numId w:val="3"/>
        </w:numPr>
      </w:pPr>
      <w:r>
        <w:rPr>
          <w:b/>
        </w:rPr>
        <w:t xml:space="preserve">Composite endpoints.</w:t>
      </w:r>
      <w:r>
        <w:t xml:space="preserve"> The primary outcomes combined cardiovascular death and HF events. In HFpEF trials the result was driven mainly by hospitalizations, which are partly influenced by clinician decisions. This means "benefit" does not always mean longer survival.</w:t>
      </w:r>
    </w:p>
    <w:p>
      <w:pPr>
        <w:pStyle w:val="ListParagraph"/>
        <w:numPr>
          <w:ilvl w:val="0"/>
          <w:numId w:val="3"/>
        </w:numPr>
      </w:pPr>
      <w:r>
        <w:rPr>
          <w:b/>
        </w:rPr>
        <w:t xml:space="preserve">Selected populations.</w:t>
      </w:r>
      <w:r>
        <w:t xml:space="preserve"> Patients were screened and had to meet entry criteria, with exclusions such as very low kidney function. Participants tended to be younger, more often male, and less frail than real-world HF patients, so effects in older, frail or advanced-kidney-disease patients are less certain.</w:t>
      </w:r>
    </w:p>
    <w:p>
      <w:pPr>
        <w:pStyle w:val="ListParagraph"/>
        <w:numPr>
          <w:ilvl w:val="0"/>
          <w:numId w:val="3"/>
        </w:numPr>
      </w:pPr>
      <w:r>
        <w:rPr>
          <w:b/>
        </w:rPr>
        <w:t xml:space="preserve">Limited follow-up.</w:t>
      </w:r>
      <w:r>
        <w:t xml:space="preserve"> Median follow-up of roughly 1.5 to 2.5 years leaves long-term safety, including effects on bone, amputation risk and ketoacidosis, less well described.</w:t>
      </w:r>
    </w:p>
    <w:p>
      <w:pPr>
        <w:pStyle w:val="ListParagraph"/>
        <w:numPr>
          <w:ilvl w:val="0"/>
          <w:numId w:val="3"/>
        </w:numPr>
      </w:pPr>
      <w:r>
        <w:rPr>
          <w:b/>
        </w:rPr>
        <w:t xml:space="preserve">Subgroup limitations.</w:t>
      </w:r>
      <w:r>
        <w:t xml:space="preserve"> Subgroup findings (for example by sex, race or region) are exploratory and underpowered, and some groups were under-represented.</w:t>
      </w:r>
    </w:p>
    <w:p>
      <w:pPr>
        <w:pStyle w:val="ListParagraph"/>
        <w:numPr>
          <w:ilvl w:val="0"/>
          <w:numId w:val="3"/>
        </w:numPr>
      </w:pPr>
      <w:r>
        <w:rPr>
          <w:b/>
        </w:rPr>
        <w:t xml:space="preserve">Meta-analysis limits.</w:t>
      </w:r>
      <w:r>
        <w:t xml:space="preserve"> Pooling trials with different definitions of EF, outcome wording and populations (including the recently hospitalized diabetes group in SOLOIST-WHF) introduces heterogeneity, and trial-level data cannot explore patient-level interactions as well as individual-patient data.</w:t>
      </w:r>
    </w:p>
    <w:p>
      <w:pPr>
        <w:pStyle w:val="Heading3"/>
      </w:pPr>
      <w:r>
        <w:t xml:space="preserve">3.3 Comparing and contrasting findings</w:t>
      </w:r>
    </w:p>
    <w:p>
      <w:pPr/>
      <w:r>
        <w:t xml:space="preserve">The reduced-EF trials (DAPA-HF and EMPEROR-Reduced) show slightly larger relative benefit (about 25%) than the preserved-EF trials (about 18-21%). In HFrEF there is also a signal for reduced cardiovascular death, while in HFpEF the gain is mostly fewer hospitalizations. DELIVER and EMPEROR-Preserved agree well on direction and size, though DELIVER's wider population (including improved EF) suggests the benefit is not limited to narrowly defined HFpEF. Both empagliflozin and dapagliflozin performed similarly, so choice between them is likely to depend on availability, cost and local guidelines.</w:t>
      </w:r>
    </w:p>
    <w:p>
      <w:pPr>
        <w:pStyle w:val="Heading2"/>
      </w:pPr>
      <w:r>
        <w:t xml:space="preserve">4. Implications for Clinical Practice</w:t>
      </w:r>
    </w:p>
    <w:p>
      <w:pPr/>
      <w:r>
        <w:t xml:space="preserve">The studies together support using an SGLT2 inhibitor in most patients with symptomatic HF, regardless of EF or diabetes status, alongside existing therapy. The fixed once-daily dose, early onset of benefit and low risk of low blood sugar make it easy to start. Clinicians should counsel patients about genital infections, check volume status and kidney function, and temporarily stop the drug during acute illness or before surgery to reduce the risk of ketoacidosis. Gaps remain: how best to use these drugs in frail older adults, in advanced kidney disease and in acute hospital settings, and how to make them affordable and accessible in low-resource health systems.</w:t>
      </w:r>
    </w:p>
    <w:p>
      <w:pPr>
        <w:pStyle w:val="Heading2"/>
      </w:pPr>
      <w:r>
        <w:t xml:space="preserve">5. Conclusion</w:t>
      </w:r>
    </w:p>
    <w:p>
      <w:pPr/>
      <w:r>
        <w:t xml:space="preserve">The reviewed literature shows consistent, clinically relevant reductions in worsening HF and, in reduced EF, in cardiovascular death with SGLT2 inhibitors. The methodology of the trials is strong, but conclusions should be applied with awareness of industry sponsorship, composite endpoints, selected populations and limited follow-up. Future work should focus on real-world effectiveness, long-term safety, underrepresented groups and cost-effectiveness.</w:t>
      </w:r>
    </w:p>
    <w:p>
      <w:pPr>
        <w:pStyle w:val="Heading2"/>
      </w:pPr>
      <w:r>
        <w:t xml:space="preserve">References</w:t>
      </w:r>
    </w:p>
    <w:p>
      <w:pPr>
        <w:pStyle w:val="ListParagraph"/>
        <w:numPr>
          <w:ilvl w:val="0"/>
          <w:numId w:val="4"/>
        </w:numPr>
      </w:pPr>
      <w:r>
        <w:t xml:space="preserve">McMurray JJV, et al. Dapagliflozin in patients with heart failure and reduced ejection fraction. </w:t>
      </w:r>
      <w:r>
        <w:rPr>
          <w:i/>
        </w:rPr>
        <w:t xml:space="preserve">N Engl J Med.</w:t>
      </w:r>
      <w:r>
        <w:t xml:space="preserve"> 2019;381:1995-2008.</w:t>
      </w:r>
    </w:p>
    <w:p>
      <w:pPr>
        <w:pStyle w:val="ListParagraph"/>
        <w:numPr>
          <w:ilvl w:val="0"/>
          <w:numId w:val="4"/>
        </w:numPr>
      </w:pPr>
      <w:r>
        <w:t xml:space="preserve">Packer M, et al. Cardiovascular and renal outcomes with empagliflozin in heart failure. </w:t>
      </w:r>
      <w:r>
        <w:rPr>
          <w:i/>
        </w:rPr>
        <w:t xml:space="preserve">N Engl J Med.</w:t>
      </w:r>
      <w:r>
        <w:t xml:space="preserve"> 2020;383:1413-1424.</w:t>
      </w:r>
    </w:p>
    <w:p>
      <w:pPr>
        <w:pStyle w:val="ListParagraph"/>
        <w:numPr>
          <w:ilvl w:val="0"/>
          <w:numId w:val="4"/>
        </w:numPr>
      </w:pPr>
      <w:r>
        <w:t xml:space="preserve">Anker SD, et al. Empagliflozin in heart failure with a preserved ejection fraction. </w:t>
      </w:r>
      <w:r>
        <w:rPr>
          <w:i/>
        </w:rPr>
        <w:t xml:space="preserve">N Engl J Med.</w:t>
      </w:r>
      <w:r>
        <w:t xml:space="preserve"> 2021;385:1451-1461.</w:t>
      </w:r>
    </w:p>
    <w:p>
      <w:pPr>
        <w:pStyle w:val="ListParagraph"/>
        <w:numPr>
          <w:ilvl w:val="0"/>
          <w:numId w:val="4"/>
        </w:numPr>
      </w:pPr>
      <w:r>
        <w:t xml:space="preserve">Solomon SD, et al. Dapagliflozin in heart failure with mildly reduced or preserved ejection fraction. </w:t>
      </w:r>
      <w:r>
        <w:rPr>
          <w:i/>
        </w:rPr>
        <w:t xml:space="preserve">N Engl J Med.</w:t>
      </w:r>
      <w:r>
        <w:t xml:space="preserve"> 2022;387:1089-1098.</w:t>
      </w:r>
    </w:p>
    <w:p>
      <w:pPr>
        <w:pStyle w:val="ListParagraph"/>
        <w:numPr>
          <w:ilvl w:val="0"/>
          <w:numId w:val="4"/>
        </w:numPr>
      </w:pPr>
      <w:r>
        <w:t xml:space="preserve">Vaduganathan M, et al. SGLT-2 inhibitors in patients with heart failure: a comprehensive meta-analysis of five randomised controlled trials. </w:t>
      </w:r>
      <w:r>
        <w:rPr>
          <w:i/>
        </w:rPr>
        <w:t xml:space="preserve">Lancet.</w:t>
      </w:r>
      <w:r>
        <w:t xml:space="preserve"> 2022;400:757-767.</w:t>
      </w:r>
    </w:p>
    <w:p>
      <w:pPr>
        <w:pStyle w:val="Heading2"/>
      </w:pPr>
      <w:r>
        <w:t xml:space="preserve">Explanation of Thought Process and Conclusions (~300 words)</w:t>
      </w:r>
    </w:p>
    <w:p>
      <w:pPr/>
      <w:r>
        <w:t xml:space="preserve">I began by choosing a focus area that was clinically important, well studied and relevant to current practice. SGLT2 inhibitors in heart failure fit this well because the evidence is recent, public and strong enough to compare study by study. I then searched PubMed for randomized trials and selected five sources: four large trials that together cover the full range of ejection fraction, and one meta-analysis that pools them. This mix lets me look at both individual study quality and the overall picture.</w:t>
      </w:r>
    </w:p>
    <w:p>
      <w:pPr/>
      <w:r>
        <w:t xml:space="preserve">For each study I extracted the same details: design, sample size, population, follow-up, primary outcome and main result with the hazard ratio and confidence interval. Using the same template made comparison fair and helped me spot differences rather than relying on impressions.</w:t>
      </w:r>
    </w:p>
    <w:p>
      <w:pPr/>
      <w:r>
        <w:t xml:space="preserve">In the critical analysis I asked three questions. Is the study design able to support the conclusion? What could bias the result, such as funding, endpoint choice or who was enrolled? And can the findings be applied to the patients I would actually expect to see? This led me to conclude that the trials are strong and consistent, but that composite endpoints, industry sponsorship, selected populations and short follow-up limit how far the results can be generalized.</w:t>
      </w:r>
    </w:p>
    <w:p>
      <w:pPr/>
      <w:r>
        <w:t xml:space="preserve">When comparing findings, I noticed the benefit was a little larger and clearer in reduced ejection fraction, while in preserved ejection fraction it was mainly fewer hospitalizations. I treated this as a meaningful nuance rather than a contradiction.</w:t>
      </w:r>
    </w:p>
    <w:p>
      <w:pPr/>
      <w:r>
        <w:t xml:space="preserve">Finally, I translated the evidence into practical implications and identified gaps for future research. My overall conclusion is that SGLT2 inhibitors are a well-supported, broadly beneficial treatment, but good practice requires attention to safety, patient selection and access.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Mini Literature Review and Critique SGLT2 Inhibitors in Heart Failure</dc:title>
  <dc:description>Claude Docs node/80a4711e-76c2@1 docx-w7</dc:description>
  <cp:revision>1</cp:revision>
</cp:coreProperties>
</file>