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Detailed Report: Bank Customer Churn Analysis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report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bank customer churn dashboard, which processes a dataset of customer attributes to uncover patterns in attrition. Key findings include </w:t>
      </w:r>
      <w:proofErr w:type="spellStart"/>
      <w:proofErr w:type="gram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proofErr w:type="gram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overall churn rate of 17.19%, with higher churn among premium card holders (e.g., Platinum at ~40%) and lower-income segments. The average customer age is 46.30 years, with 2,949 active customers. Financial metrics show a total credit limit sum of approximately 13.37M (out of a potential 26.74M), and utilization ratios averaging around 1.34K (aggregated sum). Insights suggest targeting retention efforts at high-value but high-churn segments like Platinum card users in lower income brackets.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is derived from the provided dashboard screenshot, focusing on demographics, card usage, income correlations, and financial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. Recommendations include personalized offers for at-risk groups to reduce churn.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Overview</w:t>
      </w:r>
    </w:p>
    <w:p w:rsidR="0082446B" w:rsidRPr="0082446B" w:rsidRDefault="0082446B" w:rsidP="008244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Features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Based on columns like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Attrition_Flag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Customer_Age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Card_Category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Income_Category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Credit_Limit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Avg_Utilization_Ratio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Total_Revolving_Bal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446B" w:rsidRPr="0082446B" w:rsidRDefault="0082446B" w:rsidP="008244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Customers Implied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~3,500+ (derived from active customers and churn rate).</w:t>
      </w:r>
    </w:p>
    <w:p w:rsidR="0082446B" w:rsidRPr="0082446B" w:rsidRDefault="0082446B" w:rsidP="0082446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Definition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Customers marked as "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Attrited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Customer" in </w:t>
      </w:r>
      <w:proofErr w:type="spellStart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Attrition_Flag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Metrics (KPIs)</w:t>
      </w:r>
    </w:p>
    <w:p w:rsidR="0082446B" w:rsidRPr="0082446B" w:rsidRDefault="0082446B" w:rsidP="008244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Rate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17.19% – Indicates nearly 1 in 5 customers are leaving, a moderate but actionable level for banking industry standards (typical benchmarks: 10-20%).</w:t>
      </w:r>
    </w:p>
    <w:p w:rsidR="0082446B" w:rsidRPr="0082446B" w:rsidRDefault="0082446B" w:rsidP="008244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Customer Age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46.30 years – Suggests a mature customer base; churn may correlate with life-stage changes (e.g., retirement or switching for better senior perks).</w:t>
      </w:r>
    </w:p>
    <w:p w:rsidR="0082446B" w:rsidRPr="0082446B" w:rsidRDefault="0082446B" w:rsidP="008244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Active Customers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2,949 – Core retained base; focus on expanding this through acquisition while minimizing losses.</w:t>
      </w:r>
    </w:p>
    <w:p w:rsidR="0082446B" w:rsidRPr="0082446B" w:rsidRDefault="0082446B" w:rsidP="008244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by Card Category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0.17 (average) – Segmented view shows variability across card types.</w:t>
      </w:r>
    </w:p>
    <w:p w:rsidR="0082446B" w:rsidRPr="0082446B" w:rsidRDefault="0082446B" w:rsidP="0082446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Average Utilization Ratio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1.34K – Aggregated utilization; low values might indicate under-engagement, a churn precursor.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 Insights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Churn Rate by Card Category (Bar Chart)</w:t>
      </w:r>
    </w:p>
    <w:p w:rsidR="0082446B" w:rsidRPr="0082446B" w:rsidRDefault="0082446B" w:rsidP="008244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Platinum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~40% churn – Highest risk; premium customers may expect more benefits but switch if unmet.</w:t>
      </w:r>
    </w:p>
    <w:p w:rsidR="0082446B" w:rsidRPr="0082446B" w:rsidRDefault="0082446B" w:rsidP="008244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~20% churn – Moderate; possibly due to competitive offers from other banks.</w:t>
      </w:r>
    </w:p>
    <w:p w:rsidR="0082446B" w:rsidRPr="0082446B" w:rsidRDefault="0082446B" w:rsidP="008244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Blue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~15% churn – Lower; entry-level cards with loyal users.</w:t>
      </w:r>
    </w:p>
    <w:p w:rsidR="0082446B" w:rsidRPr="0082446B" w:rsidRDefault="0082446B" w:rsidP="008244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Silver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~10% churn – Lowest; cost-effective for budget-conscious customers.</w:t>
      </w:r>
    </w:p>
    <w:p w:rsidR="0082446B" w:rsidRPr="0082446B" w:rsidRDefault="0082446B" w:rsidP="0082446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Premium tiers (Platinum/Gold) drive higher churn, potentially from higher expectations or fees. Strategy: Enhance loyalty programs for these segments.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Churn by Card Category by Income Category (Horizontal Bar Chart)</w:t>
      </w:r>
    </w:p>
    <w:p w:rsidR="0082446B" w:rsidRPr="0082446B" w:rsidRDefault="0082446B" w:rsidP="008244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Segmented by income: $120K+, Less than $40K, Unknown, $80K-$120K, $40K-$60K, $60K-$80K.</w:t>
      </w:r>
    </w:p>
    <w:p w:rsidR="0082446B" w:rsidRPr="0082446B" w:rsidRDefault="0082446B" w:rsidP="008244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Higher churn in lower income groups across all card categories (e.g., Less than $40K shows longer bars, indicating 0.15-0.20 churn).</w:t>
      </w:r>
    </w:p>
    <w:p w:rsidR="0082446B" w:rsidRPr="0082446B" w:rsidRDefault="0082446B" w:rsidP="008244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Unknown Income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Moderate churn (~0.10), suggesting data gaps; recommend improving data collection.</w:t>
      </w:r>
    </w:p>
    <w:p w:rsidR="0082446B" w:rsidRPr="0082446B" w:rsidRDefault="0082446B" w:rsidP="008244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Income ($120K+)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Lower churn (~0.05), but still present in premium cards.</w:t>
      </w:r>
    </w:p>
    <w:p w:rsidR="0082446B" w:rsidRPr="0082446B" w:rsidRDefault="0082446B" w:rsidP="0082446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Income is a strong predictor; low-income customers with premium cards are mismatched and prone to churn. Consider income-based card recommendations.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Sum of Credit Limit (Gauge Chart)</w:t>
      </w:r>
    </w:p>
    <w:p w:rsidR="0082446B" w:rsidRPr="0082446B" w:rsidRDefault="0082446B" w:rsidP="008244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Current: 13.37M out of 26.74M (implied max or total potential).</w:t>
      </w:r>
    </w:p>
    <w:p w:rsidR="0082446B" w:rsidRPr="0082446B" w:rsidRDefault="0082446B" w:rsidP="0082446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Underutilized credit capacity; customers aren't maxing limits, which could signal satisfaction or caution. Link to utilization ratios for deeper insights.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Churn Rate by Income Category (Pie Chart, Left)</w:t>
      </w:r>
    </w:p>
    <w:p w:rsidR="0082446B" w:rsidRPr="0082446B" w:rsidRDefault="0082446B" w:rsidP="0082446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$120K+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0% churn – Highly loyal, high-value segment.</w:t>
      </w:r>
    </w:p>
    <w:p w:rsidR="0082446B" w:rsidRPr="0082446B" w:rsidRDefault="0082446B" w:rsidP="0082446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$40K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0% churn – Surprisingly low; perhaps due to limited options or sticky basic services.</w:t>
      </w:r>
    </w:p>
    <w:p w:rsidR="0082446B" w:rsidRPr="0082446B" w:rsidRDefault="0082446B" w:rsidP="0082446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$80K-$120K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~0%.</w:t>
      </w:r>
    </w:p>
    <w:p w:rsidR="0082446B" w:rsidRPr="0082446B" w:rsidRDefault="0082446B" w:rsidP="0082446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$40K-$60K &amp; $60K-$80K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Minimal.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Scatter Plot: Sum of Total Revolving Balance vs. Average Credit Limit</w:t>
      </w:r>
    </w:p>
    <w:p w:rsidR="0082446B" w:rsidRPr="0082446B" w:rsidRDefault="0082446B" w:rsidP="008244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cluster at low balances (0-5K revolving) and mid-limits (5K-15K).</w:t>
      </w:r>
    </w:p>
    <w:p w:rsidR="0082446B" w:rsidRPr="0082446B" w:rsidRDefault="0082446B" w:rsidP="008244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Outliers: High revolving balances (&gt;10K) with higher limits (&gt;20K).</w:t>
      </w:r>
    </w:p>
    <w:p w:rsidR="0082446B" w:rsidRPr="0082446B" w:rsidRDefault="0082446B" w:rsidP="008244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Negative correlation – Higher credit limits associate with lower revolving balances, suggesting responsible usage among high-limit customers.</w:t>
      </w:r>
    </w:p>
    <w:p w:rsidR="0082446B" w:rsidRPr="0082446B" w:rsidRDefault="0082446B" w:rsidP="0082446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Link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Points in high-revolving/low-limit area may indicate financial stress and higher churn risk.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Additional Pie Chart (Right)</w:t>
      </w:r>
    </w:p>
    <w:p w:rsidR="0082446B" w:rsidRPr="0082446B" w:rsidRDefault="0082446B" w:rsidP="0082446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Slices: 51K (10.1%), 165K (35.1%), 71K (15.19%), 82K (17.58%), etc. – Likely distribution of customers or transactions by some category (e.g., income or card type).</w:t>
      </w:r>
    </w:p>
    <w:p w:rsidR="0082446B" w:rsidRDefault="0082446B" w:rsidP="0082446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Uneven distribution; largest group (165K) could be a focus for retention campaigns.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Analysis and Insights</w:t>
      </w:r>
    </w:p>
    <w:p w:rsidR="0082446B" w:rsidRPr="0082446B" w:rsidRDefault="0082446B" w:rsidP="008244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Demographic Patterns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Mid-aged customers (avg. 46) show steady churn; no extreme age biases visible. Income segmentation reveals lower-income groups are more volatile, especially with mismatched card types.</w:t>
      </w:r>
    </w:p>
    <w:p w:rsidR="0082446B" w:rsidRPr="0082446B" w:rsidRDefault="0082446B" w:rsidP="008244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Factors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Low utilization and revolving balances suggest disengagement. Premium cards amplify churn, possibly due to fees outweighing benefits for some incomes.</w:t>
      </w:r>
      <w:bookmarkStart w:id="0" w:name="_GoBack"/>
      <w:bookmarkEnd w:id="0"/>
    </w:p>
    <w:p w:rsidR="0082446B" w:rsidRPr="0082446B" w:rsidRDefault="0082446B" w:rsidP="008244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Correlations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Scatter plot highlights stress points (high revolving/low limit) as churn hotspots. Overall, 17% churn is manageable but could cost millions in lost revenue (assuming avg. customer value).</w:t>
      </w:r>
    </w:p>
    <w:p w:rsidR="0082446B" w:rsidRPr="0082446B" w:rsidRDefault="0082446B" w:rsidP="008244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Segments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2446B" w:rsidRPr="0082446B" w:rsidRDefault="0082446B" w:rsidP="0082446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High: Platinum card holders in &lt;$60K income.</w:t>
      </w:r>
    </w:p>
    <w:p w:rsidR="0082446B" w:rsidRPr="0082446B" w:rsidRDefault="0082446B" w:rsidP="0082446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Medium: Gold/Silver in unknown income.</w:t>
      </w:r>
    </w:p>
    <w:p w:rsidR="0082446B" w:rsidRPr="0082446B" w:rsidRDefault="0082446B" w:rsidP="0082446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Low: Blue card in high income.</w:t>
      </w:r>
    </w:p>
    <w:p w:rsidR="0082446B" w:rsidRPr="0082446B" w:rsidRDefault="0082446B" w:rsidP="008244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Potential Causes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Competitive banking apps, poor service, economic factors (e.g., inflation in 2026 context), or inadequate personalization.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Recommendations</w:t>
      </w:r>
    </w:p>
    <w:p w:rsidR="0082446B" w:rsidRPr="0082446B" w:rsidRDefault="0082446B" w:rsidP="0082446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Retention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Offer fee waivers or upgrades for Platinum/Gold users in low-income brackets.</w:t>
      </w:r>
    </w:p>
    <w:p w:rsidR="0082446B" w:rsidRPr="0082446B" w:rsidRDefault="0082446B" w:rsidP="0082446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Improvements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Fill "Unknown" income gaps via surveys; enhance dataset with transaction recency/frequency.</w:t>
      </w:r>
    </w:p>
    <w:p w:rsidR="0082446B" w:rsidRPr="0082446B" w:rsidRDefault="0082446B" w:rsidP="0082446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Predictive </w:t>
      </w:r>
      <w:proofErr w:type="spellStart"/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Integrate ML (e.g., via Power BI's AI visuals) to forecast churn based on utilization and revolving balances.</w:t>
      </w:r>
    </w:p>
    <w:p w:rsidR="0082446B" w:rsidRPr="0082446B" w:rsidRDefault="0082446B" w:rsidP="0082446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A/B Testing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Test personalized emails/offers for high-risk segments and measure churn reduction.</w:t>
      </w:r>
    </w:p>
    <w:p w:rsidR="0082446B" w:rsidRPr="0082446B" w:rsidRDefault="0082446B" w:rsidP="0082446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: Update dashboard monthly; add time-series for trends.</w:t>
      </w:r>
    </w:p>
    <w:p w:rsidR="0082446B" w:rsidRPr="0082446B" w:rsidRDefault="0082446B" w:rsidP="0082446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44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Limitations</w:t>
      </w:r>
    </w:p>
    <w:p w:rsidR="0082446B" w:rsidRPr="0082446B" w:rsidRDefault="0082446B" w:rsidP="0082446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static screenshot; real-time data may vary.</w:t>
      </w:r>
    </w:p>
    <w:p w:rsidR="0082446B" w:rsidRPr="0082446B" w:rsidRDefault="0082446B" w:rsidP="0082446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filters applied (e.g., 0% in some pies) – Verify in Power BI.</w:t>
      </w:r>
    </w:p>
    <w:p w:rsidR="0082446B" w:rsidRPr="0082446B" w:rsidRDefault="0082446B" w:rsidP="0082446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46B">
        <w:rPr>
          <w:rFonts w:ascii="Times New Roman" w:eastAsia="Times New Roman" w:hAnsi="Times New Roman" w:cs="Times New Roman"/>
          <w:sz w:val="24"/>
          <w:szCs w:val="24"/>
          <w:lang w:eastAsia="en-IN"/>
        </w:rPr>
        <w:t>No raw data access; insights are visual interpretations.</w:t>
      </w:r>
    </w:p>
    <w:p w:rsidR="00CD162D" w:rsidRPr="0082446B" w:rsidRDefault="00CD162D" w:rsidP="0082446B">
      <w:pPr>
        <w:jc w:val="both"/>
        <w:rPr>
          <w:rFonts w:ascii="Times New Roman" w:hAnsi="Times New Roman" w:cs="Times New Roman"/>
        </w:rPr>
      </w:pPr>
    </w:p>
    <w:sectPr w:rsidR="00CD162D" w:rsidRPr="00824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14B50"/>
    <w:multiLevelType w:val="multilevel"/>
    <w:tmpl w:val="174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5745"/>
    <w:multiLevelType w:val="multilevel"/>
    <w:tmpl w:val="9964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116B3"/>
    <w:multiLevelType w:val="multilevel"/>
    <w:tmpl w:val="206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2321B"/>
    <w:multiLevelType w:val="multilevel"/>
    <w:tmpl w:val="02C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B7DEC"/>
    <w:multiLevelType w:val="multilevel"/>
    <w:tmpl w:val="4C2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E7AB9"/>
    <w:multiLevelType w:val="multilevel"/>
    <w:tmpl w:val="A16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94429"/>
    <w:multiLevelType w:val="multilevel"/>
    <w:tmpl w:val="5AC2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041B8"/>
    <w:multiLevelType w:val="multilevel"/>
    <w:tmpl w:val="E1BE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C3E74"/>
    <w:multiLevelType w:val="multilevel"/>
    <w:tmpl w:val="424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F21C2"/>
    <w:multiLevelType w:val="multilevel"/>
    <w:tmpl w:val="749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47B7D"/>
    <w:multiLevelType w:val="multilevel"/>
    <w:tmpl w:val="94E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10"/>
  </w:num>
  <w:num w:numId="5">
    <w:abstractNumId w:val="5"/>
  </w:num>
  <w:num w:numId="6">
    <w:abstractNumId w:val="7"/>
  </w:num>
  <w:num w:numId="7">
    <w:abstractNumId w:val="4"/>
  </w:num>
  <w:num w:numId="8">
    <w:abstractNumId w:val="2"/>
  </w:num>
  <w:num w:numId="9">
    <w:abstractNumId w:val="3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6B"/>
    <w:rsid w:val="0082446B"/>
    <w:rsid w:val="00CD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2221"/>
  <w15:chartTrackingRefBased/>
  <w15:docId w15:val="{6813114B-947E-4769-8941-C26167EC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44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44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4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44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44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4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6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Kalore</dc:creator>
  <cp:keywords/>
  <dc:description/>
  <cp:lastModifiedBy>Aniket Kalore</cp:lastModifiedBy>
  <cp:revision>1</cp:revision>
  <dcterms:created xsi:type="dcterms:W3CDTF">2026-03-02T14:17:00Z</dcterms:created>
  <dcterms:modified xsi:type="dcterms:W3CDTF">2026-03-02T14:20:00Z</dcterms:modified>
</cp:coreProperties>
</file>