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GBMARL — Estado del proyecto</w:t>
      </w:r>
    </w:p>
    <w:p>
      <w:pPr>
        <w:spacing w:after="120"/>
      </w:pPr>
      <w:r>
        <w:rPr>
          <w:b/>
          <w:bCs/>
          <w:color w:val="2E75B6"/>
          <w:sz w:val="22"/>
          <w:szCs w:val="22"/>
        </w:rPr>
        <w:t xml:space="preserve">Resistencia a la quimioterapia en glioblastoma como juego adversarial multiagente (MARL)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PFC · Ciencia de la Computación, UTEC (2026)   ·   </w:t>
      </w:r>
      <w:r>
        <w:rPr>
          <w:color w:val="555555"/>
          <w:sz w:val="18"/>
          <w:szCs w:val="18"/>
        </w:rPr>
        <w:t xml:space="preserve">Autores: Kalos Lazo, Gianpier Segovia   ·   Asesor: Victor Martínez Abaunza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Documento de referencia para reunión de asesoría — 12 jun 2026</w:t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Modelamos la resistencia a la temozolomida (TMZ) en glioblastoma como un </w:t>
      </w:r>
      <w:r>
        <w:rPr>
          <w:b/>
          <w:bCs/>
        </w:rPr>
        <w:t xml:space="preserve">juego adversarial de 2 agentes</w:t>
      </w:r>
      <w:r>
        <w:t xml:space="preserve"> resuelto con aprendizaje por refuerzo multiagente sobre un simulador de ecuaciones diferenciales calibrado con datos reales (GDSC2 + DepMap). El objetivo clínico no es curar ni reducir el tumor, sino </w:t>
      </w:r>
      <w:r>
        <w:rPr>
          <w:b/>
          <w:bCs/>
        </w:rPr>
        <w:t xml:space="preserve">retrasar la intratabilidad</w:t>
      </w:r>
      <w:r>
        <w:t xml:space="preserve">: maximizar el tiempo en que el tumor sigue controlado y tratable. El método titular (MAPPO-CTDE) supera a todas las líneas base y redescubre una </w:t>
      </w:r>
      <w:r>
        <w:rPr>
          <w:b/>
          <w:bCs/>
        </w:rPr>
        <w:t xml:space="preserve">dosificación pulsada</w:t>
      </w:r>
      <w:r>
        <w:t xml:space="preserve"> (terapia adaptativa). El pipeline corre end-to-end y reproducible a la escala plena de la tesis (120 000 pasos, 5 semillas por variante).</w:t>
      </w:r>
    </w:p>
    <w:p>
      <w:pPr>
        <w:pStyle w:val="Heading1"/>
      </w:pPr>
      <w:r>
        <w:t xml:space="preserve">2. Qué modelamos — variables</w:t>
      </w:r>
    </w:p>
    <w:p>
      <w:pPr>
        <w:spacing w:after="120"/>
      </w:pPr>
      <w:r>
        <w:t xml:space="preserve">El estado dinámico del episodio es 3-D. Cada agente controla una acción acotada. Los genes del GBM son contexto estático: calibran las condiciones iniciales, no evolucionan durante el episodio.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Símbolo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Población de células sensibles a TMZ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 (dinámico)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Población de células resistentes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 (dinámico)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Concentración intracelular del fármaco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 (dinámico)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u(t)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Dosis diaria aplicada, u ∈ [0, 1]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Acción — Agente Terapia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φ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Transición fenotípica S→R, φ ∈ [0, 0.05]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Acción — Agente Tumor (acotado + costo)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genes GBM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Perfil genómico de la línea celular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Contexto estático (calibra params iniciales)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Dinámica (Lotka-Volterra + fármaco, integrada con RK4, dt = 0.1):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dS/dt = αS·S·(1−(S+R)/K) − δS(c)·S − φ·S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dR/dt = αR·R·(1−(S+R)/K) − δR(c)·R + φ·S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dc/dt = −λc·c + u(t)</w:t>
      </w:r>
    </w:p>
    <w:p>
      <w:pPr>
        <w:spacing w:after="120"/>
      </w:pPr>
      <w:r>
        <w:t xml:space="preserve">Calibración (solo del simulador, no red supervisada): de </w:t>
      </w:r>
      <w:r>
        <w:rPr>
          <w:b/>
          <w:bCs/>
        </w:rPr>
        <w:t xml:space="preserve">34 líneas GBM</w:t>
      </w:r>
      <w:r>
        <w:t xml:space="preserve"> con ensayos (24 con genómica completa) se derivan las potencias del fármaco: </w:t>
      </w:r>
      <w:r>
        <w:rPr>
          <w:b/>
          <w:bCs/>
        </w:rPr>
        <w:t xml:space="preserve">IC50_S ≈ 0.36, IC50_R ≈ 3.27 (brecha ~9×)</w:t>
      </w:r>
      <w:r>
        <w:t xml:space="preserve">; el techo de muerte se ancla a literatura (δmax_S = 0.30, δmax_R = 0.15).</w:t>
      </w:r>
    </w:p>
    <w:p>
      <w:pPr>
        <w:spacing w:after="120"/>
      </w:pPr>
      <w:r>
        <w:rPr>
          <w:b/>
          <w:bCs/>
        </w:rPr>
        <w:t xml:space="preserve">Recompensa del entorno: </w:t>
      </w:r>
      <w:r>
        <w:t xml:space="preserve">+bono por cada día CONTROLADO (carga &lt; 0.80·K) Y TRATABLE (fracción resistente &lt; 0.50), menos un costo de toxicidad (tox_weight·u, con tox_weight = 0.05). El episodio termina si falla cualquiera de las dos condiciones.</w:t>
      </w:r>
    </w:p>
    <w:p>
      <w:pPr>
        <w:pStyle w:val="Heading1"/>
      </w:pPr>
      <w:r>
        <w:t xml:space="preserve">3. Técnica y modelo multiagente</w:t>
      </w:r>
    </w:p>
    <w:p>
      <w:pPr>
        <w:pStyle w:val="Heading2"/>
      </w:pPr>
      <w:r>
        <w:t xml:space="preserve">Técnica</w:t>
      </w:r>
    </w:p>
    <w:p>
      <w:pPr>
        <w:spacing w:after="120"/>
      </w:pPr>
      <w:r>
        <w:t xml:space="preserve">Implementación propia de </w:t>
      </w:r>
      <w:r>
        <w:rPr>
          <w:b/>
          <w:bCs/>
        </w:rPr>
        <w:t xml:space="preserve">PPO (Proximal Policy Optimization)</w:t>
      </w:r>
      <w:r>
        <w:t xml:space="preserve"> en PyTorch (referencia: CleanRL). Un solo framework, sin librerías de self-play alternado. Primero se valida PPO single-agent (de-risk del entorno con tumor fijo) y luego se escala a los 2 agentes.</w:t>
      </w:r>
    </w:p>
    <w:p>
      <w:pPr>
        <w:pStyle w:val="Heading2"/>
      </w:pPr>
      <w:r>
        <w:t xml:space="preserve">Modelo multiagente</w:t>
      </w:r>
    </w:p>
    <w:p>
      <w:pPr>
        <w:spacing w:after="120"/>
      </w:pPr>
      <w:r>
        <w:rPr>
          <w:b/>
          <w:bCs/>
        </w:rPr>
        <w:t xml:space="preserve">Método titular = MAPPO-CTDE</w:t>
      </w:r>
      <w:r>
        <w:t xml:space="preserve"> (Centralized Training, Decentralized Execution) entrenado por </w:t>
      </w:r>
      <w:r>
        <w:rPr>
          <w:b/>
          <w:bCs/>
        </w:rPr>
        <w:t xml:space="preserve">self-play adversarial</w:t>
      </w:r>
      <w:r>
        <w:t xml:space="preserve">. En entrenamiento, el crítico de cada agente está centralizado y condicionado al estado conjunto; en ejecución, cada actor usa solo su observación local. El entorno es un PettingZoo ParallelEnv con 2 agentes simultáneos (“therapy” y “tumor”).</w:t>
      </w:r>
    </w:p>
    <w:p>
      <w:pPr>
        <w:spacing w:after="120"/>
      </w:pPr>
      <w:r>
        <w:rPr>
          <w:b/>
          <w:bCs/>
        </w:rPr>
        <w:t xml:space="preserve">Ablación = IPPO</w:t>
      </w:r>
      <w:r>
        <w:t xml:space="preserve"> (crítico local, flag centralized=False): misma arquitectura sin la información centralizada. Sirve para medir cuánto aporta realmente el crítico centralizado (CTDE).</w:t>
      </w:r>
    </w:p>
    <w:p>
      <w:pPr>
        <w:pStyle w:val="Heading1"/>
      </w:pPr>
      <w:r>
        <w:t xml:space="preserve">4. Cómo entrenamos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Entorno: </w:t>
      </w:r>
      <w:r>
        <w:t xml:space="preserve">simulador ODE (RK4, dt=0.1, 10 sub-pasos/día, horizonte 180 días); los datos solo calibran, el aprendizaje ocurre en el simulador.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Escala: </w:t>
      </w:r>
      <w:r>
        <w:t xml:space="preserve">120 000 pasos de entorno, 5 semillas por variante (MAPPO y IPPO).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Reproducibilidad: </w:t>
      </w:r>
      <w:r>
        <w:t xml:space="preserve">un solo hilo + algoritmos deterministas + sembrado completo (intra-experimento reproducible).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Arnés reanudable: </w:t>
      </w:r>
      <w:r>
        <w:t xml:space="preserve">checkpointing intra-corrida (serializa actores, críticos, optimizadores, RNG, paso y estado del entorno) para correr 120k en ventanas cortas sin perder 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fast_env escalar: </w:t>
      </w:r>
      <w:r>
        <w:t xml:space="preserve">versión en float puro del entorno, numéricamente idéntica (diff ~5e-8) y ~4.7× más rápida.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Métrica de evaluación: </w:t>
      </w:r>
      <w:r>
        <w:t xml:space="preserve">TTP-combinado — días hasta que falla la carga O la resistencia, reportando el modo de falla (evita el bug de la métrica «solo-resistencia» que inflaba resultados).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600200"/>
            <wp:effectExtent t="0" r="0" b="0" l="0"/>
            <wp:docPr id="1" name="Pipeline experimental" descr="Pipeline experimental" title="Pipeline experi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Pipeline inside-out: cada fase de-riskea la siguiente (datos → calibración → tests → PPO → MAPPO → ablación → evaluación).</w:t>
      </w:r>
    </w:p>
    <w:p>
      <w:pPr>
        <w:pStyle w:val="Heading1"/>
      </w:pPr>
      <w:r>
        <w:t xml:space="preserve">5. Cómo vamos — resultados</w:t>
      </w:r>
    </w:p>
    <w:p>
      <w:pPr>
        <w:spacing w:after="120"/>
      </w:pPr>
      <w:r>
        <w:t xml:space="preserve">Evaluación con la métrica auditada (TTP-combinado) frente a las líneas base clínicas y la ablación: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1600"/>
        <w:gridCol w:w="1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Estrategia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TTP-combinado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Éxito &gt; Gatenby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Dosis media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tratamiento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 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MTD (dosis máxima)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 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Gatenby (adaptativa)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 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IPPO (ablación)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d (mediana)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4/5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~0.06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MAPPO-CTDE (titular)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33 d (mediana) · 41 d (mejor)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Hallazgo central: </w:t>
      </w:r>
      <w:r>
        <w:t xml:space="preserve">MAPPO-CTDE supera a todos los baselines y a IPPO. En la validación canónica n=15 la media es </w:t>
      </w:r>
      <w:r>
        <w:rPr>
          <w:b/>
          <w:bCs/>
        </w:rPr>
        <w:t xml:space="preserve">33.5 ± 5.8 días</w:t>
      </w:r>
      <w:r>
        <w:t xml:space="preserve">. El contraste MAPPO&gt;IPPO es significativo (Mann-Whitney, p = 0.037), aunque el margen es estrecho — se reporta honesto. La distribución es </w:t>
      </w:r>
      <w:r>
        <w:rPr>
          <w:b/>
          <w:bCs/>
        </w:rPr>
        <w:t xml:space="preserve">bimodal</w:t>
      </w:r>
      <w:r>
        <w:t xml:space="preserve"> (mayoría en 30–33 d, semillas aisladas en 40–41 d), por eso reportamos mediana y tasa de éxito, no media±std.</w:t>
      </w:r>
    </w:p>
    <w:p>
      <w:pPr>
        <w:spacing w:after="120"/>
      </w:pPr>
      <w:r>
        <w:rPr>
          <w:b/>
          <w:bCs/>
        </w:rPr>
        <w:t xml:space="preserve">Mecanismo aprendido: </w:t>
      </w:r>
      <w:r>
        <w:t xml:space="preserve">dosificación pulsada / intermitente con dosis media ~0.05 que preserva células sensibles competidoras y retrasa la dominancia resistente — terapia adaptativa redescubierta sin programarla.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866900"/>
            <wp:effectExtent t="0" r="0" b="0" l="0"/>
            <wp:docPr id="1" name="Resultados 120k" descr="Resultados 120k" title="Resultados 120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2. Corrida completa reproducible (120k). (a) Mediana del TTP-combinado vs líneas base. (b) Dispersión por semilla: bimodalidad.</w:t>
      </w:r>
    </w:p>
    <w:p>
      <w:pPr>
        <w:pStyle w:val="Heading1"/>
      </w:pPr>
      <w:r>
        <w:t xml:space="preserve">6. Estado y pendientes</w:t>
      </w:r>
    </w:p>
    <w:p>
      <w:pPr>
        <w:pStyle w:val="Heading2"/>
      </w:pPr>
      <w:r>
        <w:t xml:space="preserve">Hecho</w:t>
      </w:r>
    </w:p>
    <w:p>
      <w:pPr>
        <w:spacing w:after="120"/>
      </w:pPr>
      <w:r>
        <w:t xml:space="preserve">Simulador + calibración, entorno multiagente, PPO single-agent, MAPPO/IPPO, evaluación con métrica auditada, validación multi-semilla, ablación CTDE, análisis de sensibilidad (6 constantes ±30%, el ranking sobrevive), pipeline reproducible end-to-end a 120k, y los capítulos 1–4 de la tesis redactados.</w:t>
      </w:r>
    </w:p>
    <w:p>
      <w:pPr>
        <w:pStyle w:val="Heading2"/>
      </w:pPr>
      <w:r>
        <w:t xml:space="preserve">Abierto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Horizonte 360 d: </w:t>
      </w:r>
      <w:r>
        <w:t xml:space="preserve">hoy nadie llega al horizonte de 180 d; duplicarlo distingue contención real vs solo demora.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Adversario más fuerte (φmax 0.1/0.2): </w:t>
      </w:r>
      <w:r>
        <w:t xml:space="preserve">el tumor resultó débil aun acotado; reforzarlo abre la pregunta de cuándo importa realmente el crítico centralizado (CTDE).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Redacción LaTeX: </w:t>
      </w:r>
      <w:r>
        <w:t xml:space="preserve">Cap.5, conclusiones, recomendaciones y anexos (aún placeholders).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Opcional: </w:t>
      </w:r>
      <w:r>
        <w:t xml:space="preserve">escalar la confirmación reproducible de n=5 a n=15.</w:t>
      </w:r>
    </w:p>
    <w:p>
      <w:pPr>
        <w:pStyle w:val="Heading2"/>
      </w:pPr>
      <w:r>
        <w:t xml:space="preserve">Puntos para discutir con el asesor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¿Reforzamos el adversario para hacer el juego menos asimétrico, o se reporta como límite / trabajo futuro?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margen MAPPO vs IPPO es estrecho: ¿basta para defender la tesis o conviene ampliar a n=15 y/o el horizonte 360 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¿Prioridad: cerrar experimentos abiertos o avanzar la redacción de los capítulos finales?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GBMARL ·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0661de8c040a8d818d6e362466baed6fe7fa83.png"/><Relationship Id="rId9" Type="http://schemas.openxmlformats.org/officeDocument/2006/relationships/image" Target="media/ac70f93212cebe8f66a1e63592cda95643b981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2026-06-12T08:09:51.343Z</dcterms:created>
  <dcterms:modified xsi:type="dcterms:W3CDTF">2026-06-12T08:09:51.344Z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