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informe-de-avance-pfc-ii-semanas-14"/>
    <w:p>
      <w:pPr>
        <w:pStyle w:val="Heading1"/>
      </w:pPr>
      <w:r>
        <w:t xml:space="preserve">Informe de avance — PFC II (Semanas 1–4)</w:t>
      </w:r>
    </w:p>
    <w:p>
      <w:pPr>
        <w:pStyle w:val="FirstParagraph"/>
      </w:pPr>
      <w:r>
        <w:rPr>
          <w:b/>
          <w:bCs/>
        </w:rPr>
        <w:t xml:space="preserve">Tesis:</w:t>
      </w:r>
      <w:r>
        <w:t xml:space="preserve"> </w:t>
      </w:r>
      <w:r>
        <w:t xml:space="preserve">Mitigación de la resistencia evolutiva en glioblastoma multiforme mediante</w:t>
      </w:r>
      <w:r>
        <w:t xml:space="preserve"> </w:t>
      </w:r>
      <w:r>
        <w:t xml:space="preserve">aprendizaje por refuerzo multiagente adversarial (marco</w:t>
      </w:r>
      <w:r>
        <w:t xml:space="preserve"> </w:t>
      </w:r>
      <w:r>
        <w:rPr>
          <w:b/>
          <w:bCs/>
        </w:rPr>
        <w:t xml:space="preserve">GBMARL</w:t>
      </w:r>
      <w:r>
        <w:t xml:space="preserve">, MAPPO-CTDE).</w:t>
      </w:r>
      <w:r>
        <w:t xml:space="preserve"> </w:t>
      </w:r>
      <w:r>
        <w:rPr>
          <w:b/>
          <w:bCs/>
        </w:rPr>
        <w:t xml:space="preserve">Autores:</w:t>
      </w:r>
      <w:r>
        <w:t xml:space="preserve"> </w:t>
      </w:r>
      <w:r>
        <w:t xml:space="preserve">Kalos B. Lazo Mera · Gianpier A. Segovia Ureta</w:t>
      </w:r>
      <w:r>
        <w:t xml:space="preserve"> </w:t>
      </w:r>
      <w:r>
        <w:rPr>
          <w:b/>
          <w:bCs/>
        </w:rPr>
        <w:t xml:space="preserve">Asesor:</w:t>
      </w:r>
      <w:r>
        <w:t xml:space="preserve"> </w:t>
      </w:r>
      <w:r>
        <w:t xml:space="preserve">Victor E. Martínez Abaunza ·</w:t>
      </w:r>
      <w:r>
        <w:t xml:space="preserve"> </w:t>
      </w:r>
      <w:r>
        <w:rPr>
          <w:b/>
          <w:bCs/>
        </w:rPr>
        <w:t xml:space="preserve">Ciclo:</w:t>
      </w:r>
      <w:r>
        <w:t xml:space="preserve"> </w:t>
      </w:r>
      <w:r>
        <w:t xml:space="preserve">2026-2 (CS5011)</w:t>
      </w:r>
      <w:r>
        <w:t xml:space="preserve"> </w:t>
      </w:r>
      <w:r>
        <w:rPr>
          <w:b/>
          <w:bCs/>
        </w:rPr>
        <w:t xml:space="preserve">Alcance de este informe:</w:t>
      </w:r>
      <w:r>
        <w:t xml:space="preserve"> </w:t>
      </w:r>
      <w:r>
        <w:t xml:space="preserve">cronograma PFC II, Semanas 1 a 4 (línea base + 2 experimentos nuevos).</w:t>
      </w:r>
    </w:p>
    <w:p>
      <w:r>
        <w:pict>
          <v:rect style="width:0;height:1.5pt" o:hralign="center" o:hrstd="t" o:hr="t"/>
        </w:pict>
      </w:r>
    </w:p>
    <w:bookmarkStart w:id="9" w:name="resumen-ejecutivo-para-la-reunión"/>
    <w:p>
      <w:pPr>
        <w:pStyle w:val="Heading2"/>
      </w:pPr>
      <w:r>
        <w:t xml:space="preserve">1. Resumen ejecutivo (para la reunión)</w:t>
      </w:r>
    </w:p>
    <w:p>
      <w:pPr>
        <w:pStyle w:val="FirstParagraph"/>
      </w:pPr>
      <w:r>
        <w:t xml:space="preserve">En PFC I dejamos el marco GBMARL funcionando y validado: modelamos la terapia con</w:t>
      </w:r>
      <w:r>
        <w:t xml:space="preserve"> </w:t>
      </w:r>
      <w:r>
        <w:t xml:space="preserve">temozolomida y la resistencia del glioblastoma como un</w:t>
      </w:r>
      <w:r>
        <w:t xml:space="preserve"> </w:t>
      </w:r>
      <w:r>
        <w:rPr>
          <w:b/>
          <w:bCs/>
        </w:rPr>
        <w:t xml:space="preserve">juego adversarial de dos agentes</w:t>
      </w:r>
      <w:r>
        <w:t xml:space="preserve"> </w:t>
      </w:r>
      <w:r>
        <w:t xml:space="preserve">resuelto por RL multiagente (MAPPO-CTDE) sobre un simulador de EDO calibrado con datos reales</w:t>
      </w:r>
      <w:r>
        <w:t xml:space="preserve"> </w:t>
      </w:r>
      <w:r>
        <w:t xml:space="preserve">(GDSC2 + DepMap). El hallazgo central: la política aprendida</w:t>
      </w:r>
      <w:r>
        <w:t xml:space="preserve"> </w:t>
      </w:r>
      <w:r>
        <w:rPr>
          <w:b/>
          <w:bCs/>
        </w:rPr>
        <w:t xml:space="preserve">retrasa la intratabilidad</w:t>
      </w:r>
      <w:r>
        <w:t xml:space="preserve"> </w:t>
      </w:r>
      <w:r>
        <w:t xml:space="preserve">(~33 días de TTP) frente a MTD (13 d) y a la heurística de Gatenby (27 d).</w:t>
      </w:r>
    </w:p>
    <w:p>
      <w:pPr>
        <w:pStyle w:val="BodyText"/>
      </w:pPr>
      <w:r>
        <w:t xml:space="preserve">En PFC II, estas primeras 4 semanas se centraron en</w:t>
      </w:r>
      <w:r>
        <w:t xml:space="preserve"> </w:t>
      </w:r>
      <w:r>
        <w:rPr>
          <w:b/>
          <w:bCs/>
        </w:rPr>
        <w:t xml:space="preserve">darle solidez experimental</w:t>
      </w:r>
      <w:r>
        <w:t xml:space="preserve"> </w:t>
      </w:r>
      <w:r>
        <w:t xml:space="preserve">al hallazgo: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Congelamos y verificamos la línea base</w:t>
      </w:r>
      <w:r>
        <w:t xml:space="preserve"> </w:t>
      </w:r>
      <w:r>
        <w:t xml:space="preserve">(reproducibilidad + tag</w:t>
      </w:r>
      <w:r>
        <w:t xml:space="preserve"> </w:t>
      </w:r>
      <w:r>
        <w:rPr>
          <w:rStyle w:val="VerbatimChar"/>
        </w:rPr>
        <w:t xml:space="preserve">v1.0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Escribimos el protocolo experimental</w:t>
      </w:r>
      <w:r>
        <w:t xml:space="preserve"> </w:t>
      </w:r>
      <w:r>
        <w:t xml:space="preserve">con criterios de éxito pre-registrados.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EXP-1 (Robustez):</w:t>
      </w:r>
      <w:r>
        <w:t xml:space="preserve"> </w:t>
      </w:r>
      <w:r>
        <w:t xml:space="preserve">¿la política aguanta incertidumbre en los parámetros y ruido en las</w:t>
      </w:r>
      <w:r>
        <w:t xml:space="preserve"> </w:t>
      </w:r>
      <w:r>
        <w:t xml:space="preserve">mediciones clínicas? →</w:t>
      </w:r>
      <w:r>
        <w:t xml:space="preserve"> </w:t>
      </w:r>
      <w:r>
        <w:rPr>
          <w:b/>
          <w:bCs/>
        </w:rPr>
        <w:t xml:space="preserve">Sí al ruido de observación; parcialmente a la perturbación de</w:t>
      </w:r>
      <w:r>
        <w:rPr>
          <w:b/>
          <w:bCs/>
        </w:rPr>
        <w:t xml:space="preserve"> </w:t>
      </w:r>
      <w:r>
        <w:rPr>
          <w:b/>
          <w:bCs/>
        </w:rPr>
        <w:t xml:space="preserve">parámetros</w:t>
      </w:r>
      <w:r>
        <w:t xml:space="preserve"> </w:t>
      </w:r>
      <w:r>
        <w:t xml:space="preserve">(identificamos una fragilidad honesta ante la capacidad de carga</w:t>
      </w:r>
      <w:r>
        <w:t xml:space="preserve"> </w:t>
      </w:r>
      <w:r>
        <w:rPr>
          <w:rStyle w:val="VerbatimChar"/>
        </w:rPr>
        <w:t xml:space="preserve">K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EXP-2 (Adversario fuerte):</w:t>
      </w:r>
      <w:r>
        <w:t xml:space="preserve"> </w:t>
      </w:r>
      <w:r>
        <w:t xml:space="preserve">¿cuándo aporta el crítico centralizado (CTDE) frente al</w:t>
      </w:r>
      <w:r>
        <w:t xml:space="preserve"> </w:t>
      </w:r>
      <w:r>
        <w:t xml:space="preserve">aprendizaje independiente (IPPO)? →</w:t>
      </w:r>
      <w:r>
        <w:t xml:space="preserve"> </w:t>
      </w:r>
      <w:r>
        <w:rPr>
          <w:b/>
          <w:bCs/>
        </w:rPr>
        <w:t xml:space="preserve">CTDE gana claramente cuando el adversario es más</w:t>
      </w:r>
      <w:r>
        <w:rPr>
          <w:b/>
          <w:bCs/>
        </w:rPr>
        <w:t xml:space="preserve"> </w:t>
      </w:r>
      <w:r>
        <w:rPr>
          <w:b/>
          <w:bCs/>
        </w:rPr>
        <w:t xml:space="preserve">fuerte</w:t>
      </w:r>
      <w:r>
        <w:t xml:space="preserve">, medido por tasa de éxito (53% vs 7% con el adversario más agresivo).</w:t>
      </w:r>
    </w:p>
    <w:p>
      <w:pPr>
        <w:pStyle w:val="FirstParagraph"/>
      </w:pPr>
      <w:r>
        <w:t xml:space="preserve">Los dos experimentos usan</w:t>
      </w:r>
      <w:r>
        <w:t xml:space="preserve"> </w:t>
      </w:r>
      <w:r>
        <w:rPr>
          <w:b/>
          <w:bCs/>
        </w:rPr>
        <w:t xml:space="preserve">n=15 semillas</w:t>
      </w:r>
      <w:r>
        <w:t xml:space="preserve"> </w:t>
      </w:r>
      <w:r>
        <w:t xml:space="preserve">y la métrica honesta TTP-combinado. Todo es</w:t>
      </w:r>
      <w:r>
        <w:t xml:space="preserve"> </w:t>
      </w:r>
      <w:r>
        <w:t xml:space="preserve">reproducible y reanudable.</w:t>
      </w:r>
    </w:p>
    <w:p>
      <w:r>
        <w:pict>
          <v:rect style="width:0;height:1.5pt" o:hralign="center" o:hrstd="t" o:hr="t"/>
        </w:pict>
      </w:r>
    </w:p>
    <w:bookmarkEnd w:id="9"/>
    <w:bookmarkStart w:id="10" w:name="Xe071d39505b946a15b9d5e2721197ec64210136"/>
    <w:p>
      <w:pPr>
        <w:pStyle w:val="Heading2"/>
      </w:pPr>
      <w:r>
        <w:t xml:space="preserve">2. Contexto: qué es GBMARL (recordatorio de 1 minuto)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Simulador (entorno):</w:t>
      </w:r>
      <w:r>
        <w:t xml:space="preserve"> </w:t>
      </w:r>
      <w:r>
        <w:t xml:space="preserve">competencia Lotka–Volterra de dos poblaciones tumorales —sensibles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y resistentes</w:t>
      </w:r>
      <w:r>
        <w:t xml:space="preserve"> </w:t>
      </w:r>
      <w:r>
        <w:rPr>
          <w:rStyle w:val="VerbatimChar"/>
        </w:rPr>
        <w:t xml:space="preserve">R</w:t>
      </w:r>
      <w:r>
        <w:t xml:space="preserve">— más la farmacocinética del fármaco</w:t>
      </w:r>
      <w:r>
        <w:t xml:space="preserve"> </w:t>
      </w:r>
      <w:r>
        <w:rPr>
          <w:rStyle w:val="VerbatimChar"/>
        </w:rPr>
        <w:t xml:space="preserve">c</w:t>
      </w:r>
      <w:r>
        <w:t xml:space="preserve">, integrado con Runge–Kutta 4: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dS/dt = α_S·S·(1 − (S+R)/K) − δ_S(c)·S − φ·S</w:t>
      </w:r>
      <w:r>
        <w:br/>
      </w:r>
      <w:r>
        <w:rPr>
          <w:rStyle w:val="VerbatimChar"/>
        </w:rPr>
        <w:t xml:space="preserve">dR/dt = α_R·R·(1 − (S+R)/K) − δ_R(c)·R + φ·S</w:t>
      </w:r>
      <w:r>
        <w:br/>
      </w:r>
      <w:r>
        <w:rPr>
          <w:rStyle w:val="VerbatimChar"/>
        </w:rPr>
        <w:t xml:space="preserve">dc/dt = −λ_c·c + u(t)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Dos agentes en self-play: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Terapia:</w:t>
      </w:r>
      <w:r>
        <w:t xml:space="preserve"> </w:t>
      </w:r>
      <w:r>
        <w:t xml:space="preserve">elige la dosis</w:t>
      </w:r>
      <w:r>
        <w:t xml:space="preserve"> </w:t>
      </w:r>
      <w:r>
        <w:rPr>
          <w:rStyle w:val="VerbatimChar"/>
        </w:rPr>
        <w:t xml:space="preserve">u(t)</w:t>
      </w:r>
      <w:r>
        <w:t xml:space="preserve">; objetivo = maximizar los días con tumor manejable.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Tumor:</w:t>
      </w:r>
      <w:r>
        <w:t xml:space="preserve"> </w:t>
      </w:r>
      <w:r>
        <w:t xml:space="preserve">elige la transición fenotípica</w:t>
      </w:r>
      <w:r>
        <w:t xml:space="preserve"> </w:t>
      </w:r>
      <w:r>
        <w:rPr>
          <w:rStyle w:val="VerbatimChar"/>
        </w:rPr>
        <w:t xml:space="preserve">φ</w:t>
      </w:r>
      <w:r>
        <w:t xml:space="preserve"> </w:t>
      </w:r>
      <w:r>
        <w:t xml:space="preserve">(S→R, acotada por</w:t>
      </w:r>
      <w:r>
        <w:t xml:space="preserve"> </w:t>
      </w:r>
      <w:r>
        <w:rPr>
          <w:rStyle w:val="VerbatimChar"/>
        </w:rPr>
        <w:t xml:space="preserve">phi_max</w:t>
      </w:r>
      <w:r>
        <w:t xml:space="preserve">); objetivo = forzar</w:t>
      </w:r>
      <w:r>
        <w:t xml:space="preserve"> </w:t>
      </w:r>
      <w:r>
        <w:t xml:space="preserve">la dominancia resistente.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Calibración:</w:t>
      </w:r>
      <w:r>
        <w:t xml:space="preserve"> </w:t>
      </w:r>
      <w:r>
        <w:t xml:space="preserve">los datos GDSC2/DepMap fijan la potencia del fármaco (IC50_S≈0.36, IC50_R≈3.27,</w:t>
      </w:r>
      <w:r>
        <w:t xml:space="preserve"> </w:t>
      </w:r>
      <w:r>
        <w:t xml:space="preserve">brecha ≈9×; 34 líneas GBM recuperadas). La literatura ancla el techo de muerte.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Métrica honesta (TTP-combinado):</w:t>
      </w:r>
      <w:r>
        <w:t xml:space="preserve"> </w:t>
      </w:r>
      <w:r>
        <w:t xml:space="preserve">días hasta que el tratamiento falla por</w:t>
      </w:r>
      <w:r>
        <w:t xml:space="preserve"> </w:t>
      </w:r>
      <w:r>
        <w:rPr>
          <w:b/>
          <w:bCs/>
        </w:rPr>
        <w:t xml:space="preserve">carga</w:t>
      </w:r>
      <w:r>
        <w:t xml:space="preserve"> </w:t>
      </w:r>
      <w:r>
        <w:t xml:space="preserve">(el tumor crece más allá del umbral)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por</w:t>
      </w:r>
      <w:r>
        <w:t xml:space="preserve"> </w:t>
      </w:r>
      <w:r>
        <w:rPr>
          <w:b/>
          <w:bCs/>
        </w:rPr>
        <w:t xml:space="preserve">resistencia</w:t>
      </w:r>
      <w:r>
        <w:t xml:space="preserve"> </w:t>
      </w:r>
      <w:r>
        <w:t xml:space="preserve">(los resistentes son mayoría),</w:t>
      </w:r>
      <w:r>
        <w:t xml:space="preserve"> </w:t>
      </w:r>
      <w:r>
        <w:t xml:space="preserve">reportando</w:t>
      </w:r>
      <w:r>
        <w:t xml:space="preserve"> </w:t>
      </w:r>
      <w:r>
        <w:rPr>
          <w:i/>
          <w:iCs/>
        </w:rPr>
        <w:t xml:space="preserve">cuál</w:t>
      </w:r>
      <w:r>
        <w:t xml:space="preserve"> </w:t>
      </w:r>
      <w:r>
        <w:t xml:space="preserve">de las dos causó la falla. Evita la métrica engañosa que solo mira</w:t>
      </w:r>
      <w:r>
        <w:t xml:space="preserve"> </w:t>
      </w:r>
      <w:r>
        <w:t xml:space="preserve">resistencia e infla resultados.</w:t>
      </w:r>
    </w:p>
    <w:p>
      <w:r>
        <w:pict>
          <v:rect style="width:0;height:1.5pt" o:hralign="center" o:hrstd="t" o:hr="t"/>
        </w:pict>
      </w:r>
    </w:p>
    <w:bookmarkEnd w:id="10"/>
    <w:bookmarkStart w:id="15" w:name="lo-que-se-hizo-semana-por-semana"/>
    <w:p>
      <w:pPr>
        <w:pStyle w:val="Heading2"/>
      </w:pPr>
      <w:r>
        <w:t xml:space="preserve">3. Lo que se hizo, semana por semana</w:t>
      </w:r>
    </w:p>
    <w:bookmarkStart w:id="11" w:name="Xf59b62702d82ff16cf82124baddd9178eabc78c"/>
    <w:p>
      <w:pPr>
        <w:pStyle w:val="Heading3"/>
      </w:pPr>
      <w:r>
        <w:t xml:space="preserve">Semana 1 — Congelar y verificar la línea base</w:t>
      </w:r>
    </w:p>
    <w:p>
      <w:pPr>
        <w:pStyle w:val="FirstParagraph"/>
      </w:pPr>
      <w:r>
        <w:rPr>
          <w:b/>
          <w:bCs/>
        </w:rPr>
        <w:t xml:space="preserve">Objetivo (cronograma):</w:t>
      </w:r>
      <w:r>
        <w:t xml:space="preserve"> </w:t>
      </w:r>
      <w:r>
        <w:t xml:space="preserve">congelar código+datos de PFC I (tag</w:t>
      </w:r>
      <w:r>
        <w:t xml:space="preserve"> </w:t>
      </w:r>
      <w:r>
        <w:rPr>
          <w:rStyle w:val="VerbatimChar"/>
        </w:rPr>
        <w:t xml:space="preserve">v1.0</w:t>
      </w:r>
      <w:r>
        <w:t xml:space="preserve">), verificar reproducibilidad</w:t>
      </w:r>
      <w:r>
        <w:t xml:space="preserve"> </w:t>
      </w:r>
      <w:r>
        <w:t xml:space="preserve">end-to-end, definir el protocolo.</w:t>
      </w:r>
    </w:p>
    <w:p>
      <w:pPr>
        <w:pStyle w:val="BodyText"/>
      </w:pPr>
      <w:r>
        <w:rPr>
          <w:b/>
          <w:bCs/>
        </w:rPr>
        <w:t xml:space="preserve">Qué encontramos e hicimos:</w:t>
      </w:r>
      <w:r>
        <w:t xml:space="preserve"> </w:t>
      </w:r>
      <w:r>
        <w:t xml:space="preserve">- El proyecto no tenía un entorno de ejecución reproducible en la máquina.</w:t>
      </w:r>
      <w:r>
        <w:t xml:space="preserve"> </w:t>
      </w:r>
      <w:r>
        <w:rPr>
          <w:b/>
          <w:bCs/>
        </w:rPr>
        <w:t xml:space="preserve">Reconstruimos el</w:t>
      </w:r>
      <w:r>
        <w:rPr>
          <w:b/>
          <w:bCs/>
        </w:rPr>
        <w:t xml:space="preserve"> </w:t>
      </w:r>
      <w:r>
        <w:rPr>
          <w:b/>
          <w:bCs/>
        </w:rPr>
        <w:t xml:space="preserve">entorno</w:t>
      </w:r>
      <w:r>
        <w:t xml:space="preserve"> </w:t>
      </w:r>
      <w:r>
        <w:t xml:space="preserve">(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con Python 3.12) y</w:t>
      </w:r>
      <w:r>
        <w:t xml:space="preserve"> </w:t>
      </w:r>
      <w:r>
        <w:rPr>
          <w:b/>
          <w:bCs/>
        </w:rPr>
        <w:t xml:space="preserve">creamos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requirements.txt</w:t>
      </w:r>
      <w:r>
        <w:t xml:space="preserve"> </w:t>
      </w:r>
      <w:r>
        <w:t xml:space="preserve">con las versiones exactas</w:t>
      </w:r>
      <w:r>
        <w:t xml:space="preserve"> </w:t>
      </w:r>
      <w:r>
        <w:t xml:space="preserve">de todas las dependencias (torch, pettingzoo, gymnasium, numpy, scipy, matplotlib, pandas).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Suite de tests: 10/10 en verde.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Reproducibilidad verificada:</w:t>
      </w:r>
      <w:r>
        <w:t xml:space="preserve"> </w:t>
      </w:r>
      <w:r>
        <w:t xml:space="preserve">misma semilla → resultado idéntico (el entrenamiento fija</w:t>
      </w:r>
      <w:r>
        <w:t xml:space="preserve"> </w:t>
      </w:r>
      <w:r>
        <w:t xml:space="preserve">hilo único + algoritmos deterministas + sembrado completo).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Replicación del hallazgo:</w:t>
      </w:r>
      <w:r>
        <w:t xml:space="preserve"> </w:t>
      </w:r>
      <w:r>
        <w:t xml:space="preserve">los baselines reproducen exactamente el póster</w:t>
      </w:r>
      <w:r>
        <w:t xml:space="preserve"> </w:t>
      </w:r>
      <w:r>
        <w:t xml:space="preserve">(Sin tratar 12 d / MTD 13 d / Gatenby 27 d) y MAPPO multi-semilla da</w:t>
      </w:r>
      <w:r>
        <w:t xml:space="preserve"> </w:t>
      </w:r>
      <w:r>
        <w:rPr>
          <w:b/>
          <w:bCs/>
        </w:rPr>
        <w:t xml:space="preserve">mediana 32 / mejor 41 d,</w:t>
      </w:r>
      <w:r>
        <w:rPr>
          <w:b/>
          <w:bCs/>
        </w:rPr>
        <w:t xml:space="preserve"> </w:t>
      </w:r>
      <w:r>
        <w:rPr>
          <w:b/>
          <w:bCs/>
        </w:rPr>
        <w:t xml:space="preserve">4/4 vs Gatenby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v1.0</w:t>
      </w:r>
      <w:r>
        <w:t xml:space="preserve"> </w:t>
      </w:r>
      <w:r>
        <w:t xml:space="preserve">creado como punto de partida inmutable de PFC II.</w:t>
      </w:r>
    </w:p>
    <w:p>
      <w:pPr>
        <w:pStyle w:val="BodyText"/>
      </w:pPr>
      <w:r>
        <w:rPr>
          <w:b/>
          <w:bCs/>
        </w:rPr>
        <w:t xml:space="preserve">Observación importante (honestidad):</w:t>
      </w:r>
      <w:r>
        <w:t xml:space="preserve"> </w:t>
      </w:r>
      <w:r>
        <w:t xml:space="preserve">el modelo</w:t>
      </w:r>
      <w:r>
        <w:t xml:space="preserve"> </w:t>
      </w:r>
      <w:r>
        <w:t xml:space="preserve">“titular”</w:t>
      </w:r>
      <w:r>
        <w:t xml:space="preserve"> </w:t>
      </w:r>
      <w:r>
        <w:t xml:space="preserve">guardado (semilla 0) había caído en</w:t>
      </w:r>
      <w:r>
        <w:t xml:space="preserve"> </w:t>
      </w:r>
      <w:r>
        <w:t xml:space="preserve">una</w:t>
      </w:r>
      <w:r>
        <w:t xml:space="preserve"> </w:t>
      </w:r>
      <w:r>
        <w:rPr>
          <w:b/>
          <w:bCs/>
        </w:rPr>
        <w:t xml:space="preserve">cuenca de convergencia mala</w:t>
      </w:r>
      <w:r>
        <w:t xml:space="preserve"> </w:t>
      </w:r>
      <w:r>
        <w:t xml:space="preserve">(subtrata → falla al día 13). Esto</w:t>
      </w:r>
      <w:r>
        <w:t xml:space="preserve"> </w:t>
      </w:r>
      <w:r>
        <w:rPr>
          <w:b/>
          <w:bCs/>
        </w:rPr>
        <w:t xml:space="preserve">confirma la bimodalidad</w:t>
      </w:r>
      <w:r>
        <w:t xml:space="preserve"> </w:t>
      </w:r>
      <w:r>
        <w:t xml:space="preserve">del self-play ya documentada y justifica por qué reportamos por</w:t>
      </w:r>
      <w:r>
        <w:t xml:space="preserve"> </w:t>
      </w:r>
      <w:r>
        <w:rPr>
          <w:b/>
          <w:bCs/>
        </w:rPr>
        <w:t xml:space="preserve">tasa de éxito y mediana</w:t>
      </w:r>
      <w:r>
        <w:t xml:space="preserve">, no por</w:t>
      </w:r>
      <w:r>
        <w:t xml:space="preserve"> </w:t>
      </w:r>
      <w:r>
        <w:t xml:space="preserve">promedio.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repo taggeado</w:t>
      </w:r>
      <w:r>
        <w:t xml:space="preserve"> </w:t>
      </w:r>
      <w:r>
        <w:rPr>
          <w:rStyle w:val="VerbatimChar"/>
        </w:rPr>
        <w:t xml:space="preserve">v1.0</w:t>
      </w:r>
      <w:r>
        <w:t xml:space="preserve"> </w:t>
      </w:r>
      <w:r>
        <w:t xml:space="preserve">+ corrida de replicación exitosa.</w:t>
      </w:r>
    </w:p>
    <w:bookmarkEnd w:id="11"/>
    <w:bookmarkStart w:id="12" w:name="semana-2-protocolo-experimental-escrito"/>
    <w:p>
      <w:pPr>
        <w:pStyle w:val="Heading3"/>
      </w:pPr>
      <w:r>
        <w:t xml:space="preserve">Semana 2 — Protocolo experimental escrito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diseño experimental de robustez y del adversario fortalecido, aprobado por el asesor.</w:t>
      </w:r>
    </w:p>
    <w:p>
      <w:pPr>
        <w:pStyle w:val="BodyText"/>
      </w:pPr>
      <w:r>
        <w:t xml:space="preserve">Redactamos</w:t>
      </w:r>
      <w:r>
        <w:t xml:space="preserve"> </w:t>
      </w:r>
      <w:r>
        <w:rPr>
          <w:rStyle w:val="VerbatimChar"/>
        </w:rPr>
        <w:t xml:space="preserve">docs/protocolo_experimental_pfc2.md</w:t>
      </w:r>
      <w:r>
        <w:t xml:space="preserve">, que</w:t>
      </w:r>
      <w:r>
        <w:t xml:space="preserve"> </w:t>
      </w:r>
      <w:r>
        <w:rPr>
          <w:b/>
          <w:bCs/>
        </w:rPr>
        <w:t xml:space="preserve">pre-registra</w:t>
      </w:r>
      <w:r>
        <w:t xml:space="preserve"> </w:t>
      </w:r>
      <w:r>
        <w:t xml:space="preserve">(antes de correr, para</w:t>
      </w:r>
      <w:r>
        <w:t xml:space="preserve"> </w:t>
      </w:r>
      <w:r>
        <w:t xml:space="preserve">evitar sesgo post-hoc):</w:t>
      </w:r>
      <w:r>
        <w:t xml:space="preserve"> </w:t>
      </w:r>
      <w:r>
        <w:t xml:space="preserve">- Qué se perturba y en qué rango (±20%), cómo se inyecta el ruido de observación, y la definición</w:t>
      </w:r>
      <w:r>
        <w:t xml:space="preserve"> </w:t>
      </w:r>
      <w:r>
        <w:t xml:space="preserve">del adversario fuerte (barrido</w:t>
      </w:r>
      <w:r>
        <w:t xml:space="preserve"> </w:t>
      </w:r>
      <w:r>
        <w:rPr>
          <w:rStyle w:val="VerbatimChar"/>
        </w:rPr>
        <w:t xml:space="preserve">phi_max</w:t>
      </w:r>
      <w:r>
        <w:t xml:space="preserve"> </w:t>
      </w:r>
      <w:r>
        <w:t xml:space="preserve">0.05→0.10→0.20).</w:t>
      </w:r>
      <w:r>
        <w:t xml:space="preserve"> </w:t>
      </w:r>
      <w:r>
        <w:t xml:space="preserve">- La métrica (TTP-combinado), el número de semillas (n=15) y la</w:t>
      </w:r>
      <w:r>
        <w:t xml:space="preserve"> </w:t>
      </w:r>
      <w:r>
        <w:rPr>
          <w:b/>
          <w:bCs/>
        </w:rPr>
        <w:t xml:space="preserve">estadística adecuada a datos</w:t>
      </w:r>
      <w:r>
        <w:rPr>
          <w:b/>
          <w:bCs/>
        </w:rPr>
        <w:t xml:space="preserve"> </w:t>
      </w:r>
      <w:r>
        <w:rPr>
          <w:b/>
          <w:bCs/>
        </w:rPr>
        <w:t xml:space="preserve">bimodales</w:t>
      </w:r>
      <w:r>
        <w:t xml:space="preserve"> </w:t>
      </w:r>
      <w:r>
        <w:t xml:space="preserve">(mediana + tasa de éxito + Mann-Whitney/Fisher, no media±std ni t-test ingenuo).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Criterios de éxito explícitos</w:t>
      </w:r>
      <w:r>
        <w:t xml:space="preserve"> </w:t>
      </w:r>
      <w:r>
        <w:t xml:space="preserve">para cada experimento.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protocolo experimental escrito.</w:t>
      </w:r>
    </w:p>
    <w:bookmarkEnd w:id="12"/>
    <w:bookmarkStart w:id="13" w:name="semana-3-exp-1-robustez"/>
    <w:p>
      <w:pPr>
        <w:pStyle w:val="Heading3"/>
      </w:pPr>
      <w:r>
        <w:t xml:space="preserve">Semana 3 — EXP-1: Robustez</w:t>
      </w:r>
    </w:p>
    <w:p>
      <w:pPr>
        <w:pStyle w:val="FirstParagraph"/>
      </w:pPr>
      <w:r>
        <w:rPr>
          <w:b/>
          <w:bCs/>
        </w:rPr>
        <w:t xml:space="preserve">Pregunta:</w:t>
      </w:r>
      <w:r>
        <w:t xml:space="preserve"> </w:t>
      </w:r>
      <w:r>
        <w:t xml:space="preserve">¿la política aprendida mantiene su ventaja cuando (a) los parámetros calibrados</w:t>
      </w:r>
      <w:r>
        <w:t xml:space="preserve"> </w:t>
      </w:r>
      <w:r>
        <w:t xml:space="preserve">están mal estimados y (b) las mediciones clínicas tienen ruido?</w:t>
      </w:r>
    </w:p>
    <w:p>
      <w:pPr>
        <w:pStyle w:val="BodyText"/>
      </w:pPr>
      <w:r>
        <w:rPr>
          <w:b/>
          <w:bCs/>
        </w:rPr>
        <w:t xml:space="preserve">Diseño:</w:t>
      </w:r>
      <w:r>
        <w:t xml:space="preserve"> </w:t>
      </w:r>
      <w:r>
        <w:t xml:space="preserve">- Se</w:t>
      </w:r>
      <w:r>
        <w:t xml:space="preserve"> </w:t>
      </w:r>
      <w:r>
        <w:rPr>
          <w:b/>
          <w:bCs/>
        </w:rPr>
        <w:t xml:space="preserve">entrenan 15 políticas</w:t>
      </w:r>
      <w:r>
        <w:t xml:space="preserve"> </w:t>
      </w:r>
      <w:r>
        <w:t xml:space="preserve">MAPPO en el entorno nominal.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EXP-1a (perturbación ±20%):</w:t>
      </w:r>
      <w:r>
        <w:t xml:space="preserve"> </w:t>
      </w:r>
      <w:r>
        <w:t xml:space="preserve">se evalúan esas políticas en entornos con cada constante</w:t>
      </w:r>
      <w:r>
        <w:t xml:space="preserve"> </w:t>
      </w:r>
      <w:r>
        <w:t xml:space="preserve">alterada ×{0.8, 0.9, 1.0, 1.1, 1.2}, una a la vez (8 parámetros).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EXP-1b (ruido de observación):</w:t>
      </w:r>
      <w:r>
        <w:t xml:space="preserve"> </w:t>
      </w:r>
      <w:r>
        <w:t xml:space="preserve">solo en evaluación, se añade ruido gaussiano relativo a lo</w:t>
      </w:r>
      <w:r>
        <w:t xml:space="preserve"> </w:t>
      </w:r>
      <w:r>
        <w:t xml:space="preserve">que la terapia mide (</w:t>
      </w:r>
      <w:r>
        <w:rPr>
          <w:rStyle w:val="VerbatimChar"/>
        </w:rPr>
        <w:t xml:space="preserve">S+R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) con σ ∈ {0, 5%, 10%, 20%}, 30 repeticiones por semilla.</w:t>
      </w:r>
    </w:p>
    <w:p>
      <w:pPr>
        <w:pStyle w:val="BodyText"/>
      </w:pPr>
      <w:r>
        <w:rPr>
          <w:b/>
          <w:bCs/>
        </w:rPr>
        <w:t xml:space="preserve">Resultados (mediana de TTP-combinado, n=15):</w:t>
      </w:r>
    </w:p>
    <w:p>
      <w:pPr>
        <w:pStyle w:val="BodyText"/>
      </w:pPr>
      <w:r>
        <w:rPr>
          <w:i/>
          <w:iCs/>
        </w:rPr>
        <w:t xml:space="preserve">Ruido de observación — la política es robusta: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σ (ruido)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TTP mediana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</w:tbl>
    <w:p>
      <w:pPr>
        <w:pStyle w:val="BodyText"/>
      </w:pPr>
      <w:r>
        <w:rPr>
          <w:i/>
          <w:iCs/>
        </w:rPr>
        <w:t xml:space="preserve">Perturbación paramétrica ±20% — robusta en la mayoría, frágil ante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K</w:t>
      </w:r>
      <w:r>
        <w:rPr>
          <w:i/>
          <w:i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×0.8</w:t>
            </w:r>
          </w:p>
        </w:tc>
        <w:tc>
          <w:tcPr/>
          <w:p>
            <w:pPr>
              <w:pStyle w:val="Compact"/>
            </w:pPr>
            <w:r>
              <w:t xml:space="preserve">×1.0</w:t>
            </w:r>
          </w:p>
        </w:tc>
        <w:tc>
          <w:tcPr/>
          <w:p>
            <w:pPr>
              <w:pStyle w:val="Compact"/>
            </w:pPr>
            <w:r>
              <w:t xml:space="preserve">×1.2</w:t>
            </w:r>
          </w:p>
        </w:tc>
        <w:tc>
          <w:tcPr/>
          <w:p>
            <w:pPr>
              <w:pStyle w:val="Compact"/>
            </w:pPr>
            <w:r>
              <w:t xml:space="preserve">Lectura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ic50_R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delta_max_R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lambda_c</w:t>
            </w:r>
          </w:p>
        </w:tc>
        <w:tc>
          <w:tcPr/>
          <w:p>
            <w:pPr>
              <w:pStyle w:val="Compact"/>
            </w:pPr>
            <w:r>
              <w:t xml:space="preserve">~35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~35</w:t>
            </w:r>
          </w:p>
        </w:tc>
        <w:tc>
          <w:tcPr/>
          <w:p>
            <w:pPr>
              <w:pStyle w:val="Compact"/>
            </w:pPr>
            <w:r>
              <w:t xml:space="preserve">prácticamente sin efecto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ic50_S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menor potencia sobre sensibles → peor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alpha_S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sensibles crecen más rápido → peor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delta_max_S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más muerte de sensibles → mejor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(capacidad de carga)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fragilidad: K−20% colapsa el TTP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Conclusión honesta:</w:t>
      </w:r>
      <w:r>
        <w:t xml:space="preserve"> </w:t>
      </w:r>
      <w:r>
        <w:t xml:space="preserve">la política es</w:t>
      </w:r>
      <w:r>
        <w:t xml:space="preserve"> </w:t>
      </w:r>
      <w:r>
        <w:rPr>
          <w:b/>
          <w:bCs/>
        </w:rPr>
        <w:t xml:space="preserve">muy robusta al ruido de medición</w:t>
      </w:r>
      <w:r>
        <w:t xml:space="preserve"> </w:t>
      </w:r>
      <w:r>
        <w:t xml:space="preserve">(clave para validez</w:t>
      </w:r>
      <w:r>
        <w:t xml:space="preserve"> </w:t>
      </w:r>
      <w:r>
        <w:t xml:space="preserve">traslacional) y estable ante la mayoría de parámetros, pero</w:t>
      </w:r>
      <w:r>
        <w:t xml:space="preserve"> </w:t>
      </w:r>
      <w:r>
        <w:rPr>
          <w:b/>
          <w:bCs/>
        </w:rPr>
        <w:t xml:space="preserve">sensible a una subestimación de la</w:t>
      </w:r>
      <w:r>
        <w:rPr>
          <w:b/>
          <w:bCs/>
        </w:rPr>
        <w:t xml:space="preserve"> </w:t>
      </w:r>
      <w:r>
        <w:rPr>
          <w:b/>
          <w:bCs/>
        </w:rPr>
        <w:t xml:space="preserve">capacidad de carga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</w:t>
      </w:r>
      <w:r>
        <w:t xml:space="preserve"> </w:t>
      </w:r>
      <w:r>
        <w:t xml:space="preserve">(−20% la lleva a 12 d). Esto se reporta como límite de operación, no se</w:t>
      </w:r>
      <w:r>
        <w:t xml:space="preserve"> </w:t>
      </w:r>
      <w:r>
        <w:t xml:space="preserve">esconde.</w:t>
      </w:r>
    </w:p>
    <w:p>
      <w:pPr>
        <w:pStyle w:val="BodyText"/>
      </w:pPr>
      <w:r>
        <w:rPr>
          <w:b/>
          <w:bCs/>
        </w:rPr>
        <w:t xml:space="preserve">Entregables:</w:t>
      </w:r>
      <w:r>
        <w:t xml:space="preserve"> </w:t>
      </w:r>
      <w:r>
        <w:rPr>
          <w:rStyle w:val="VerbatimChar"/>
        </w:rPr>
        <w:t xml:space="preserve">outputs/exp1_robustez.md</w:t>
      </w:r>
      <w:r>
        <w:t xml:space="preserve"> </w:t>
      </w:r>
      <w:r>
        <w:t xml:space="preserve">(tabla),</w:t>
      </w:r>
      <w:r>
        <w:t xml:space="preserve"> </w:t>
      </w:r>
      <w:r>
        <w:rPr>
          <w:rStyle w:val="VerbatimChar"/>
        </w:rPr>
        <w:t xml:space="preserve">outputs/exp1a_perturbacion.png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outputs/exp1b_ruido.png</w:t>
      </w:r>
      <w:r>
        <w:t xml:space="preserve"> </w:t>
      </w:r>
      <w:r>
        <w:t xml:space="preserve">(figuras).</w:t>
      </w:r>
    </w:p>
    <w:bookmarkEnd w:id="13"/>
    <w:bookmarkStart w:id="14" w:name="X7914ffe4f37615dbf449e5798637191639004cc"/>
    <w:p>
      <w:pPr>
        <w:pStyle w:val="Heading3"/>
      </w:pPr>
      <w:r>
        <w:t xml:space="preserve">Semana 4 — EXP-2: Adversario tumoral fortalecido</w:t>
      </w:r>
    </w:p>
    <w:p>
      <w:pPr>
        <w:pStyle w:val="FirstParagraph"/>
      </w:pPr>
      <w:r>
        <w:rPr>
          <w:b/>
          <w:bCs/>
        </w:rPr>
        <w:t xml:space="preserve">Pregunta:</w:t>
      </w:r>
      <w:r>
        <w:t xml:space="preserve"> </w:t>
      </w:r>
      <w:r>
        <w:t xml:space="preserve">al darle más poder al tumor (mayor</w:t>
      </w:r>
      <w:r>
        <w:t xml:space="preserve"> </w:t>
      </w:r>
      <w:r>
        <w:rPr>
          <w:rStyle w:val="VerbatimChar"/>
        </w:rPr>
        <w:t xml:space="preserve">phi_max</w:t>
      </w:r>
      <w:r>
        <w:t xml:space="preserve">), (a) ¿cuánto se degrada la terapia y</w:t>
      </w:r>
      <w:r>
        <w:t xml:space="preserve"> </w:t>
      </w:r>
      <w:r>
        <w:t xml:space="preserve">(b)</w:t>
      </w:r>
      <w:r>
        <w:t xml:space="preserve"> </w:t>
      </w:r>
      <w:r>
        <w:rPr>
          <w:b/>
          <w:bCs/>
        </w:rPr>
        <w:t xml:space="preserve">cuándo empieza a importar el crítico centralizado (CTDE/MAPPO) frente al local (IPPO)</w:t>
      </w:r>
      <w:r>
        <w:t xml:space="preserve">?</w:t>
      </w:r>
      <w:r>
        <w:t xml:space="preserve"> </w:t>
      </w:r>
      <w:r>
        <w:t xml:space="preserve">Esta es la pregunta abierta que el póster de PFC I dejó planteada.</w:t>
      </w:r>
    </w:p>
    <w:p>
      <w:pPr>
        <w:pStyle w:val="BodyText"/>
      </w:pPr>
      <w:r>
        <w:rPr>
          <w:b/>
          <w:bCs/>
        </w:rPr>
        <w:t xml:space="preserve">Diseño:</w:t>
      </w:r>
      <w:r>
        <w:t xml:space="preserve"> </w:t>
      </w:r>
      <w:r>
        <w:t xml:space="preserve">barrido</w:t>
      </w:r>
      <w:r>
        <w:t xml:space="preserve"> </w:t>
      </w:r>
      <w:r>
        <w:rPr>
          <w:rStyle w:val="VerbatimChar"/>
        </w:rPr>
        <w:t xml:space="preserve">phi_max</w:t>
      </w:r>
      <w:r>
        <w:t xml:space="preserve"> </w:t>
      </w:r>
      <w:r>
        <w:t xml:space="preserve">∈ {0.05, 0.10, 0.20} × variante {MAPPO, IPPO} × 15 semillas =</w:t>
      </w:r>
      <w:r>
        <w:t xml:space="preserve"> </w:t>
      </w:r>
      <w:r>
        <w:rPr>
          <w:b/>
          <w:bCs/>
        </w:rPr>
        <w:t xml:space="preserve">90 re-entrenamientos</w:t>
      </w:r>
      <w:r>
        <w:t xml:space="preserve"> </w:t>
      </w:r>
      <w:r>
        <w:t xml:space="preserve">(180 modelos). Se evalúa contra el</w:t>
      </w:r>
      <w:r>
        <w:t xml:space="preserve"> </w:t>
      </w:r>
      <w:r>
        <w:rPr>
          <w:b/>
          <w:bCs/>
        </w:rPr>
        <w:t xml:space="preserve">tumor adaptativo co-entrenado</w:t>
      </w:r>
      <w:r>
        <w:t xml:space="preserve"> </w:t>
      </w:r>
      <w:r>
        <w:t xml:space="preserve">(peor caso realista, no un φ fijo débil). Contraste MAPPO&gt;IPPO con Mann-Whitney U.</w:t>
      </w:r>
    </w:p>
    <w:p>
      <w:pPr>
        <w:pStyle w:val="BodyText"/>
      </w:pPr>
      <w:r>
        <w:rPr>
          <w:b/>
          <w:bCs/>
        </w:rPr>
        <w:t xml:space="preserve">Resultados: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phi_max</w:t>
            </w:r>
          </w:p>
        </w:tc>
        <w:tc>
          <w:tcPr/>
          <w:p>
            <w:pPr>
              <w:pStyle w:val="Compact"/>
            </w:pPr>
            <w:r>
              <w:t xml:space="preserve">MAPPO (CTDE)</w:t>
            </w:r>
          </w:p>
        </w:tc>
        <w:tc>
          <w:tcPr/>
          <w:p>
            <w:pPr>
              <w:pStyle w:val="Compact"/>
            </w:pPr>
            <w:r>
              <w:t xml:space="preserve">IPPO (local)</w:t>
            </w:r>
          </w:p>
        </w:tc>
        <w:tc>
          <w:tcPr/>
          <w:p>
            <w:pPr>
              <w:pStyle w:val="Compact"/>
            </w:pPr>
            <w:r>
              <w:t xml:space="preserve">Δ mediana</w:t>
            </w:r>
          </w:p>
        </w:tc>
        <w:tc>
          <w:tcPr/>
          <w:p>
            <w:pPr>
              <w:pStyle w:val="Compact"/>
            </w:pPr>
            <w:r>
              <w:t xml:space="preserve">p (MWU)</w:t>
            </w:r>
          </w:p>
        </w:tc>
        <w:tc>
          <w:tcPr/>
          <w:p>
            <w:pPr>
              <w:pStyle w:val="Compact"/>
            </w:pPr>
            <w:r>
              <w:t xml:space="preserve">Éxito MAPPO</w:t>
            </w:r>
          </w:p>
        </w:tc>
        <w:tc>
          <w:tcPr/>
          <w:p>
            <w:pPr>
              <w:pStyle w:val="Compact"/>
            </w:pPr>
            <w:r>
              <w:t xml:space="preserve">Éxito IPPO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0.05 (nominal)</w:t>
            </w:r>
          </w:p>
        </w:tc>
        <w:tc>
          <w:tcPr/>
          <w:p>
            <w:pPr>
              <w:pStyle w:val="Compact"/>
            </w:pPr>
            <w:r>
              <w:t xml:space="preserve">36 [25,61]</w:t>
            </w:r>
          </w:p>
        </w:tc>
        <w:tc>
          <w:tcPr/>
          <w:p>
            <w:pPr>
              <w:pStyle w:val="Compact"/>
            </w:pPr>
            <w:r>
              <w:t xml:space="preserve">29 [23,32]</w:t>
            </w:r>
          </w:p>
        </w:tc>
        <w:tc>
          <w:tcPr/>
          <w:p>
            <w:pPr>
              <w:pStyle w:val="Compact"/>
            </w:pPr>
            <w:r>
              <w:t xml:space="preserve">+7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93%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27 [22,61]</w:t>
            </w:r>
          </w:p>
        </w:tc>
        <w:tc>
          <w:tcPr/>
          <w:p>
            <w:pPr>
              <w:pStyle w:val="Compact"/>
            </w:pPr>
            <w:r>
              <w:t xml:space="preserve">27 [23,31]</w:t>
            </w:r>
          </w:p>
        </w:tc>
        <w:tc>
          <w:tcPr/>
          <w:p>
            <w:pPr>
              <w:pStyle w:val="Compact"/>
            </w:pPr>
            <w:r>
              <w:t xml:space="preserve">+0</w:t>
            </w:r>
          </w:p>
        </w:tc>
        <w:tc>
          <w:tcPr/>
          <w:p>
            <w:pPr>
              <w:pStyle w:val="Compact"/>
            </w:pPr>
            <w:r>
              <w:t xml:space="preserve">0.265</w:t>
            </w:r>
          </w:p>
        </w:tc>
        <w:tc>
          <w:tcPr/>
          <w:p>
            <w:pPr>
              <w:pStyle w:val="Compact"/>
            </w:pPr>
            <w:r>
              <w:t xml:space="preserve">47%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0.20 (fuerte)</w:t>
            </w:r>
          </w:p>
        </w:tc>
        <w:tc>
          <w:tcPr/>
          <w:p>
            <w:pPr>
              <w:pStyle w:val="Compact"/>
            </w:pPr>
            <w:r>
              <w:t xml:space="preserve">28 [22,46]</w:t>
            </w:r>
          </w:p>
        </w:tc>
        <w:tc>
          <w:tcPr/>
          <w:p>
            <w:pPr>
              <w:pStyle w:val="Compact"/>
            </w:pPr>
            <w:r>
              <w:t xml:space="preserve">24 [20,29]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7%</w:t>
            </w:r>
          </w:p>
        </w:tc>
      </w:tr>
    </w:tbl>
    <w:p>
      <w:pPr>
        <w:pStyle w:val="BodyText"/>
      </w:pPr>
      <w:r>
        <w:t xml:space="preserve">(</w:t>
      </w:r>
      <w:r>
        <w:rPr>
          <w:i/>
          <w:iCs/>
        </w:rPr>
        <w:t xml:space="preserve">Éxito = proporción de semillas que superan a Gatenby, TTP &gt; 27 d.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Lecturas clave: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CTDE aporta, y aporta más cuando el adversario es fuerte</w:t>
      </w:r>
      <w:r>
        <w:t xml:space="preserve"> </w:t>
      </w:r>
      <w:r>
        <w:t xml:space="preserve">— en la métrica de</w:t>
      </w:r>
      <w:r>
        <w:t xml:space="preserve"> </w:t>
      </w:r>
      <w:r>
        <w:rPr>
          <w:b/>
          <w:bCs/>
        </w:rPr>
        <w:t xml:space="preserve">tasa de</w:t>
      </w:r>
      <w:r>
        <w:rPr>
          <w:b/>
          <w:bCs/>
        </w:rPr>
        <w:t xml:space="preserve"> </w:t>
      </w:r>
      <w:r>
        <w:rPr>
          <w:b/>
          <w:bCs/>
        </w:rPr>
        <w:t xml:space="preserve">éxito</w:t>
      </w:r>
      <w:r>
        <w:t xml:space="preserve"> </w:t>
      </w:r>
      <w:r>
        <w:t xml:space="preserve">la brecha se dispara con el adversario más agresivo:</w:t>
      </w:r>
      <w:r>
        <w:t xml:space="preserve"> </w:t>
      </w:r>
      <w:r>
        <w:rPr>
          <w:b/>
          <w:bCs/>
        </w:rPr>
        <w:t xml:space="preserve">53% (MAPPO) vs 7% (IPPO)</w:t>
      </w:r>
      <w:r>
        <w:t xml:space="preserve">. Esto</w:t>
      </w:r>
      <w:r>
        <w:t xml:space="preserve"> </w:t>
      </w:r>
      <w:r>
        <w:t xml:space="preserve">responde afirmativamente la pregunta del póster sobre el valor de CTDE.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El efecto no es monótono: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phi_max=0.10</w:t>
      </w:r>
      <w:r>
        <w:t xml:space="preserve"> </w:t>
      </w:r>
      <w:r>
        <w:t xml:space="preserve">MAPPO e IPPO empatan (p=0.265). Lo reportamos</w:t>
      </w:r>
      <w:r>
        <w:t xml:space="preserve"> </w:t>
      </w:r>
      <w:r>
        <w:t xml:space="preserve">con honestidad; es un régimen intermedio donde la ventaja de CTDE no se manifiesta.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La amenaza fuerte cambia el modo de falla: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phi_max</w:t>
      </w:r>
      <w:r>
        <w:t xml:space="preserve"> </w:t>
      </w:r>
      <w:r>
        <w:t xml:space="preserve">alto, todas las corridas fallan</w:t>
      </w:r>
      <w:r>
        <w:t xml:space="preserve"> </w:t>
      </w:r>
      <w:r>
        <w:t xml:space="preserve">por</w:t>
      </w:r>
      <w:r>
        <w:t xml:space="preserve"> </w:t>
      </w:r>
      <w:r>
        <w:rPr>
          <w:b/>
          <w:bCs/>
        </w:rPr>
        <w:t xml:space="preserve">carga</w:t>
      </w:r>
      <w:r>
        <w:t xml:space="preserve"> </w:t>
      </w:r>
      <w:r>
        <w:t xml:space="preserve">(el tumor crece demasiado), no por resistencia.</w:t>
      </w:r>
    </w:p>
    <w:p>
      <w:pPr>
        <w:pStyle w:val="BodyText"/>
      </w:pPr>
      <w:r>
        <w:rPr>
          <w:b/>
          <w:bCs/>
        </w:rPr>
        <w:t xml:space="preserve">Entregables:</w:t>
      </w:r>
      <w:r>
        <w:t xml:space="preserve"> </w:t>
      </w:r>
      <w:r>
        <w:rPr>
          <w:rStyle w:val="VerbatimChar"/>
        </w:rPr>
        <w:t xml:space="preserve">outputs/exp2_adversario.md</w:t>
      </w:r>
      <w:r>
        <w:t xml:space="preserve"> </w:t>
      </w:r>
      <w:r>
        <w:t xml:space="preserve">(tabla) y</w:t>
      </w:r>
      <w:r>
        <w:t xml:space="preserve"> </w:t>
      </w:r>
      <w:r>
        <w:rPr>
          <w:rStyle w:val="VerbatimChar"/>
        </w:rPr>
        <w:t xml:space="preserve">outputs/exp2_adversario.png</w:t>
      </w:r>
      <w:r>
        <w:t xml:space="preserve"> </w:t>
      </w:r>
      <w:r>
        <w:t xml:space="preserve">(figura).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cómo-se-implementó-nota-técnica"/>
    <w:p>
      <w:pPr>
        <w:pStyle w:val="Heading2"/>
      </w:pPr>
      <w:r>
        <w:t xml:space="preserve">4. Cómo se implementó (nota técnica)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Lenguaje/stack:</w:t>
      </w:r>
      <w:r>
        <w:t xml:space="preserve"> </w:t>
      </w:r>
      <w:r>
        <w:t xml:space="preserve">Python 3.12; PyTorch (RL propio, estilo CleanRL); PettingZoo</w:t>
      </w:r>
      <w:r>
        <w:t xml:space="preserve"> </w:t>
      </w:r>
      <w:r>
        <w:rPr>
          <w:rStyle w:val="VerbatimChar"/>
        </w:rPr>
        <w:t xml:space="preserve">ParallelEnv</w:t>
      </w:r>
      <w:r>
        <w:t xml:space="preserve"> </w:t>
      </w:r>
      <w:r>
        <w:t xml:space="preserve">para el entorno de 2 agentes; NumPy/SciPy/Matplotlib. Un solo framework, implementación propia</w:t>
      </w:r>
      <w:r>
        <w:t xml:space="preserve"> </w:t>
      </w:r>
      <w:r>
        <w:t xml:space="preserve">(no SB3).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Algoritmo:</w:t>
      </w:r>
      <w:r>
        <w:t xml:space="preserve"> </w:t>
      </w:r>
      <w:r>
        <w:t xml:space="preserve">MAPPO por self-play. Cada agente decide con</w:t>
      </w:r>
      <w:r>
        <w:t xml:space="preserve"> </w:t>
      </w:r>
      <w:r>
        <w:rPr>
          <w:b/>
          <w:bCs/>
        </w:rPr>
        <w:t xml:space="preserve">observación parcial</w:t>
      </w:r>
      <w:r>
        <w:t xml:space="preserve"> </w:t>
      </w:r>
      <w:r>
        <w:t xml:space="preserve">(la terapia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S+R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</w:t>
      </w:r>
      <w:r>
        <w:t xml:space="preserve">, no la fracción resistente → realismo clínico), pero su</w:t>
      </w:r>
      <w:r>
        <w:t xml:space="preserve"> </w:t>
      </w:r>
      <w:r>
        <w:rPr>
          <w:b/>
          <w:bCs/>
        </w:rPr>
        <w:t xml:space="preserve">crítico ve el estado</w:t>
      </w:r>
      <w:r>
        <w:rPr>
          <w:b/>
          <w:bCs/>
        </w:rPr>
        <w:t xml:space="preserve"> </w:t>
      </w:r>
      <w:r>
        <w:rPr>
          <w:b/>
          <w:bCs/>
        </w:rPr>
        <w:t xml:space="preserve">conjunto</w:t>
      </w:r>
      <w:r>
        <w:t xml:space="preserve"> </w:t>
      </w:r>
      <w:r>
        <w:rPr>
          <w:rStyle w:val="VerbatimChar"/>
        </w:rPr>
        <w:t xml:space="preserve">(S,R,c)</w:t>
      </w:r>
      <w:r>
        <w:t xml:space="preserve"> </w:t>
      </w:r>
      <w:r>
        <w:t xml:space="preserve">durante el entrenamiento (CTDE). La ablación</w:t>
      </w:r>
      <w:r>
        <w:t xml:space="preserve"> </w:t>
      </w:r>
      <w:r>
        <w:rPr>
          <w:b/>
          <w:bCs/>
        </w:rPr>
        <w:t xml:space="preserve">IPPO</w:t>
      </w:r>
      <w:r>
        <w:t xml:space="preserve"> </w:t>
      </w:r>
      <w:r>
        <w:t xml:space="preserve">usa crítico local</w:t>
      </w:r>
      <w:r>
        <w:t xml:space="preserve"> </w:t>
      </w:r>
      <w:r>
        <w:t xml:space="preserve">(mismo código, flag</w:t>
      </w:r>
      <w:r>
        <w:t xml:space="preserve"> </w:t>
      </w:r>
      <w:r>
        <w:rPr>
          <w:rStyle w:val="VerbatimChar"/>
        </w:rPr>
        <w:t xml:space="preserve">centralized=False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Reproducibilidad:</w:t>
      </w:r>
      <w:r>
        <w:t xml:space="preserve"> </w:t>
      </w:r>
      <w:r>
        <w:t xml:space="preserve">semillas fijas + hilo único + algoritmos deterministas. Verificado:</w:t>
      </w:r>
      <w:r>
        <w:t xml:space="preserve"> </w:t>
      </w:r>
      <w:r>
        <w:t xml:space="preserve">misma semilla ⇒ resultado idéntico.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Arnés reanudable:</w:t>
      </w:r>
      <w:r>
        <w:t xml:space="preserve"> </w:t>
      </w:r>
      <w:r>
        <w:t xml:space="preserve">cada experimento guarda resultados parciales en un JSON y los modelos en</w:t>
      </w:r>
      <w:r>
        <w:t xml:space="preserve"> </w:t>
      </w:r>
      <w:r>
        <w:t xml:space="preserve">disco; si se corta,</w:t>
      </w:r>
      <w:r>
        <w:t xml:space="preserve"> </w:t>
      </w:r>
      <w:r>
        <w:rPr>
          <w:b/>
          <w:bCs/>
        </w:rPr>
        <w:t xml:space="preserve">reanuda donde quedó</w:t>
      </w:r>
      <w:r>
        <w:t xml:space="preserve"> </w:t>
      </w:r>
      <w:r>
        <w:t xml:space="preserve">sin repetir cómputo. Los dos experimentos corrieron</w:t>
      </w:r>
      <w:r>
        <w:t xml:space="preserve"> </w:t>
      </w:r>
      <w:r>
        <w:t xml:space="preserve">en segundo plano (~20 min EXP-1, ~1.8 h EXP-2).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Estadística honesta:</w:t>
      </w:r>
      <w:r>
        <w:t xml:space="preserve"> </w:t>
      </w:r>
      <w:r>
        <w:t xml:space="preserve">por la bimodalidad del self-play, se reporta</w:t>
      </w:r>
      <w:r>
        <w:t xml:space="preserve"> </w:t>
      </w:r>
      <w:r>
        <w:rPr>
          <w:b/>
          <w:bCs/>
        </w:rPr>
        <w:t xml:space="preserve">mediana + [min,max] +</w:t>
      </w:r>
      <w:r>
        <w:rPr>
          <w:b/>
          <w:bCs/>
        </w:rPr>
        <w:t xml:space="preserve"> </w:t>
      </w:r>
      <w:r>
        <w:rPr>
          <w:b/>
          <w:bCs/>
        </w:rPr>
        <w:t xml:space="preserve">tasa de éxito</w:t>
      </w:r>
      <w:r>
        <w:t xml:space="preserve"> </w:t>
      </w:r>
      <w:r>
        <w:t xml:space="preserve">y contrastes no paramétricos (Mann-Whitney), en vez de media±std / t-test.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Código nuevo de esta etapa: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scripts/exp1_robustez.py</w:t>
      </w:r>
      <w:r>
        <w:t xml:space="preserve"> </w:t>
      </w:r>
      <w:r>
        <w:t xml:space="preserve">— EXP-1 (robustez), reanudable, genera tabla + 2 figuras.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scripts/exp2_adversario.py</w:t>
      </w:r>
      <w:r>
        <w:t xml:space="preserve"> </w:t>
      </w:r>
      <w:r>
        <w:t xml:space="preserve">— EXP-2 (adversario fuerte), reanudable, genera tabla + figura.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docs/protocolo_experimental_pfc2.md</w:t>
      </w:r>
      <w:r>
        <w:t xml:space="preserve"> </w:t>
      </w:r>
      <w:r>
        <w:t xml:space="preserve">— protocolo pre-registrado.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— entorno reproducible.</w:t>
      </w:r>
    </w:p>
    <w:p>
      <w:r>
        <w:pict>
          <v:rect style="width:0;height:1.5pt" o:hralign="center" o:hrstd="t" o:hr="t"/>
        </w:pict>
      </w:r>
    </w:p>
    <w:bookmarkEnd w:id="16"/>
    <w:bookmarkStart w:id="17" w:name="estado-actual"/>
    <w:p>
      <w:pPr>
        <w:pStyle w:val="Heading2"/>
      </w:pPr>
      <w:r>
        <w:t xml:space="preserve">5. Estado actual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Línea base congelada (tag</w:t>
            </w:r>
            <w:r>
              <w:t xml:space="preserve"> </w:t>
            </w:r>
            <w:r>
              <w:rPr>
                <w:rStyle w:val="VerbatimChar"/>
              </w:rPr>
              <w:t xml:space="preserve">v1.0</w:t>
            </w:r>
            <w:r>
              <w:t xml:space="preserve">) + replicación</w:t>
            </w:r>
          </w:p>
        </w:tc>
        <w:tc>
          <w:tcPr/>
          <w:p>
            <w:pPr>
              <w:pStyle w:val="Compac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Protocolo experimental escrito</w:t>
            </w:r>
          </w:p>
        </w:tc>
        <w:tc>
          <w:tcPr/>
          <w:p>
            <w:pPr>
              <w:pStyle w:val="Compac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EXP-1 Robustez (±20% + ruido de obs)</w:t>
            </w:r>
          </w:p>
        </w:tc>
        <w:tc>
          <w:tcPr/>
          <w:p>
            <w:pPr>
              <w:pStyle w:val="Compac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EXP-2 Adversario fuerte (barrido</w:t>
            </w:r>
            <w:r>
              <w:t xml:space="preserve"> </w:t>
            </w:r>
            <w:r>
              <w:rPr>
                <w:rStyle w:val="VerbatimChar"/>
              </w:rPr>
              <w:t xml:space="preserve">phi_max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Completado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Artefactos disponibles:</w:t>
      </w:r>
      <w:r>
        <w:t xml:space="preserve"> </w:t>
      </w:r>
      <w:r>
        <w:t xml:space="preserve">195 modelos entrenados (15 de EXP-1 + 180 de EXP-2), 2 tablas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t xml:space="preserve">3 figuras</w:t>
      </w:r>
      <w:r>
        <w:t xml:space="preserve"> </w:t>
      </w:r>
      <w:r>
        <w:rPr>
          <w:rStyle w:val="VerbatimChar"/>
        </w:rPr>
        <w:t xml:space="preserve">.png</w:t>
      </w:r>
      <w:r>
        <w:t xml:space="preserve">, protocolo y este informe. Todo reproducible desde</w:t>
      </w:r>
      <w:r>
        <w:t xml:space="preserve"> </w:t>
      </w:r>
      <w:r>
        <w:rPr>
          <w:rStyle w:val="VerbatimChar"/>
        </w:rPr>
        <w:t xml:space="preserve">v1.0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cómo-pensamos-seguir-s5-en-adelante"/>
    <w:p>
      <w:pPr>
        <w:pStyle w:val="Heading2"/>
      </w:pPr>
      <w:r>
        <w:t xml:space="preserve">6. Cómo pensamos seguir (S5 en adelante)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S5 — EXP-3 (Bimodalidad):</w:t>
      </w:r>
      <w:r>
        <w:t xml:space="preserve"> </w:t>
      </w:r>
      <w:r>
        <w:t xml:space="preserve">caracterizar las cuencas de convergencia del self-play (por qué</w:t>
      </w:r>
      <w:r>
        <w:t xml:space="preserve"> </w:t>
      </w:r>
      <w:r>
        <w:t xml:space="preserve">unas semillas dan TTP alto y otras bajo) y proponer una estrategia de mitigación</w:t>
      </w:r>
      <w:r>
        <w:t xml:space="preserve"> </w:t>
      </w:r>
      <w:r>
        <w:t xml:space="preserve">(selección/checkpoint por cuenca).</w:t>
      </w:r>
      <w:r>
        <w:t xml:space="preserve"> </w:t>
      </w:r>
      <w:r>
        <w:rPr>
          <w:b/>
          <w:bCs/>
        </w:rPr>
        <w:t xml:space="preserve">Ya tenemos 195 modelos entrenados</w:t>
      </w:r>
      <w:r>
        <w:t xml:space="preserve"> </w:t>
      </w:r>
      <w:r>
        <w:t xml:space="preserve">para analizar sin</w:t>
      </w:r>
      <w:r>
        <w:t xml:space="preserve"> </w:t>
      </w:r>
      <w:r>
        <w:t xml:space="preserve">re-entrenar.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S6–S7 — Redacción del Capítulo 5 (Discusión):</w:t>
      </w:r>
      <w:r>
        <w:t xml:space="preserve"> </w:t>
      </w:r>
      <w:r>
        <w:t xml:space="preserve">integrar EXP-1/2/3, interpretar el mecanismo</w:t>
      </w:r>
      <w:r>
        <w:t xml:space="preserve"> </w:t>
      </w:r>
      <w:r>
        <w:t xml:space="preserve">pulsado en diálogo con la literatura (Gatenby, terapia adaptativa, RARL) y declarar límites</w:t>
      </w:r>
      <w:r>
        <w:t xml:space="preserve"> </w:t>
      </w:r>
      <w:r>
        <w:t xml:space="preserve">(fragilidad ante</w:t>
      </w:r>
      <w:r>
        <w:t xml:space="preserve"> </w:t>
      </w:r>
      <w:r>
        <w:rPr>
          <w:rStyle w:val="VerbatimChar"/>
        </w:rPr>
        <w:t xml:space="preserve">K</w:t>
      </w:r>
      <w:r>
        <w:t xml:space="preserve">, adversario aún mejorable).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S8 — EC1:</w:t>
      </w:r>
      <w:r>
        <w:t xml:space="preserve"> </w:t>
      </w:r>
      <w:r>
        <w:t xml:space="preserve">presentación de avance ante el asesor con resultados nuevos.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Líneas abiertas (trabajo futuro del póster):</w:t>
      </w:r>
      <w:r>
        <w:t xml:space="preserve"> </w:t>
      </w:r>
      <w:r>
        <w:t xml:space="preserve">horizonte a 360 días (¿contención real o tope?),</w:t>
      </w:r>
      <w:r>
        <w:t xml:space="preserve"> </w:t>
      </w:r>
      <w:r>
        <w:t xml:space="preserve">calibración con datos clínicos, tratamientos combinados/espaciales.</w:t>
      </w:r>
    </w:p>
    <w:p>
      <w:pPr>
        <w:pStyle w:val="FirstParagraph"/>
      </w:pPr>
      <w:r>
        <w:rPr>
          <w:b/>
          <w:bCs/>
        </w:rPr>
        <w:t xml:space="preserve">Preguntas para el asesor:</w:t>
      </w:r>
      <w:r>
        <w:t xml:space="preserve"> </w:t>
      </w:r>
      <w:r>
        <w:t xml:space="preserve">1. ¿Priorizamos EXP-3 (bimodalidad) o profundizamos EXP-2 con una palanca adicional para el tumor?</w:t>
      </w:r>
      <w:r>
        <w:t xml:space="preserve"> </w:t>
      </w:r>
      <w:r>
        <w:t xml:space="preserve">2. ¿La fragilidad ante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amerita re-calibrar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con una fuente adicional, o basta reportarla</w:t>
      </w:r>
      <w:r>
        <w:t xml:space="preserve"> </w:t>
      </w:r>
      <w:r>
        <w:t xml:space="preserve">como límite de validez?</w:t>
      </w:r>
      <w:r>
        <w:t xml:space="preserve"> </w:t>
      </w:r>
      <w:r>
        <w:t xml:space="preserve">3. ¿El resultado de tasa de éxito (53% vs 7%) es suficiente como evidencia de CTDE para el jurado,</w:t>
      </w:r>
      <w:r>
        <w:t xml:space="preserve"> </w:t>
      </w:r>
      <w:r>
        <w:t xml:space="preserve">o conviene ampliar semillas / regímenes intermedios?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2026-08-31T07:12:38Z</dcterms:created>
  <dcterms:modified xsi:type="dcterms:W3CDTF">2026-08-31T07:12:38Z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