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Text and paragraph formatting</w:t>
      </w:r>
    </w:p>
    <w:p>
      <w:r>
        <w:t>Test selection, editing, import, save and reopen. Each labelled specimen exercises a different formatting property.</w:t>
      </w:r>
    </w:p>
    <w:p>
      <w:pPr>
        <w:pStyle w:val="Heading1"/>
      </w:pPr>
      <w:r>
        <w:t>Character formatting</w:t>
      </w:r>
    </w:p>
    <w:p>
      <w:r>
        <w:t xml:space="preserve">Bold: </w:t>
      </w:r>
      <w:r>
        <w:rPr>
          <w:b/>
        </w:rPr>
        <w:t>Sample Abc 123</w:t>
      </w:r>
    </w:p>
    <w:p>
      <w:r>
        <w:t xml:space="preserve">Italic: </w:t>
      </w:r>
      <w:r>
        <w:rPr>
          <w:i/>
        </w:rPr>
        <w:t>Sample Abc 123</w:t>
      </w:r>
    </w:p>
    <w:p>
      <w:r>
        <w:t xml:space="preserve">Underline: </w:t>
      </w:r>
      <w:r>
        <w:rPr>
          <w:u w:val="single"/>
        </w:rPr>
        <w:t>Sample Abc 123</w:t>
      </w:r>
    </w:p>
    <w:p>
      <w:r>
        <w:t xml:space="preserve">Double underline: </w:t>
      </w:r>
      <w:r>
        <w:rPr>
          <w:u w:val="double"/>
        </w:rPr>
        <w:t>Sample Abc 123</w:t>
      </w:r>
    </w:p>
    <w:p>
      <w:r>
        <w:t xml:space="preserve">Strikethrough: </w:t>
      </w:r>
      <w:r>
        <w:rPr>
          <w:strike/>
        </w:rPr>
        <w:t>Sample Abc 123</w:t>
      </w:r>
    </w:p>
    <w:p>
      <w:r>
        <w:t xml:space="preserve">Double strike: </w:t>
      </w:r>
      <w:r>
        <w:rPr>
          <w:dstrike/>
        </w:rPr>
        <w:t>Sample Abc 123</w:t>
      </w:r>
    </w:p>
    <w:p>
      <w:r>
        <w:t xml:space="preserve">Small capitals: </w:t>
      </w:r>
      <w:r>
        <w:rPr>
          <w:smallCaps/>
        </w:rPr>
        <w:t>Sample Abc 123</w:t>
      </w:r>
    </w:p>
    <w:p>
      <w:r>
        <w:t xml:space="preserve">ALL CAPITALS: </w:t>
      </w:r>
      <w:r>
        <w:rPr>
          <w:caps/>
        </w:rPr>
        <w:t>Sample Abc 123</w:t>
      </w:r>
    </w:p>
    <w:p>
      <w:r>
        <w:t xml:space="preserve">Superscript x2: </w:t>
      </w:r>
      <w:r>
        <w:rPr>
          <w:vertAlign w:val="superscript"/>
        </w:rPr>
        <w:t>Sample Abc 123</w:t>
      </w:r>
    </w:p>
    <w:p>
      <w:r>
        <w:t xml:space="preserve">Subscript H2O: </w:t>
      </w:r>
      <w:r>
        <w:rPr>
          <w:vertAlign w:val="subscript"/>
        </w:rPr>
        <w:t>Sample Abc 123</w:t>
      </w:r>
    </w:p>
    <w:p>
      <w:r>
        <w:t xml:space="preserve">Colour and highlight: </w:t>
      </w:r>
      <w:r>
        <w:rPr>
          <w:color w:val="C81E28"/>
        </w:rPr>
        <w:t>red text</w:t>
      </w:r>
      <w:r>
        <w:rPr>
          <w:highlight w:val="yellow"/>
        </w:rPr>
        <w:t xml:space="preserve"> yellow highlight</w:t>
      </w:r>
    </w:p>
    <w:p>
      <w:r>
        <w:t xml:space="preserve">Font sizes: </w:t>
      </w:r>
      <w:r>
        <w:rPr>
          <w:sz w:val="16"/>
        </w:rPr>
        <w:t xml:space="preserve">8 pt  </w:t>
      </w:r>
      <w:r>
        <w:rPr>
          <w:sz w:val="24"/>
        </w:rPr>
        <w:t xml:space="preserve">12 pt  </w:t>
      </w:r>
      <w:r>
        <w:rPr>
          <w:sz w:val="36"/>
        </w:rPr>
        <w:t xml:space="preserve">18 pt  </w:t>
      </w:r>
      <w:r>
        <w:rPr>
          <w:sz w:val="48"/>
        </w:rPr>
        <w:t xml:space="preserve">24 pt  </w:t>
      </w:r>
    </w:p>
    <w:p>
      <w:r>
        <w:t xml:space="preserve">Font families: </w:t>
      </w:r>
      <w:r>
        <w:rPr>
          <w:rFonts w:ascii="DejaVu Sans" w:hAnsi="DejaVu Sans"/>
        </w:rPr>
        <w:t xml:space="preserve">DejaVu Sans  </w:t>
      </w:r>
      <w:r>
        <w:rPr>
          <w:rFonts w:ascii="DejaVu Serif" w:hAnsi="DejaVu Serif"/>
        </w:rPr>
        <w:t xml:space="preserve">DejaVu Serif  </w:t>
      </w:r>
      <w:r>
        <w:rPr>
          <w:rFonts w:ascii="DejaVu Sans Mono" w:hAnsi="DejaVu Sans Mono"/>
        </w:rPr>
        <w:t xml:space="preserve">DejaVu Sans Mono  </w:t>
      </w:r>
    </w:p>
    <w:p>
      <w:r>
        <w:t xml:space="preserve">Hidden text follows this colon: </w:t>
      </w:r>
      <w:r>
        <w:rPr>
          <w:vanish/>
        </w:rPr>
        <w:t>HIDDEN MARKER</w:t>
      </w:r>
    </w:p>
    <w:p>
      <w:r>
        <w:t>Expected: Styles remain independently editable; hidden text appears only when enabled.</w:t>
      </w:r>
    </w:p>
    <w:p>
      <w:r>
        <w:br w:type="page"/>
      </w:r>
    </w:p>
    <w:p>
      <w:pPr>
        <w:pStyle w:val="Heading1"/>
      </w:pPr>
      <w:r>
        <w:t>Paragraphs and lists</w:t>
      </w:r>
    </w:p>
    <w:p>
      <w:pPr>
        <w:jc w:val="left"/>
      </w:pPr>
      <w:r>
        <w:t xml:space="preserve">Left alignment. This sentence repeats to make line wrapping and alignment visible.  alignment. This sentence repeats to make line wrapping and alignment visible. </w:t>
      </w:r>
    </w:p>
    <w:p>
      <w:pPr>
        <w:jc w:val="center"/>
      </w:pPr>
      <w:r>
        <w:t xml:space="preserve">Centre alignment. This sentence repeats to make line wrapping and alignment visible.  alignment. This sentence repeats to make line wrapping and alignment visible. </w:t>
      </w:r>
    </w:p>
    <w:p>
      <w:pPr>
        <w:jc w:val="right"/>
      </w:pPr>
      <w:r>
        <w:t xml:space="preserve">Right alignment. This sentence repeats to make line wrapping and alignment visible.  alignment. This sentence repeats to make line wrapping and alignment visible. </w:t>
      </w:r>
    </w:p>
    <w:p>
      <w:pPr>
        <w:jc w:val="both"/>
      </w:pPr>
      <w:r>
        <w:t xml:space="preserve">Justified alignment. This sentence repeats to make line wrapping and alignment visible.  alignment. This sentence repeats to make line wrapping and alignment visible. </w:t>
      </w:r>
    </w:p>
    <w:p>
      <w:pPr>
        <w:spacing w:line="360" w:lineRule="auto"/>
        <w:ind w:firstLine="432"/>
      </w:pPr>
      <w:r>
        <w:t xml:space="preserve">First line indent with one and a half line spacing. First line indent with one and a half line spacing. First line indent with one and a half line spacing. First line indent with one and a half line spacing. </w:t>
      </w:r>
    </w:p>
    <w:p>
      <w:pPr>
        <w:spacing w:line="480" w:lineRule="auto"/>
        <w:ind w:left="432" w:hanging="432"/>
      </w:pPr>
      <w:r>
        <w:t xml:space="preserve">Hanging indent with double line spacing. Hanging indent with double line spacing. Hanging indent with double line spacing. </w:t>
      </w:r>
    </w:p>
    <w:p>
      <w:pPr>
        <w:pStyle w:val="ListBullet"/>
      </w:pPr>
      <w:r>
        <w:t>Bullet one</w:t>
      </w:r>
    </w:p>
    <w:p>
      <w:pPr>
        <w:pStyle w:val="ListBullet"/>
      </w:pPr>
      <w:r>
        <w:t>Bullet two</w:t>
      </w:r>
    </w:p>
    <w:p>
      <w:pPr>
        <w:pStyle w:val="ListBullet2"/>
      </w:pPr>
      <w:r>
        <w:t>Nested bullet</w:t>
      </w:r>
    </w:p>
    <w:p>
      <w:pPr>
        <w:pStyle w:val="ListNumber"/>
      </w:pPr>
      <w:r>
        <w:t>Numbered item one</w:t>
      </w:r>
    </w:p>
    <w:p>
      <w:pPr>
        <w:pStyle w:val="ListNumber"/>
      </w:pPr>
      <w:r>
        <w:t>Numbered item two</w:t>
      </w:r>
    </w:p>
    <w:p>
      <w:pPr>
        <w:tabs>
          <w:tab w:pos="8352" w:val="right" w:leader="dot"/>
        </w:tabs>
      </w:pPr>
      <w:r>
        <w:t>Tab leader</w:t>
        <w:tab/>
        <w:t>42</w:t>
      </w:r>
    </w:p>
    <w:p>
      <w:r>
        <w:t>Line one</w:t>
      </w:r>
      <w:r>
        <w:br/>
      </w:r>
      <w:r>
        <w:t>Line two in the same paragraph</w:t>
      </w:r>
    </w:p>
    <w:p>
      <w:r>
        <w:br w:type="page"/>
      </w:r>
    </w:p>
    <w:p>
      <w:pPr>
        <w:pStyle w:val="Heading1"/>
      </w:pPr>
      <w:r>
        <w:t>Languages and special characters</w:t>
      </w:r>
    </w:p>
    <w:p>
      <w:r>
        <w:rPr>
          <w:lang w:val="en-US"/>
        </w:rPr>
        <w:t>English: The quick brown fox jumps over the lazy dog.</w:t>
      </w:r>
    </w:p>
    <w:p>
      <w:r>
        <w:rPr>
          <w:lang w:val="el-GR"/>
        </w:rPr>
        <w:t>Ελληνικά: Καλημέρα κόσμε. ΆΈΉΊΌΎΏ — αβγδ, τελικό ς, διαλυτικά ΐ ΰ.</w:t>
      </w:r>
    </w:p>
    <w:p>
      <w:r>
        <w:rPr>
          <w:lang w:val="fr-FR"/>
        </w:rPr>
        <w:t>Français: élève, cœur, Noël; Deutsch: Straße, größer.</w:t>
      </w:r>
    </w:p>
    <w:p>
      <w:pPr>
        <w:bidi/>
        <w:jc w:val="right"/>
      </w:pPr>
      <w:r>
        <w:rPr>
          <w:lang w:val="ar-SA"/>
          <w:rtl/>
        </w:rPr>
        <w:t>العربية: مرحبا بالعالم</w:t>
      </w:r>
    </w:p>
    <w:p>
      <w:pPr>
        <w:bidi/>
        <w:jc w:val="right"/>
      </w:pPr>
      <w:r>
        <w:rPr>
          <w:lang w:val="he-IL"/>
          <w:rtl/>
        </w:rPr>
        <w:t>עברית: שלום עולם</w:t>
      </w:r>
    </w:p>
    <w:p>
      <w:r>
        <w:t>Symbols: € £ ¥ © ® ™ ± × ÷ ≤ ≥ ∞ → ← •</w:t>
      </w:r>
    </w:p>
    <w:p>
      <w:r>
        <w:t>Unicode equivalence: café / café. Nonbreaking space: 10 kg. Nonbreaking hyphen: co‑operate.</w:t>
      </w:r>
    </w:p>
    <w:p>
      <w:r>
        <w:t>Search markers: CaseSensitive casesensitive; repeated repeated; 00123; 1,234.56; 1.234,56.</w:t>
      </w:r>
    </w:p>
    <w:p>
      <w:r>
        <w:t>Expected: Greek accents, RTL order and combining marks survive a save and reopen cycle.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WORD APP TEST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and paragraph formatting</dc:title>
  <dc:subject>Synthetic compatibility fixtures</dc:subject>
  <dc:creator>Word App Test Suite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