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Charts made by LibreOffice.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319905" cy="2520315"/>
            <wp:effectExtent l="0" t="0" r="0" b="0"/>
            <wp:wrapSquare wrapText="largest"/>
            <wp:docPr id="1" name="Αντικείμενο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"/>
              </a:graphicData>
            </a:graphic>
          </wp:anchor>
        </w:drawing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319905" cy="2520315"/>
            <wp:effectExtent l="0" t="0" r="0" b="0"/>
            <wp:wrapSquare wrapText="largest"/>
            <wp:docPr id="2" name="Αντικείμενο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"/>
              </a:graphicData>
            </a:graphic>
          </wp:anchor>
        </w:drawing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319905" cy="2520315"/>
            <wp:effectExtent l="0" t="0" r="0" b="0"/>
            <wp:wrapSquare wrapText="largest"/>
            <wp:docPr id="3" name="Αντικείμενο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anchor>
        </w:drawing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319905" cy="2520315"/>
            <wp:effectExtent l="0" t="0" r="0" b="0"/>
            <wp:wrapSquare wrapText="largest"/>
            <wp:docPr id="4" name="Αντικείμενο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l-G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l-GR" w:eastAsia="zh-CN" w:bidi="hi-IN"/>
    </w:rPr>
  </w:style>
  <w:style w:type="paragraph" w:styleId="Style14">
    <w:name w:val="Επικεφαλίδα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Ευρετήριο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hart" Target="charts/chart1.xml"/><Relationship Id="rId3" Type="http://schemas.openxmlformats.org/officeDocument/2006/relationships/chart" Target="charts/chart2.xml"/><Relationship Id="rId4" Type="http://schemas.openxmlformats.org/officeDocument/2006/relationships/chart" Target="charts/chart3.xml"/><Relationship Id="rId5" Type="http://schemas.openxmlformats.org/officeDocument/2006/relationships/chart" Target="charts/chart4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c:chart>
    <c:title>
      <c:tx>
        <c:rich>
          <a:bodyPr rot="0"/>
          <a:lstStyle/>
          <a:p>
            <a:pPr>
              <a:defRPr sz="1300" b="0" u="none" strike="noStrike">
                <a:uFillTx/>
                <a:latin typeface="Arial"/>
              </a:defRPr>
            </a:pPr>
            <a:r>
              <a:rPr sz="1300" b="0" u="none" strike="noStrike">
                <a:uFillTx/>
                <a:latin typeface="Arial"/>
              </a:rPr>
              <a:t>Sales by quarter</a:t>
            </a:r>
          </a:p>
        </c:rich>
      </c:tx>
      <c:overlay val="0"/>
      <c:spPr>
        <a:noFill/>
        <a:ln w="0">
          <a:noFill/>
        </a:ln>
      </c:spPr>
    </c:title>
    <c:autoTitleDeleted val="0"/>
    <c:plotArea>
      <c:barChart>
        <c:barDir val="col"/>
        <c:grouping val="clustered"/>
        <c:varyColors val="0"/>
        <c:ser>
          <c:idx val="0"/>
          <c:order val="0"/>
          <c:tx>
            <c:strRef>
              <c:f>label 0</c:f>
              <c:strCache>
                <c:ptCount val="1"/>
                <c:pt idx="0">
                  <c:v>North</c:v>
                </c:pt>
              </c:strCache>
            </c:strRef>
          </c:tx>
          <c:spPr>
            <a:solidFill>
              <a:srgbClr val="004586"/>
            </a:solidFill>
            <a:ln w="0">
              <a:noFill/>
            </a:ln>
          </c:spPr>
          <c:invertIfNegative val="0"/>
          <c:dLbls>
            <c:txPr>
              <a:bodyPr wrap="none"/>
              <a:lstStyle/>
              <a:p>
                <a:pPr>
                  <a:defRPr sz="1000" b="0" u="none" strike="noStrike">
                    <a:uFillTx/>
                    <a:latin typeface="Arial"/>
                  </a:defRPr>
                </a:pPr>
              </a:p>
            </c:txPr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leaderLines>
              <c:spPr>
                <a:ln w="0">
                  <a:solidFill>
                    <a:srgbClr val="000000"/>
                  </a:solidFill>
                </a:ln>
              </c:spPr>
            </c:leaderLines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4"/>
                <c:pt idx="0">
                  <c:v>Q1</c:v>
                </c:pt>
                <c:pt idx="1">
                  <c:v>Q2</c:v>
                </c:pt>
                <c:pt idx="2">
                  <c:v>Q3</c:v>
                </c:pt>
                <c:pt idx="3">
                  <c:v>Q4</c:v>
                </c:pt>
              </c:strCache>
            </c:strRef>
          </c:cat>
          <c:val>
            <c:numRef>
              <c:f>0</c:f>
              <c:numCache>
                <c:formatCode>General</c:formatCode>
                <c:ptCount val="4"/>
                <c:pt idx="0">
                  <c:v>10</c:v>
                </c:pt>
                <c:pt idx="1">
                  <c:v>20</c:v>
                </c:pt>
                <c:pt idx="2">
                  <c:v>15</c:v>
                </c:pt>
                <c:pt idx="3">
                  <c:v>25</c:v>
                </c:pt>
              </c:numCache>
            </c:numRef>
          </c:val>
        </c:ser>
        <c:ser>
          <c:idx val="1"/>
          <c:order val="1"/>
          <c:tx>
            <c:strRef>
              <c:f>label 1</c:f>
              <c:strCache>
                <c:ptCount val="1"/>
                <c:pt idx="0">
                  <c:v>South</c:v>
                </c:pt>
              </c:strCache>
            </c:strRef>
          </c:tx>
          <c:spPr>
            <a:solidFill>
              <a:srgbClr val="FF420E"/>
            </a:solidFill>
            <a:ln w="0">
              <a:noFill/>
            </a:ln>
          </c:spPr>
          <c:invertIfNegative val="0"/>
          <c:dLbls>
            <c:txPr>
              <a:bodyPr wrap="none"/>
              <a:lstStyle/>
              <a:p>
                <a:pPr>
                  <a:defRPr sz="1000" b="0" u="none" strike="noStrike">
                    <a:uFillTx/>
                    <a:latin typeface="Arial"/>
                  </a:defRPr>
                </a:pPr>
              </a:p>
            </c:txPr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leaderLines>
              <c:spPr>
                <a:ln w="0">
                  <a:solidFill>
                    <a:srgbClr val="000000"/>
                  </a:solidFill>
                </a:ln>
              </c:spPr>
            </c:leaderLines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4"/>
                <c:pt idx="0">
                  <c:v>Q1</c:v>
                </c:pt>
                <c:pt idx="1">
                  <c:v>Q2</c:v>
                </c:pt>
                <c:pt idx="2">
                  <c:v>Q3</c:v>
                </c:pt>
                <c:pt idx="3">
                  <c:v>Q4</c:v>
                </c:pt>
              </c:strCache>
            </c:strRef>
          </c:cat>
          <c:val>
            <c:numRef>
              <c:f>1</c:f>
              <c:numCache>
                <c:formatCode>General</c:formatCode>
                <c:ptCount val="4"/>
                <c:pt idx="0">
                  <c:v>4</c:v>
                </c:pt>
                <c:pt idx="1">
                  <c:v>8.5</c:v>
                </c:pt>
                <c:pt idx="2">
                  <c:v>12</c:v>
                </c:pt>
                <c:pt idx="3">
                  <c:v>6</c:v>
                </c:pt>
              </c:numCache>
            </c:numRef>
          </c:val>
        </c:ser>
        <c:gapWidth val="100"/>
        <c:overlap val="0"/>
        <c:axId val="56107011"/>
        <c:axId val="66819097"/>
      </c:barChart>
      <c:catAx>
        <c:axId val="56107011"/>
        <c:scaling>
          <c:orientation val="minMax"/>
        </c:scaling>
        <c:delete val="0"/>
        <c:axPos val="b"/>
        <c:numFmt formatCode="[$-408]dd/mm/yyyy" sourceLinked="1"/>
        <c:majorTickMark val="out"/>
        <c:minorTickMark val="none"/>
        <c:tickLblPos val="nextTo"/>
        <c:spPr>
          <a:ln w="0">
            <a:solidFill>
              <a:srgbClr val="B3B3B3"/>
            </a:solidFill>
          </a:ln>
        </c:spPr>
        <c:txPr>
          <a:bodyPr/>
          <a:lstStyle/>
          <a:p>
            <a:pPr>
              <a:defRPr sz="1000" b="0" u="none" strike="noStrike">
                <a:uFillTx/>
                <a:latin typeface="Arial"/>
              </a:defRPr>
            </a:pPr>
          </a:p>
        </c:txPr>
        <c:crossAx val="66819097"/>
        <c:crosses val="autoZero"/>
        <c:auto val="1"/>
        <c:lblAlgn val="ctr"/>
        <c:lblOffset val="100"/>
        <c:noMultiLvlLbl val="0"/>
      </c:catAx>
      <c:valAx>
        <c:axId val="66819097"/>
        <c:scaling>
          <c:orientation val="minMax"/>
        </c:scaling>
        <c:delete val="0"/>
        <c:axPos val="l"/>
        <c:majorGridlines>
          <c:spPr>
            <a:ln w="0">
              <a:solidFill>
                <a:srgbClr val="B3B3B3"/>
              </a:solidFill>
            </a:ln>
          </c:spPr>
        </c:majorGridlines>
        <c:numFmt formatCode="General" sourceLinked="1"/>
        <c:majorTickMark val="out"/>
        <c:minorTickMark val="none"/>
        <c:tickLblPos val="nextTo"/>
        <c:spPr>
          <a:ln w="0">
            <a:solidFill>
              <a:srgbClr val="B3B3B3"/>
            </a:solidFill>
          </a:ln>
        </c:spPr>
        <c:txPr>
          <a:bodyPr/>
          <a:lstStyle/>
          <a:p>
            <a:pPr>
              <a:defRPr sz="1000" b="0" u="none" strike="noStrike">
                <a:uFillTx/>
                <a:latin typeface="Arial"/>
              </a:defRPr>
            </a:pPr>
          </a:p>
        </c:txPr>
        <c:crossAx val="56107011"/>
        <c:crosses val="autoZero"/>
        <c:crossBetween val="between"/>
      </c:valAx>
      <c:spPr>
        <a:solidFill>
          <a:srgbClr val="D9D9D9"/>
        </a:solidFill>
        <a:ln w="0">
          <a:noFill/>
        </a:ln>
      </c:spPr>
    </c:plotArea>
    <c:plotVisOnly val="0"/>
    <c:dispBlanksAs val="gap"/>
  </c:chart>
  <c:spPr>
    <a:solidFill>
      <a:srgbClr val="FFFFFF"/>
    </a:solidFill>
    <a:ln w="0">
      <a:noFill/>
    </a:ln>
  </c:spPr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c:chart>
    <c:title>
      <c:tx>
        <c:rich>
          <a:bodyPr rot="0"/>
          <a:lstStyle/>
          <a:p>
            <a:pPr>
              <a:defRPr sz="1300" b="0" u="none" strike="noStrike">
                <a:uFillTx/>
                <a:latin typeface="Arial"/>
              </a:defRPr>
            </a:pPr>
            <a:r>
              <a:rPr sz="1300" b="0" u="none" strike="noStrike">
                <a:uFillTx/>
                <a:latin typeface="Arial"/>
              </a:rPr>
              <a:t>Bars</a:t>
            </a:r>
          </a:p>
        </c:rich>
      </c:tx>
      <c:overlay val="0"/>
      <c:spPr>
        <a:noFill/>
        <a:ln w="0">
          <a:noFill/>
        </a:ln>
      </c:spPr>
    </c:title>
    <c:autoTitleDeleted val="0"/>
    <c:plotArea>
      <c:barChart>
        <c:barDir val="bar"/>
        <c:grouping val="clustered"/>
        <c:varyColors val="0"/>
        <c:ser>
          <c:idx val="0"/>
          <c:order val="0"/>
          <c:tx>
            <c:strRef>
              <c:f>label 0</c:f>
              <c:strCache>
                <c:ptCount val="1"/>
                <c:pt idx="0">
                  <c:v>North</c:v>
                </c:pt>
              </c:strCache>
            </c:strRef>
          </c:tx>
          <c:spPr>
            <a:solidFill>
              <a:srgbClr val="004586"/>
            </a:solidFill>
            <a:ln w="0">
              <a:noFill/>
            </a:ln>
          </c:spPr>
          <c:invertIfNegative val="0"/>
          <c:dLbls>
            <c:txPr>
              <a:bodyPr wrap="none"/>
              <a:lstStyle/>
              <a:p>
                <a:pPr>
                  <a:defRPr sz="1000" b="0" u="none" strike="noStrike">
                    <a:uFillTx/>
                    <a:latin typeface="Arial"/>
                  </a:defRPr>
                </a:pPr>
              </a:p>
            </c:txPr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leaderLines>
              <c:spPr>
                <a:ln w="0">
                  <a:solidFill>
                    <a:srgbClr val="000000"/>
                  </a:solidFill>
                </a:ln>
              </c:spPr>
            </c:leaderLines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4"/>
                <c:pt idx="0">
                  <c:v>Q1</c:v>
                </c:pt>
                <c:pt idx="1">
                  <c:v>Q2</c:v>
                </c:pt>
                <c:pt idx="2">
                  <c:v>Q3</c:v>
                </c:pt>
                <c:pt idx="3">
                  <c:v>Q4</c:v>
                </c:pt>
              </c:strCache>
            </c:strRef>
          </c:cat>
          <c:val>
            <c:numRef>
              <c:f>0</c:f>
              <c:numCache>
                <c:formatCode>General</c:formatCode>
                <c:ptCount val="4"/>
                <c:pt idx="0">
                  <c:v>10</c:v>
                </c:pt>
                <c:pt idx="1">
                  <c:v>20</c:v>
                </c:pt>
                <c:pt idx="2">
                  <c:v>15</c:v>
                </c:pt>
                <c:pt idx="3">
                  <c:v>25</c:v>
                </c:pt>
              </c:numCache>
            </c:numRef>
          </c:val>
        </c:ser>
        <c:ser>
          <c:idx val="1"/>
          <c:order val="1"/>
          <c:tx>
            <c:strRef>
              <c:f>label 1</c:f>
              <c:strCache>
                <c:ptCount val="1"/>
                <c:pt idx="0">
                  <c:v>South</c:v>
                </c:pt>
              </c:strCache>
            </c:strRef>
          </c:tx>
          <c:spPr>
            <a:solidFill>
              <a:srgbClr val="FF420E"/>
            </a:solidFill>
            <a:ln w="0">
              <a:noFill/>
            </a:ln>
          </c:spPr>
          <c:invertIfNegative val="0"/>
          <c:dLbls>
            <c:txPr>
              <a:bodyPr wrap="none"/>
              <a:lstStyle/>
              <a:p>
                <a:pPr>
                  <a:defRPr sz="1000" b="0" u="none" strike="noStrike">
                    <a:uFillTx/>
                    <a:latin typeface="Arial"/>
                  </a:defRPr>
                </a:pPr>
              </a:p>
            </c:txPr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leaderLines>
              <c:spPr>
                <a:ln w="0">
                  <a:solidFill>
                    <a:srgbClr val="000000"/>
                  </a:solidFill>
                </a:ln>
              </c:spPr>
            </c:leaderLines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4"/>
                <c:pt idx="0">
                  <c:v>Q1</c:v>
                </c:pt>
                <c:pt idx="1">
                  <c:v>Q2</c:v>
                </c:pt>
                <c:pt idx="2">
                  <c:v>Q3</c:v>
                </c:pt>
                <c:pt idx="3">
                  <c:v>Q4</c:v>
                </c:pt>
              </c:strCache>
            </c:strRef>
          </c:cat>
          <c:val>
            <c:numRef>
              <c:f>1</c:f>
              <c:numCache>
                <c:formatCode>General</c:formatCode>
                <c:ptCount val="4"/>
                <c:pt idx="0">
                  <c:v>4</c:v>
                </c:pt>
                <c:pt idx="1">
                  <c:v>8.5</c:v>
                </c:pt>
                <c:pt idx="2">
                  <c:v>12</c:v>
                </c:pt>
                <c:pt idx="3">
                  <c:v>6</c:v>
                </c:pt>
              </c:numCache>
            </c:numRef>
          </c:val>
        </c:ser>
        <c:gapWidth val="100"/>
        <c:overlap val="0"/>
        <c:axId val="49173264"/>
        <c:axId val="46844325"/>
      </c:barChart>
      <c:catAx>
        <c:axId val="49173264"/>
        <c:scaling>
          <c:orientation val="minMax"/>
        </c:scaling>
        <c:delete val="0"/>
        <c:axPos val="b"/>
        <c:numFmt formatCode="[$-408]dd/mm/yyyy" sourceLinked="1"/>
        <c:majorTickMark val="out"/>
        <c:minorTickMark val="none"/>
        <c:tickLblPos val="nextTo"/>
        <c:spPr>
          <a:ln w="0">
            <a:solidFill>
              <a:srgbClr val="B3B3B3"/>
            </a:solidFill>
          </a:ln>
        </c:spPr>
        <c:txPr>
          <a:bodyPr/>
          <a:lstStyle/>
          <a:p>
            <a:pPr>
              <a:defRPr sz="1000" b="0" u="none" strike="noStrike">
                <a:uFillTx/>
                <a:latin typeface="Arial"/>
              </a:defRPr>
            </a:pPr>
          </a:p>
        </c:txPr>
        <c:crossAx val="46844325"/>
        <c:crosses val="autoZero"/>
        <c:auto val="1"/>
        <c:lblAlgn val="ctr"/>
        <c:lblOffset val="100"/>
        <c:noMultiLvlLbl val="0"/>
      </c:catAx>
      <c:valAx>
        <c:axId val="46844325"/>
        <c:scaling>
          <c:orientation val="minMax"/>
        </c:scaling>
        <c:delete val="0"/>
        <c:axPos val="l"/>
        <c:majorGridlines>
          <c:spPr>
            <a:ln w="0">
              <a:solidFill>
                <a:srgbClr val="B3B3B3"/>
              </a:solidFill>
            </a:ln>
          </c:spPr>
        </c:majorGridlines>
        <c:numFmt formatCode="General" sourceLinked="1"/>
        <c:majorTickMark val="out"/>
        <c:minorTickMark val="none"/>
        <c:tickLblPos val="nextTo"/>
        <c:spPr>
          <a:ln w="0">
            <a:solidFill>
              <a:srgbClr val="B3B3B3"/>
            </a:solidFill>
          </a:ln>
        </c:spPr>
        <c:txPr>
          <a:bodyPr/>
          <a:lstStyle/>
          <a:p>
            <a:pPr>
              <a:defRPr sz="1000" b="0" u="none" strike="noStrike">
                <a:uFillTx/>
                <a:latin typeface="Arial"/>
              </a:defRPr>
            </a:pPr>
          </a:p>
        </c:txPr>
        <c:crossAx val="49173264"/>
        <c:crosses val="autoZero"/>
        <c:crossBetween val="between"/>
      </c:valAx>
      <c:spPr>
        <a:solidFill>
          <a:srgbClr val="D9D9D9"/>
        </a:solidFill>
        <a:ln w="0">
          <a:noFill/>
        </a:ln>
      </c:spPr>
    </c:plotArea>
    <c:plotVisOnly val="0"/>
    <c:dispBlanksAs val="gap"/>
  </c:chart>
  <c:spPr>
    <a:solidFill>
      <a:srgbClr val="FFFFFF"/>
    </a:solidFill>
    <a:ln w="0">
      <a:noFill/>
    </a:ln>
  </c:spPr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c:chart>
    <c:title>
      <c:tx>
        <c:rich>
          <a:bodyPr rot="0"/>
          <a:lstStyle/>
          <a:p>
            <a:pPr>
              <a:defRPr sz="1300" b="0" u="none" strike="noStrike">
                <a:uFillTx/>
                <a:latin typeface="Arial"/>
              </a:defRPr>
            </a:pPr>
            <a:r>
              <a:rPr sz="1300" b="0" u="none" strike="noStrike">
                <a:uFillTx/>
                <a:latin typeface="Arial"/>
              </a:rPr>
              <a:t>Trend</a:t>
            </a:r>
          </a:p>
        </c:rich>
      </c:tx>
      <c:overlay val="0"/>
      <c:spPr>
        <a:noFill/>
        <a:ln w="0">
          <a:noFill/>
        </a:ln>
      </c:spPr>
    </c:title>
    <c:autoTitleDeleted val="0"/>
    <c:plotArea>
      <c:lineChart>
        <c:grouping val="standard"/>
        <c:varyColors val="0"/>
        <c:ser>
          <c:idx val="0"/>
          <c:order val="0"/>
          <c:tx>
            <c:strRef>
              <c:f>label 0</c:f>
              <c:strCache>
                <c:ptCount val="1"/>
                <c:pt idx="0">
                  <c:v>North</c:v>
                </c:pt>
              </c:strCache>
            </c:strRef>
          </c:tx>
          <c:spPr>
            <a:solidFill>
              <a:srgbClr val="004586"/>
            </a:solidFill>
            <a:ln w="28800">
              <a:solidFill>
                <a:srgbClr val="004586"/>
              </a:solidFill>
              <a:round/>
            </a:ln>
          </c:spPr>
          <c:marker>
            <c:symbol val="square"/>
            <c:size val="8"/>
            <c:spPr>
              <a:solidFill>
                <a:srgbClr val="004586"/>
              </a:solidFill>
            </c:spPr>
          </c:marker>
          <c:dLbls>
            <c:txPr>
              <a:bodyPr wrap="none"/>
              <a:lstStyle/>
              <a:p>
                <a:pPr>
                  <a:defRPr sz="1000" b="0" u="none" strike="noStrike">
                    <a:uFillTx/>
                    <a:latin typeface="Arial"/>
                  </a:defRPr>
                </a:pPr>
              </a:p>
            </c:txPr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leaderLines>
              <c:spPr>
                <a:ln w="28800">
                  <a:solidFill>
                    <a:srgbClr val="000000"/>
                  </a:solidFill>
                </a:ln>
              </c:spPr>
            </c:leaderLines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4"/>
                <c:pt idx="0">
                  <c:v>Q1</c:v>
                </c:pt>
                <c:pt idx="1">
                  <c:v>Q2</c:v>
                </c:pt>
                <c:pt idx="2">
                  <c:v>Q3</c:v>
                </c:pt>
                <c:pt idx="3">
                  <c:v>Q4</c:v>
                </c:pt>
              </c:strCache>
            </c:strRef>
          </c:cat>
          <c:val>
            <c:numRef>
              <c:f>0</c:f>
              <c:numCache>
                <c:formatCode>General</c:formatCode>
                <c:ptCount val="4"/>
                <c:pt idx="0">
                  <c:v>10</c:v>
                </c:pt>
                <c:pt idx="1">
                  <c:v>20</c:v>
                </c:pt>
                <c:pt idx="2">
                  <c:v>15</c:v>
                </c:pt>
                <c:pt idx="3">
                  <c:v>25</c:v>
                </c:pt>
              </c:numCache>
            </c:numRef>
          </c:val>
          <c:smooth val="0"/>
        </c:ser>
        <c:ser>
          <c:idx val="1"/>
          <c:order val="1"/>
          <c:tx>
            <c:strRef>
              <c:f>label 1</c:f>
              <c:strCache>
                <c:ptCount val="1"/>
                <c:pt idx="0">
                  <c:v>South</c:v>
                </c:pt>
              </c:strCache>
            </c:strRef>
          </c:tx>
          <c:spPr>
            <a:solidFill>
              <a:srgbClr val="FF420E"/>
            </a:solidFill>
            <a:ln w="28800">
              <a:solidFill>
                <a:srgbClr val="FF420E"/>
              </a:solidFill>
              <a:round/>
            </a:ln>
          </c:spPr>
          <c:marker>
            <c:symbol val="diamond"/>
            <c:size val="8"/>
            <c:spPr>
              <a:solidFill>
                <a:srgbClr val="FF420E"/>
              </a:solidFill>
            </c:spPr>
          </c:marker>
          <c:dLbls>
            <c:txPr>
              <a:bodyPr wrap="none"/>
              <a:lstStyle/>
              <a:p>
                <a:pPr>
                  <a:defRPr sz="1000" b="0" u="none" strike="noStrike">
                    <a:uFillTx/>
                    <a:latin typeface="Arial"/>
                  </a:defRPr>
                </a:pPr>
              </a:p>
            </c:txPr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leaderLines>
              <c:spPr>
                <a:ln w="28800">
                  <a:solidFill>
                    <a:srgbClr val="000000"/>
                  </a:solidFill>
                </a:ln>
              </c:spPr>
            </c:leaderLines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4"/>
                <c:pt idx="0">
                  <c:v>Q1</c:v>
                </c:pt>
                <c:pt idx="1">
                  <c:v>Q2</c:v>
                </c:pt>
                <c:pt idx="2">
                  <c:v>Q3</c:v>
                </c:pt>
                <c:pt idx="3">
                  <c:v>Q4</c:v>
                </c:pt>
              </c:strCache>
            </c:strRef>
          </c:cat>
          <c:val>
            <c:numRef>
              <c:f>1</c:f>
              <c:numCache>
                <c:formatCode>General</c:formatCode>
                <c:ptCount val="4"/>
                <c:pt idx="0">
                  <c:v>4</c:v>
                </c:pt>
                <c:pt idx="1">
                  <c:v>8.5</c:v>
                </c:pt>
                <c:pt idx="2">
                  <c:v>12</c:v>
                </c:pt>
                <c:pt idx="3">
                  <c:v>6</c:v>
                </c:pt>
              </c:numCache>
            </c:numRef>
          </c:val>
          <c:smooth val="0"/>
        </c:ser>
        <c:hiLowLines>
          <c:spPr>
            <a:ln w="0">
              <a:noFill/>
            </a:ln>
          </c:spPr>
        </c:hiLowLines>
        <c:marker val="1"/>
        <c:axId val="21600271"/>
        <c:axId val="6053251"/>
      </c:lineChart>
      <c:catAx>
        <c:axId val="21600271"/>
        <c:scaling>
          <c:orientation val="minMax"/>
        </c:scaling>
        <c:delete val="0"/>
        <c:axPos val="b"/>
        <c:numFmt formatCode="[$-408]dd/mm/yyyy" sourceLinked="1"/>
        <c:majorTickMark val="out"/>
        <c:minorTickMark val="none"/>
        <c:tickLblPos val="nextTo"/>
        <c:spPr>
          <a:ln w="0">
            <a:solidFill>
              <a:srgbClr val="B3B3B3"/>
            </a:solidFill>
          </a:ln>
        </c:spPr>
        <c:txPr>
          <a:bodyPr/>
          <a:lstStyle/>
          <a:p>
            <a:pPr>
              <a:defRPr sz="1000" b="0" u="none" strike="noStrike">
                <a:uFillTx/>
                <a:latin typeface="Arial"/>
              </a:defRPr>
            </a:pPr>
          </a:p>
        </c:txPr>
        <c:crossAx val="6053251"/>
        <c:crosses val="autoZero"/>
        <c:auto val="1"/>
        <c:lblAlgn val="ctr"/>
        <c:lblOffset val="100"/>
        <c:noMultiLvlLbl val="0"/>
      </c:catAx>
      <c:valAx>
        <c:axId val="6053251"/>
        <c:scaling>
          <c:orientation val="minMax"/>
        </c:scaling>
        <c:delete val="0"/>
        <c:axPos val="l"/>
        <c:majorGridlines>
          <c:spPr>
            <a:ln w="0">
              <a:solidFill>
                <a:srgbClr val="B3B3B3"/>
              </a:solidFill>
            </a:ln>
          </c:spPr>
        </c:majorGridlines>
        <c:numFmt formatCode="General" sourceLinked="1"/>
        <c:majorTickMark val="out"/>
        <c:minorTickMark val="none"/>
        <c:tickLblPos val="nextTo"/>
        <c:spPr>
          <a:ln w="0">
            <a:solidFill>
              <a:srgbClr val="B3B3B3"/>
            </a:solidFill>
          </a:ln>
        </c:spPr>
        <c:txPr>
          <a:bodyPr/>
          <a:lstStyle/>
          <a:p>
            <a:pPr>
              <a:defRPr sz="1000" b="0" u="none" strike="noStrike">
                <a:uFillTx/>
                <a:latin typeface="Arial"/>
              </a:defRPr>
            </a:pPr>
          </a:p>
        </c:txPr>
        <c:crossAx val="21600271"/>
        <c:crosses val="autoZero"/>
        <c:crossBetween val="midCat"/>
      </c:valAx>
      <c:spPr>
        <a:solidFill>
          <a:srgbClr val="D9D9D9"/>
        </a:solidFill>
        <a:ln w="0">
          <a:noFill/>
        </a:ln>
      </c:spPr>
    </c:plotArea>
    <c:plotVisOnly val="0"/>
    <c:dispBlanksAs val="gap"/>
  </c:chart>
  <c:spPr>
    <a:solidFill>
      <a:srgbClr val="FFFFFF"/>
    </a:solidFill>
    <a:ln w="0">
      <a:noFill/>
    </a:ln>
  </c:spPr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c:chart>
    <c:title>
      <c:tx>
        <c:rich>
          <a:bodyPr rot="0"/>
          <a:lstStyle/>
          <a:p>
            <a:pPr>
              <a:defRPr sz="1300" b="0" u="none" strike="noStrike">
                <a:uFillTx/>
                <a:latin typeface="Arial"/>
              </a:defRPr>
            </a:pPr>
            <a:r>
              <a:rPr sz="1300" b="0" u="none" strike="noStrike">
                <a:uFillTx/>
                <a:latin typeface="Arial"/>
              </a:rPr>
              <a:t>Share</a:t>
            </a:r>
          </a:p>
        </c:rich>
      </c:tx>
      <c:overlay val="0"/>
      <c:spPr>
        <a:noFill/>
        <a:ln w="0">
          <a:noFill/>
        </a:ln>
      </c:spPr>
    </c:title>
    <c:autoTitleDeleted val="0"/>
    <c:plotArea>
      <c:pieChart>
        <c:varyColors val="1"/>
        <c:ser>
          <c:idx val="0"/>
          <c:order val="0"/>
          <c:tx>
            <c:strRef>
              <c:f>label 0</c:f>
              <c:strCache>
                <c:ptCount val="1"/>
                <c:pt idx="0">
                  <c:v>North</c:v>
                </c:pt>
              </c:strCache>
            </c:strRef>
          </c:tx>
          <c:spPr>
            <a:solidFill>
              <a:srgbClr val="004586"/>
            </a:solidFill>
            <a:ln w="0">
              <a:noFill/>
            </a:ln>
          </c:spPr>
          <c:explosion val="0"/>
          <c:dPt>
            <c:idx val="0"/>
            <c:spPr>
              <a:solidFill>
                <a:srgbClr val="004586"/>
              </a:solidFill>
              <a:ln w="0">
                <a:noFill/>
              </a:ln>
            </c:spPr>
          </c:dPt>
          <c:dPt>
            <c:idx val="1"/>
            <c:spPr>
              <a:solidFill>
                <a:srgbClr val="FF420E"/>
              </a:solidFill>
              <a:ln w="0">
                <a:noFill/>
              </a:ln>
            </c:spPr>
          </c:dPt>
          <c:dPt>
            <c:idx val="2"/>
            <c:spPr>
              <a:solidFill>
                <a:srgbClr val="FFD320"/>
              </a:solidFill>
              <a:ln w="0">
                <a:noFill/>
              </a:ln>
            </c:spPr>
          </c:dPt>
          <c:dPt>
            <c:idx val="3"/>
            <c:spPr>
              <a:solidFill>
                <a:srgbClr val="579D1C"/>
              </a:solidFill>
              <a:ln w="0">
                <a:noFill/>
              </a:ln>
            </c:spPr>
          </c:dPt>
          <c:dLbls>
            <c:dLbl>
              <c:idx val="0"/>
              <c:txPr>
                <a:bodyPr wrap="none"/>
                <a:lstStyle/>
                <a:p>
                  <a:pPr>
                    <a:defRPr sz="1000" b="0" u="none" strike="noStrike">
                      <a:uFillTx/>
                      <a:latin typeface="Arial"/>
                    </a:defRPr>
                  </a:pPr>
                </a:p>
              </c:txPr>
              <c:showLegendKey val="0"/>
              <c:showVal val="0"/>
              <c:showCatName val="0"/>
              <c:showSerName val="0"/>
              <c:showPercent val="0"/>
              <c:separator> </c:separator>
            </c:dLbl>
            <c:dLbl>
              <c:idx val="1"/>
              <c:txPr>
                <a:bodyPr wrap="none"/>
                <a:lstStyle/>
                <a:p>
                  <a:pPr>
                    <a:defRPr sz="1000" b="0" u="none" strike="noStrike">
                      <a:uFillTx/>
                      <a:latin typeface="Arial"/>
                    </a:defRPr>
                  </a:pPr>
                </a:p>
              </c:txPr>
              <c:showLegendKey val="0"/>
              <c:showVal val="0"/>
              <c:showCatName val="0"/>
              <c:showSerName val="0"/>
              <c:showPercent val="0"/>
              <c:separator> </c:separator>
            </c:dLbl>
            <c:dLbl>
              <c:idx val="2"/>
              <c:txPr>
                <a:bodyPr wrap="none"/>
                <a:lstStyle/>
                <a:p>
                  <a:pPr>
                    <a:defRPr sz="1000" b="0" u="none" strike="noStrike">
                      <a:uFillTx/>
                      <a:latin typeface="Arial"/>
                    </a:defRPr>
                  </a:pPr>
                </a:p>
              </c:txPr>
              <c:showLegendKey val="0"/>
              <c:showVal val="0"/>
              <c:showCatName val="0"/>
              <c:showSerName val="0"/>
              <c:showPercent val="0"/>
              <c:separator> </c:separator>
            </c:dLbl>
            <c:dLbl>
              <c:idx val="3"/>
              <c:txPr>
                <a:bodyPr wrap="none"/>
                <a:lstStyle/>
                <a:p>
                  <a:pPr>
                    <a:defRPr sz="1000" b="0" u="none" strike="noStrike">
                      <a:uFillTx/>
                      <a:latin typeface="Arial"/>
                    </a:defRPr>
                  </a:pPr>
                </a:p>
              </c:txPr>
              <c:showLegendKey val="0"/>
              <c:showVal val="0"/>
              <c:showCatName val="0"/>
              <c:showSerName val="0"/>
              <c:showPercent val="0"/>
              <c:separator> </c:separator>
            </c:dLbl>
            <c:txPr>
              <a:bodyPr wrap="none"/>
              <a:lstStyle/>
              <a:p>
                <a:pPr>
                  <a:defRPr sz="1000" b="0" u="none" strike="noStrike">
                    <a:uFillTx/>
                    <a:latin typeface="Arial"/>
                  </a:defRPr>
                </a:pPr>
              </a:p>
            </c:txPr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leaderLines>
              <c:spPr>
                <a:ln w="0">
                  <a:solidFill>
                    <a:srgbClr val="000000"/>
                  </a:solidFill>
                </a:ln>
              </c:spPr>
            </c:leaderLines>
          </c:dLbls>
          <c:cat>
            <c:strRef>
              <c:f>categories</c:f>
              <c:strCache>
                <c:ptCount val="4"/>
                <c:pt idx="0">
                  <c:v>Q1</c:v>
                </c:pt>
                <c:pt idx="1">
                  <c:v>Q2</c:v>
                </c:pt>
                <c:pt idx="2">
                  <c:v>Q3</c:v>
                </c:pt>
                <c:pt idx="3">
                  <c:v>Q4</c:v>
                </c:pt>
              </c:strCache>
            </c:strRef>
          </c:cat>
          <c:val>
            <c:numRef>
              <c:f>0</c:f>
              <c:numCache>
                <c:formatCode>General</c:formatCode>
                <c:ptCount val="4"/>
                <c:pt idx="0">
                  <c:v>10</c:v>
                </c:pt>
                <c:pt idx="1">
                  <c:v>20</c:v>
                </c:pt>
                <c:pt idx="2">
                  <c:v>15</c:v>
                </c:pt>
                <c:pt idx="3">
                  <c:v>25</c:v>
                </c:pt>
              </c:numCache>
            </c:numRef>
          </c:val>
        </c:ser>
        <c:ser>
          <c:idx val="1"/>
          <c:order val="1"/>
          <c:tx>
            <c:strRef>
              <c:f>label 1</c:f>
              <c:strCache>
                <c:ptCount val="1"/>
                <c:pt idx="0">
                  <c:v>South</c:v>
                </c:pt>
              </c:strCache>
            </c:strRef>
          </c:tx>
          <c:spPr>
            <a:solidFill>
              <a:srgbClr val="FF420E"/>
            </a:solidFill>
            <a:ln w="0">
              <a:noFill/>
            </a:ln>
          </c:spPr>
          <c:explosion val="0"/>
          <c:dPt>
            <c:idx val="0"/>
            <c:spPr>
              <a:solidFill>
                <a:srgbClr val="004586"/>
              </a:solidFill>
              <a:ln w="0">
                <a:noFill/>
              </a:ln>
            </c:spPr>
          </c:dPt>
          <c:dPt>
            <c:idx val="1"/>
            <c:spPr>
              <a:solidFill>
                <a:srgbClr val="FF420E"/>
              </a:solidFill>
              <a:ln w="0">
                <a:noFill/>
              </a:ln>
            </c:spPr>
          </c:dPt>
          <c:dPt>
            <c:idx val="2"/>
            <c:spPr>
              <a:solidFill>
                <a:srgbClr val="FFD320"/>
              </a:solidFill>
              <a:ln w="0">
                <a:noFill/>
              </a:ln>
            </c:spPr>
          </c:dPt>
          <c:dPt>
            <c:idx val="3"/>
            <c:spPr>
              <a:solidFill>
                <a:srgbClr val="579D1C"/>
              </a:solidFill>
              <a:ln w="0">
                <a:noFill/>
              </a:ln>
            </c:spPr>
          </c:dPt>
          <c:dLbls>
            <c:dLbl>
              <c:idx val="0"/>
              <c:txPr>
                <a:bodyPr wrap="none"/>
                <a:lstStyle/>
                <a:p>
                  <a:pPr>
                    <a:defRPr sz="1000" b="0" u="none" strike="noStrike">
                      <a:uFillTx/>
                      <a:latin typeface="Arial"/>
                    </a:defRPr>
                  </a:pPr>
                </a:p>
              </c:txPr>
              <c:showLegendKey val="0"/>
              <c:showVal val="0"/>
              <c:showCatName val="0"/>
              <c:showSerName val="0"/>
              <c:showPercent val="0"/>
              <c:separator> </c:separator>
            </c:dLbl>
            <c:dLbl>
              <c:idx val="1"/>
              <c:txPr>
                <a:bodyPr wrap="none"/>
                <a:lstStyle/>
                <a:p>
                  <a:pPr>
                    <a:defRPr sz="1000" b="0" u="none" strike="noStrike">
                      <a:uFillTx/>
                      <a:latin typeface="Arial"/>
                    </a:defRPr>
                  </a:pPr>
                </a:p>
              </c:txPr>
              <c:showLegendKey val="0"/>
              <c:showVal val="0"/>
              <c:showCatName val="0"/>
              <c:showSerName val="0"/>
              <c:showPercent val="0"/>
              <c:separator> </c:separator>
            </c:dLbl>
            <c:dLbl>
              <c:idx val="2"/>
              <c:txPr>
                <a:bodyPr wrap="none"/>
                <a:lstStyle/>
                <a:p>
                  <a:pPr>
                    <a:defRPr sz="1000" b="0" u="none" strike="noStrike">
                      <a:uFillTx/>
                      <a:latin typeface="Arial"/>
                    </a:defRPr>
                  </a:pPr>
                </a:p>
              </c:txPr>
              <c:showLegendKey val="0"/>
              <c:showVal val="0"/>
              <c:showCatName val="0"/>
              <c:showSerName val="0"/>
              <c:showPercent val="0"/>
              <c:separator> </c:separator>
            </c:dLbl>
            <c:dLbl>
              <c:idx val="3"/>
              <c:txPr>
                <a:bodyPr wrap="none"/>
                <a:lstStyle/>
                <a:p>
                  <a:pPr>
                    <a:defRPr sz="1000" b="0" u="none" strike="noStrike">
                      <a:uFillTx/>
                      <a:latin typeface="Arial"/>
                    </a:defRPr>
                  </a:pPr>
                </a:p>
              </c:txPr>
              <c:showLegendKey val="0"/>
              <c:showVal val="0"/>
              <c:showCatName val="0"/>
              <c:showSerName val="0"/>
              <c:showPercent val="0"/>
              <c:separator> </c:separator>
            </c:dLbl>
            <c:txPr>
              <a:bodyPr wrap="none"/>
              <a:lstStyle/>
              <a:p>
                <a:pPr>
                  <a:defRPr sz="1000" b="0" u="none" strike="noStrike">
                    <a:uFillTx/>
                    <a:latin typeface="Arial"/>
                  </a:defRPr>
                </a:pPr>
              </a:p>
            </c:txPr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leaderLines>
              <c:spPr>
                <a:ln w="0">
                  <a:solidFill>
                    <a:srgbClr val="000000"/>
                  </a:solidFill>
                </a:ln>
              </c:spPr>
            </c:leaderLines>
          </c:dLbls>
          <c:cat>
            <c:strRef>
              <c:f>categories</c:f>
              <c:strCache>
                <c:ptCount val="4"/>
                <c:pt idx="0">
                  <c:v>Q1</c:v>
                </c:pt>
                <c:pt idx="1">
                  <c:v>Q2</c:v>
                </c:pt>
                <c:pt idx="2">
                  <c:v>Q3</c:v>
                </c:pt>
                <c:pt idx="3">
                  <c:v>Q4</c:v>
                </c:pt>
              </c:strCache>
            </c:strRef>
          </c:cat>
          <c:val>
            <c:numRef>
              <c:f>1</c:f>
              <c:numCache>
                <c:formatCode>General</c:formatCode>
                <c:ptCount val="4"/>
                <c:pt idx="0">
                  <c:v>4</c:v>
                </c:pt>
                <c:pt idx="1">
                  <c:v>8.5</c:v>
                </c:pt>
                <c:pt idx="2">
                  <c:v>12</c:v>
                </c:pt>
                <c:pt idx="3">
                  <c:v>6</c:v>
                </c:pt>
              </c:numCache>
            </c:numRef>
          </c:val>
        </c:ser>
        <c:firstSliceAng val="0"/>
      </c:pieChart>
      <c:spPr>
        <a:solidFill>
          <a:srgbClr val="D9D9D9"/>
        </a:solidFill>
        <a:ln w="0">
          <a:noFill/>
        </a:ln>
      </c:spPr>
    </c:plotArea>
    <c:plotVisOnly val="0"/>
  </c:chart>
  <c:spPr>
    <a:solidFill>
      <a:srgbClr val="FFFFFF"/>
    </a:solidFill>
    <a:ln w="0">
      <a:noFill/>
    </a:ln>
  </c:spPr>
</c:chartSpace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LibreOffice/26.2.5.2$Linux_X86_64 LibreOffice_project/620$Build-2</Application>
  <AppVersion>15.0000</AppVersion>
  <Pages>1</Pages>
  <Words>4</Words>
  <Characters>24</Characters>
  <CharactersWithSpaces>27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el-GR</dc:language>
  <cp:lastModifiedBy/>
  <dcterms:modified xsi:type="dcterms:W3CDTF">2026-09-30T22:09:49Z</dcterms:modified>
  <cp:revision>1</cp:revision>
  <dc:subject/>
  <dc:title/>
</cp:coreProperties>
</file>