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0" w:lineRule="auto"/>
        <w:jc w:val="center"/>
        <w:rPr>
          <w:rFonts w:ascii="Rubik" w:cs="Rubik" w:eastAsia="Rubik" w:hAnsi="Rubik"/>
          <w:b w:val="1"/>
          <w:bCs w:val="1"/>
          <w:color w:val="315253"/>
        </w:rPr>
      </w:pPr>
      <w:bookmarkStart w:colFirst="0" w:colLast="0" w:name="_i16kghm08ar4" w:id="0"/>
      <w:bookmarkEnd w:id="0"/>
      <w:r w:rsidDel="00000000" w:rsidR="00000000" w:rsidRPr="00000000">
        <w:rPr>
          <w:rFonts w:ascii="Rubik" w:cs="Rubik" w:eastAsia="Rubik" w:hAnsi="Rubik"/>
          <w:b w:val="1"/>
          <w:bCs w:val="1"/>
          <w:color w:val="315253"/>
          <w:rtl w:val="0"/>
        </w:rPr>
        <w:t xml:space="preserve">ОБЩИ УСЛОВИЯ ЗА ПОЛЗВАНЕ </w:t>
      </w:r>
    </w:p>
    <w:p w:rsidR="00000000" w:rsidDel="00000000" w:rsidP="00000000" w:rsidRDefault="00000000" w:rsidRPr="00000000" w14:paraId="00000002">
      <w:pPr>
        <w:pStyle w:val="Heading2"/>
        <w:keepNext w:val="0"/>
        <w:keepLines w:val="0"/>
        <w:spacing w:before="0" w:lineRule="auto"/>
        <w:jc w:val="center"/>
        <w:rPr>
          <w:rFonts w:ascii="Noto Sans" w:cs="Noto Sans" w:eastAsia="Noto Sans" w:hAnsi="Noto Sans"/>
          <w:b w:val="1"/>
          <w:bCs w:val="1"/>
          <w:color w:val="315253"/>
          <w:sz w:val="23.91033935546875"/>
          <w:szCs w:val="23.91033935546875"/>
        </w:rPr>
      </w:pPr>
      <w:bookmarkStart w:colFirst="0" w:colLast="0" w:name="_x21gsy7sblm5" w:id="1"/>
      <w:bookmarkEnd w:id="1"/>
      <w:r w:rsidDel="00000000" w:rsidR="00000000" w:rsidRPr="00000000">
        <w:rPr>
          <w:rFonts w:ascii="Rubik" w:cs="Rubik" w:eastAsia="Rubik" w:hAnsi="Rubik"/>
          <w:b w:val="1"/>
          <w:bCs w:val="1"/>
          <w:color w:val="315253"/>
          <w:rtl w:val="0"/>
        </w:rPr>
        <w:t xml:space="preserve">(TERMS &amp; CONDITIONS) </w:t>
      </w:r>
      <w:r w:rsidDel="00000000" w:rsidR="00000000" w:rsidRPr="00000000">
        <w:rPr>
          <w:rtl w:val="0"/>
        </w:rPr>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Настоящите Общи условия уреждат използването на Платформата FoodSave от крайни потребители, поръчването и плащането на храна от независими търговски обекти, личното получаване на поръчките, рекламациите и отношенията между потребителя, FoodSave и съответния търговски обект.</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Важно:</w:t>
      </w:r>
      <w:r w:rsidDel="00000000" w:rsidR="00000000" w:rsidRPr="00000000">
        <w:rPr>
          <w:rFonts w:ascii="Rubik" w:cs="Rubik" w:eastAsia="Rubik" w:hAnsi="Rubik"/>
          <w:rtl w:val="0"/>
        </w:rPr>
        <w:t xml:space="preserve"> FoodSave предоставя технологична и посредническа услуга. Продавач на храната е посоченият в конкретната оферта търговски обект. Текстът е проект и следва да бъде одобрен от юридически и счетоводен консултант преди публикуване.</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 Доставчик на Платформата и контакти</w:t>
      </w:r>
      <w:r w:rsidDel="00000000" w:rsidR="00000000" w:rsidRPr="00000000">
        <w:rPr>
          <w:rtl w:val="0"/>
        </w:rPr>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Платформата се управлява от „ФУУДСЕЙФ“ ООД, ЕИК 208808740, със седалище и адрес на управление: гр. Стара Загора, ул. „Братя Жекови“ № 31, ет. 5, ап. 10, представлявано от Деян Руменов Николов, наричано по-долу „FoodSave“, „ние“ или „нас“.</w:t>
      </w:r>
    </w:p>
    <w:p w:rsidR="00000000" w:rsidDel="00000000" w:rsidP="00000000" w:rsidRDefault="00000000" w:rsidRPr="00000000" w14:paraId="00000007">
      <w:pPr>
        <w:widowControl w:val="0"/>
        <w:pBdr>
          <w:top w:color="auto" w:space="0" w:sz="0" w:val="none"/>
          <w:left w:color="auto" w:space="-18" w:sz="0" w:val="none"/>
          <w:bottom w:color="auto" w:space="0" w:sz="0" w:val="none"/>
          <w:right w:color="auto" w:space="0" w:sz="0" w:val="none"/>
          <w:between w:color="auto" w:space="0" w:sz="0" w:val="none"/>
        </w:pBdr>
        <w:shd w:fill="ffffff" w:val="clear"/>
        <w:spacing w:after="120" w:line="268.8" w:lineRule="auto"/>
        <w:ind w:left="720" w:hanging="360"/>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Имейл: contact@foodsave.tech</w:t>
      </w:r>
    </w:p>
    <w:p w:rsidR="00000000" w:rsidDel="00000000" w:rsidP="00000000" w:rsidRDefault="00000000" w:rsidRPr="00000000" w14:paraId="00000008">
      <w:pPr>
        <w:widowControl w:val="0"/>
        <w:pBdr>
          <w:top w:color="auto" w:space="0" w:sz="0" w:val="none"/>
          <w:left w:color="auto" w:space="-18" w:sz="0" w:val="none"/>
          <w:bottom w:color="auto" w:space="0" w:sz="0" w:val="none"/>
          <w:right w:color="auto" w:space="0" w:sz="0" w:val="none"/>
          <w:between w:color="auto" w:space="0" w:sz="0" w:val="none"/>
        </w:pBdr>
        <w:shd w:fill="ffffff" w:val="clear"/>
        <w:spacing w:after="120" w:line="268.8" w:lineRule="auto"/>
        <w:ind w:left="720" w:hanging="360"/>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Уебсайт: www.foodsave.tech</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2. Определения</w:t>
      </w:r>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Платформа</w:t>
      </w:r>
      <w:r w:rsidDel="00000000" w:rsidR="00000000" w:rsidRPr="00000000">
        <w:rPr>
          <w:rFonts w:ascii="Rubik" w:cs="Rubik" w:eastAsia="Rubik" w:hAnsi="Rubik"/>
          <w:rtl w:val="0"/>
        </w:rPr>
        <w:t xml:space="preserve"> — мобилното приложение FoodSave, уебсайтът и свързаните потребителски функционалности.</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Потребител</w:t>
      </w:r>
      <w:r w:rsidDel="00000000" w:rsidR="00000000" w:rsidRPr="00000000">
        <w:rPr>
          <w:rFonts w:ascii="Rubik" w:cs="Rubik" w:eastAsia="Rubik" w:hAnsi="Rubik"/>
          <w:rtl w:val="0"/>
        </w:rPr>
        <w:t xml:space="preserve"> — физическо лице, което използва Платформата извън рамките на своята търговска или професионална дейност.</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Търговски обект</w:t>
      </w:r>
      <w:r w:rsidDel="00000000" w:rsidR="00000000" w:rsidRPr="00000000">
        <w:rPr>
          <w:rFonts w:ascii="Rubik" w:cs="Rubik" w:eastAsia="Rubik" w:hAnsi="Rubik"/>
          <w:rtl w:val="0"/>
        </w:rPr>
        <w:t xml:space="preserve"> — независим търговец, който публикува оферти и продава храната на Потребителя.</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Оферта</w:t>
      </w:r>
      <w:r w:rsidDel="00000000" w:rsidR="00000000" w:rsidRPr="00000000">
        <w:rPr>
          <w:rFonts w:ascii="Rubik" w:cs="Rubik" w:eastAsia="Rubik" w:hAnsi="Rubik"/>
          <w:rtl w:val="0"/>
        </w:rPr>
        <w:t xml:space="preserve"> — публикувано от Търговския обект предложение за конкретен продукт или пакет при посочени цена, количество и период за получаване.</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Поръчка</w:t>
      </w:r>
      <w:r w:rsidDel="00000000" w:rsidR="00000000" w:rsidRPr="00000000">
        <w:rPr>
          <w:rFonts w:ascii="Rubik" w:cs="Rubik" w:eastAsia="Rubik" w:hAnsi="Rubik"/>
          <w:rtl w:val="0"/>
        </w:rPr>
        <w:t xml:space="preserve"> — заявка на Потребителя за покупка на една или повече оферти чрез Платформата.</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Код за получаване</w:t>
      </w:r>
      <w:r w:rsidDel="00000000" w:rsidR="00000000" w:rsidRPr="00000000">
        <w:rPr>
          <w:rFonts w:ascii="Rubik" w:cs="Rubik" w:eastAsia="Rubik" w:hAnsi="Rubik"/>
          <w:rtl w:val="0"/>
        </w:rPr>
        <w:t xml:space="preserve"> — уникален QR или цифров код, чрез който се удостоверява правото за получаване на Поръчката.</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Времеви прозорец</w:t>
      </w:r>
      <w:r w:rsidDel="00000000" w:rsidR="00000000" w:rsidRPr="00000000">
        <w:rPr>
          <w:rFonts w:ascii="Rubik" w:cs="Rubik" w:eastAsia="Rubik" w:hAnsi="Rubik"/>
          <w:rtl w:val="0"/>
        </w:rPr>
        <w:t xml:space="preserve"> — периодът, посочен в Офертата и потвърждението, през който Поръчката трябва да бъде получена лично.</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b w:val="1"/>
          <w:bCs w:val="1"/>
          <w:rtl w:val="0"/>
        </w:rPr>
        <w:t xml:space="preserve">Технологична такса</w:t>
      </w:r>
      <w:r w:rsidDel="00000000" w:rsidR="00000000" w:rsidRPr="00000000">
        <w:rPr>
          <w:rFonts w:ascii="Rubik" w:cs="Rubik" w:eastAsia="Rubik" w:hAnsi="Rubik"/>
          <w:rtl w:val="0"/>
        </w:rPr>
        <w:t xml:space="preserve"> — възнаграждението на FoodSave за предоставената технологична и посредническа услуга, когато такава такса е приложима и е показана преди плащането.</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3. Приемане на условията и потребителски профил</w:t>
      </w:r>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3.1. Потребителят приема Общите условия чрез изрично действие при регистрация и, когато е приложимо, преди финализиране на Поръчка. Самото изтегляне на приложението не се счита за приемане.</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3.2. Профил може да създаде лице, навършило 14 години. Лице под 14 години не може да създава или използва самостоятелен профил. Потребител между 14 и 18 години използва Платформата за обичайни покупки с ограничена стойност и със знанието или съгласието на родител или законен представител, когато законът го изисква.</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3.3. Потребителят предоставя верни и актуални име, фамилия, имейл и телефон, пази данните за достъп и уведомява FoodSave при съмнение за неразрешен достъп.</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3.4. Потребителят може да изтрие профила си чрез приложението. Изтриването не прекратява неизпълнени Поръчки и не заличава информация, която трябва да бъде запазена по закон или за защита на правни претенции.</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4. Роля на FoodSave и на Търговския обект</w:t>
      </w:r>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4.1. FoodSave управлява Платформата, показва Офертите, осигурява технологичния процес по заявяване и плащане и подпомага комуникацията при проблем. FoodSave не приготвя, пакетира, съхранява или доставя храната и не е продавач по договора за нейната покупко-продажба.</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4.2. Договорът за покупко-продажба на храната се сключва между Потребителя и Търговския обект, ясно идентифициран в Офертата. Търговският обект отговаря за наличността, съответствието, безопасността, състава, количеството, обозначаването на алергени и предаването на храната.</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4.3. Между Потребителя и FoodSave възниква отделно правоотношение за използване на Платформата и за приложимата технологична и посредническа услуга.</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4.4. Нищо в тези условия не ограничава задължителни права на Потребителя спрямо продавача или FoodSave съгласно приложимото законодателство.</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5. Оферти и информация преди поръчка</w:t>
      </w:r>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5.1. Търговският обект определя съдържанието на Офертата, редовната и намалената цена, количеството, Времевия прозорец, адреса за получаване, описанието и информацията за алергени. Поради характера на спасената храна наличностите са ограничени и могат да се променят бързо.</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5.2. Преди подаване на Поръчката Потребителят вижда най-малко самоличността на продавача, основните характеристики на храната, крайната цена на храната, приложимата Технологична такса, общата дължима сума, начина на плащане, мястото и периода за получаване и ограниченията на правото на отказ.</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5.3. Снимките могат да бъдат илюстративни, само когато това е ясно обозначено. Съществените характеристики, количеството и алергенната информация не могат да бъдат заменени с обща илюстрация.</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6. Поръчка и сключване на договор</w:t>
      </w:r>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6.1. Преди плащане Потребителят може да прегледа и коригира избраните продукти и данните на Поръчката. С натискане на бутон, ясно указващ задължение за плащане, Потребителят подава платена заявка.</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6.2. Договорът за покупко-продажба се счита за сключен, когато плащането е успешно потвърдено и Платформата изпрати потвърждение на Поръчката и Код за получаване. При отказано или неприключило плащане договор не се сключва.</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6.3. Потвърждението съдържа съществената информация за Поръчката и е достъпно в профила. Потребителят трябва да провери данните и своевременно да съобщи за очевидна грешка.</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6.4. При техническо дублиране, очевидна грешка или фактическа липса на продукта Поръчката може да бъде отменена и всички съответно платени суми се възстановяват, без това да ограничава други задължителни права.</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7. Цени технологична такса и плащане</w:t>
      </w:r>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7.1. Цените се показват в евро и включват приложимите данъци. Редовната и намалената цена се посочват от Търговския обект при спазване на приложимите правила за намаления и обозначаване на цени.</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7.2. Когато FoodSave начислява Технологична такса, нейният точен размер и общата крайна сума се показват отделно и ясно преди Потребителят да поеме задължение за плащане. Таксата е под 1 евро към датата на тази версия, но конкретният размер се определя и визуализира при Checkout. FoodSave не може да начисли непоказана такса след потвърждаването.</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7.3. Плащанията се обработват чрез Stripe и наличните в приложението платежни методи. Потребителят трябва да използва платежен инструмент, който има право да използва.</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7.4. FoodSave не получава и не съхранява пълния номер на картата или CVC/CVV, включително при запазване на карта. Stripe обработва и съхранява платежния метод, а FoodSave получава идентификатор и ограничена информация, необходима за плащането и поддръжката.</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7.5. Документът за продажбата на храната и документът за евентуалната Технологична такса се издават от съответното задължено лице съгласно приложимите данъчни и счетоводни правила и се предоставят по приложимия за интеграцията начин.</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8. Получаване на поръчката</w:t>
      </w:r>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8.1. Освен ако изрично не е въведена отделна услуга за доставка, Поръчките се получават лично от адреса и във Времевия прозорец, посочени в потвърждението.</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8.2. Потребителят представя Кода за получаване. Кодът е уникален и не трябва да се споделя с лице, което няма право да получи Поръчката. Поръчката се счита за предадена след валидиране на кода от Търговския обект.</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8.3. Потребителят проверява при получаване дали Поръчката съответства видимо на потвърждението. При липса, грешен продукт, нарушена опаковка, видима негодност или проблем с кода той трябва, когато е възможно, да уведоми служителя преди да напусне обекта и да подаде сигнал чрез поддръжката.</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9. Отказ от поръчката и неявяване</w:t>
      </w:r>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9.1. За храни, които могат бързо да влошат качеството си или имат кратък срок на годност, законовото право на 14-дневен отказ от договор от разстояние не се прилага в предвидените от закона случаи. Това не отнема правата при несъответстваща, опасна, липсваща или непредадена храна.</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9.2. След сключване на договора Потребителят няма общо право да отмени Поръчката поради промяна на намерението, освен ако Платформата изрично предлага такава възможност или законът изисква друго.</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9.3. Ако Потребителят не се яви до края на Времевия прозорец, Търговският обект не е длъжен да пази храната. По правило сумата за храната и Технологичната такса не се възстановяват, освен когато неявяването е причинено от доказан проблем, за който отговаря Търговският обект или FoodSave, или законът изисква възстановяване.</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15253"/>
          <w:sz w:val="28"/>
          <w:szCs w:val="28"/>
        </w:rPr>
      </w:pPr>
      <w:r w:rsidDel="00000000" w:rsidR="00000000" w:rsidRPr="00000000">
        <w:rPr>
          <w:rFonts w:ascii="Rubik" w:cs="Rubik" w:eastAsia="Rubik" w:hAnsi="Rubik"/>
          <w:b w:val="1"/>
          <w:bCs w:val="1"/>
          <w:color w:val="315253"/>
          <w:sz w:val="28"/>
          <w:szCs w:val="28"/>
          <w:rtl w:val="0"/>
        </w:rPr>
        <w:t xml:space="preserve">10. Рекламации и възстановяване на суми</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10.1. Потребителят може да подаде рекламация чрез секцията за помощ в приложението или на contact@foodsave.tech. За бързо разглеждане следва да посочи номера на Поръчката, проблема и наличните доказателства. Снимка се изисква само когато е относима и разумно необходима.</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10.2. Сигналът следва да бъде подаден възможно най-скоро, препоръчително до 48 часа от получаването или края на Времевия прозорец. Този оперативен срок не погасява задължителни законови права или срокове.</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10.3. Основания за пълно или частично възстановяване могат да бъдат: затворен обект; непредадена или липсваща храна; технически проблем, попречил на получаването; неправилен или непълен продукт; несъответствие с Офертата; видимо негодна или опасна храна; липсваща задължителна информация за алергени; двойно или неправилно таксуване; друго основание по закон.</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10.4. FoodSave може да координира разглеждането с Търговския обект и платежния доставчик. Решението се съобщава в разумен срок. Одобрената сума се нарежда към първоначалния платежен метод без неоправдано забавяне; срокът за отразяване зависи и от банката или картовия оператор.</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10.5. При частично неизпълнение може да бъде възстановена съответната част от цената. Възстановяването на Технологичната такса се определя според причината за проблема, извършената услуга и приложимото право.</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11. Безопасност на храната и алергени</w:t>
      </w:r>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11.1. Търговският обект отговаря за законосъобразното приготвяне, съхранение, опаковане, етикетиране и предоставяне на храната и за точността на информацията за съставките и алергените.</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11.2. Потребител с алергия или непоносимост трябва да провери публикуваната информация преди поръчка. При липсваща, неясна или противоречива алергенна информация Потребителят не следва да поръчва продукта и може да поиска информация от Търговския обект или FoodSave.</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11.3. Клауза, която възлага информацията и безопасността на Търговския обект, не освобождава FoodSave от собствени законови задължения като оператор на Платформата.</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12. Достъпност и техническа работа</w:t>
      </w:r>
      <w:r w:rsidDel="00000000" w:rsidR="00000000" w:rsidRPr="00000000">
        <w:rPr>
          <w:rtl w:val="0"/>
        </w:rPr>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12.1. FoodSave полага разумни грижи за достъпността и сигурността на Платформата, но не гарантира непрекъсната работа. Временни прекъсвания са възможни при поддръжка, актуализация, повреда, проблем на външен доставчик или обстоятелство извън разумния контрол на FoodSave.</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12.2. Ограничението не засяга отговорността за вече платена Поръчка. При технически проблем FoodSave предприема разумни действия за възстановяване на услугата и уреждане на засегнатите плащания.</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13. Допустимо използване и ограничаване на профил</w:t>
      </w:r>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13.1. Забранени са измама, използване на чужд платежен инструмент без разрешение, манипулиране на кодове или оферти, автоматизирано натоварване, злоупотреба с рекламации, заплахи и агресивно поведение.</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13.2. FoodSave може временно да ограничи или прекрати профил при основателно съмнение за нарушение, риск за сигурността или законово задължение. Освен при неотложен риск, Потребителят се уведомява за причината и получава разумна възможност да възрази.</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13.3. Ограничаването на профила не лишава Потребителя от достъп до информация и съдействие, необходими за текуща Поръчка, рекламация, възстановяване или упражняване на законово право.</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14. Интелектуална собственост</w:t>
      </w:r>
      <w:r w:rsidDel="00000000" w:rsidR="00000000" w:rsidRPr="00000000">
        <w:rPr>
          <w:rtl w:val="0"/>
        </w:rPr>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14.1. Софтуерът, дизайнът, базите данни, текстовете и знаците на FoodSave са защитени от приложимото право. Потребителят получава ограничено, лично, неизключително и непрехвърлимо право да използва Платформата по предназначение.</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14.2. Съдържанието, публикувано от Търговски обект, остава под отговорността на съответния източник. Не се допуска копиране, извличане или търговско използване на Платформата извън разрешеното от закона.</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15. Лични данни и електронни съобщения</w:t>
      </w:r>
      <w:r w:rsidDel="00000000" w:rsidR="00000000" w:rsidRPr="00000000">
        <w:rPr>
          <w:rtl w:val="0"/>
        </w:rPr>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15.1. Обработването на лични данни е описано в Политиката за поверителност. Бисквитките, SDK и сходните технологии са описани в отделната Политика за бисквитките и сходните технологии.</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15.2. Оперативни съобщения за профил, плащане, Поръчка и сигурност са част от услугата. Маркетингови push известия се изпращат само при приложимо съгласие и могат да се изключват отделно.</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16. Отговорност</w:t>
      </w:r>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16.1. Всяка страна отговаря за собствените си действия и задължения. Търговският обект отговаря като продавач на храната. FoodSave отговаря за собствената си технологична и посредническа услуга съгласно приложимото право.</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16.2. FoodSave не носи отговорност за непреки или непредвидими вреди, доколкото подобно ограничение е допустимо. Не се изключва или ограничава отговорност, която не може да бъде изключена по закон, включително за умисъл или груба небрежност, телесно увреждане, нарушение на задължителни потребителски права или собствени нарушения на FoodSave.</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17. Промени прекратяване и запазване на условията</w:t>
      </w:r>
      <w:r w:rsidDel="00000000" w:rsidR="00000000" w:rsidRPr="00000000">
        <w:rPr>
          <w:rtl w:val="0"/>
        </w:rPr>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17.1. FoodSave може да актуализира Общите условия при законова, функционална, технологична или бизнес промяна. Актуалната версия и датата ѝ се публикуват в Платформата.</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17.2. За съществени промени Потребителят се уведомява предварително по подходящ начин и, когато е необходимо, се иска ново приемане преди следваща Поръчка. Промените не засягат обратно вече сключени договори, освен ако законът допуска или изисква друго.</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17.3. Потребителят може да прекрати използването и да изтрие профила си. Разпоредбите за плащания, рекламации, отговорност и спорове продължават да се прилагат към възникнали преди прекратяването отношения.</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65f91"/>
          <w:sz w:val="28"/>
          <w:szCs w:val="28"/>
        </w:rPr>
      </w:pPr>
      <w:r w:rsidDel="00000000" w:rsidR="00000000" w:rsidRPr="00000000">
        <w:rPr>
          <w:rFonts w:ascii="Rubik" w:cs="Rubik" w:eastAsia="Rubik" w:hAnsi="Rubik"/>
          <w:b w:val="1"/>
          <w:bCs w:val="1"/>
          <w:color w:val="315253"/>
          <w:sz w:val="28"/>
          <w:szCs w:val="28"/>
          <w:rtl w:val="0"/>
        </w:rPr>
        <w:t xml:space="preserve">18. Жалби спорове и приложимо право</w:t>
      </w:r>
      <w:r w:rsidDel="00000000" w:rsidR="00000000" w:rsidRPr="00000000">
        <w:rPr>
          <w:rtl w:val="0"/>
        </w:rPr>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18.1. Потребителят може първо да изпрати жалба на contact@foodsave.tech. FoodSave разглежда жалбите добросъвестно и предоставя отговор в приложимия законов срок.</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18.2. Потребителят може да подаде жалба до Комисията за защита на потребителите и да използва приложимите секторни или общи помирителни комисии за алтернативно решаване на потребителски спорове.</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18.3. Европейската платформа за онлайн решаване на спорове не се посочва, тъй като е прекратена. Това не ограничава достъпа до КЗП, алтернативно решаване на спорове или компетентен съд.</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18.4. Прилага се правото на Република България, без да се отнема защитата, предоставена на Потребителя от задължителни разпоредби на приложимото право. Споровете се разглеждат от компетентния съд по правилата за защита на потребителите и международната компетентност.</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40" w:line="268.8" w:lineRule="auto"/>
        <w:jc w:val="both"/>
        <w:rPr>
          <w:rFonts w:ascii="Rubik" w:cs="Rubik" w:eastAsia="Rubik" w:hAnsi="Rubik"/>
          <w:b w:val="1"/>
          <w:bCs w:val="1"/>
          <w:color w:val="315253"/>
          <w:sz w:val="28"/>
          <w:szCs w:val="28"/>
        </w:rPr>
      </w:pPr>
      <w:r w:rsidDel="00000000" w:rsidR="00000000" w:rsidRPr="00000000">
        <w:rPr>
          <w:rFonts w:ascii="Rubik" w:cs="Rubik" w:eastAsia="Rubik" w:hAnsi="Rubik"/>
          <w:b w:val="1"/>
          <w:bCs w:val="1"/>
          <w:color w:val="315253"/>
          <w:sz w:val="28"/>
          <w:szCs w:val="28"/>
          <w:rtl w:val="0"/>
        </w:rPr>
        <w:t xml:space="preserve">19. Заключителни разпоредби</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19.1. Ако отделна клауза е недействителна или неприложима, останалите клаузи запазват действието си, доколкото това е възможно и справедливо.</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19.2. Българската версия е приложима за потребители в България. При предоставяне на превод той има информационен характер, освен ако изрично не е посочено друго.</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268.8" w:lineRule="auto"/>
        <w:jc w:val="both"/>
        <w:rPr>
          <w:rFonts w:ascii="Rubik" w:cs="Rubik" w:eastAsia="Rubik" w:hAnsi="Rubik"/>
        </w:rPr>
      </w:pPr>
      <w:r w:rsidDel="00000000" w:rsidR="00000000" w:rsidRPr="00000000">
        <w:rPr>
          <w:rFonts w:ascii="Rubik" w:cs="Rubik" w:eastAsia="Rubik" w:hAnsi="Rubik"/>
          <w:rtl w:val="0"/>
        </w:rPr>
        <w:t xml:space="preserve">19.3. Версия: 1.0. Дата на влизане в сила: 15.09.2026г. Последна актуализация: 15.09.2026г.</w:t>
      </w:r>
    </w:p>
    <w:p w:rsidR="00000000" w:rsidDel="00000000" w:rsidP="00000000" w:rsidRDefault="00000000" w:rsidRPr="00000000" w14:paraId="0000005B">
      <w:pPr>
        <w:widowControl w:val="0"/>
        <w:spacing w:before="8.800048828125" w:line="276" w:lineRule="auto"/>
        <w:ind w:left="4.3636322021484375" w:right="212.291259765625" w:firstLine="15.054550170898438"/>
        <w:jc w:val="both"/>
        <w:rPr>
          <w:rFonts w:ascii="Rubik" w:cs="Rubik" w:eastAsia="Rubik" w:hAnsi="Rubik"/>
        </w:rPr>
      </w:pPr>
      <w:r w:rsidDel="00000000" w:rsidR="00000000" w:rsidRPr="00000000">
        <w:rPr>
          <w:rtl w:val="0"/>
        </w:rPr>
      </w:r>
    </w:p>
    <w:p w:rsidR="00000000" w:rsidDel="00000000" w:rsidP="00000000" w:rsidRDefault="00000000" w:rsidRPr="00000000" w14:paraId="0000005C">
      <w:pPr>
        <w:rPr>
          <w:rFonts w:ascii="Rubik" w:cs="Rubik" w:eastAsia="Rubik" w:hAnsi="Rubik"/>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ubi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rFonts w:ascii="Rubik" w:cs="Rubik" w:eastAsia="Rubik" w:hAnsi="Rubik"/>
      </w:rPr>
    </w:pPr>
    <w:r w:rsidDel="00000000" w:rsidR="00000000" w:rsidRPr="00000000">
      <w:rPr>
        <w:rFonts w:ascii="Rubik" w:cs="Rubik" w:eastAsia="Rubik" w:hAnsi="Rubik"/>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-342899</wp:posOffset>
          </wp:positionV>
          <wp:extent cx="1419591" cy="5953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19591" cy="5953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Rubik-regular.ttf"/><Relationship Id="rId6" Type="http://schemas.openxmlformats.org/officeDocument/2006/relationships/font" Target="fonts/Rubik-bold.ttf"/><Relationship Id="rId7" Type="http://schemas.openxmlformats.org/officeDocument/2006/relationships/font" Target="fonts/Rubik-italic.ttf"/><Relationship Id="rId8" Type="http://schemas.openxmlformats.org/officeDocument/2006/relationships/font" Target="fonts/Rubik-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