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Embedded Systems study plan</w:t>
      </w:r>
    </w:p>
    <w:p>
      <w:r>
        <w:rPr>
          <w:b w:val="0"/>
        </w:rPr>
        <w:t>FONTYS ICT / FIRST YEAR / COACH: IMAN</w:t>
      </w:r>
    </w:p>
    <w:p>
      <w:pPr>
        <w:pStyle w:val="Heading1"/>
      </w:pPr>
      <w:r>
        <w:rPr>
          <w:b w:val="0"/>
        </w:rPr>
        <w:t>A. Rationale - Why Embedded Systems?</w:t>
      </w:r>
    </w:p>
    <w:p>
      <w:r>
        <w:rPr>
          <w:b w:val="0"/>
        </w:rPr>
        <w:t>I am considering Embedded Systems (Intelligent Technologies) because I enjoy C and understanding how software interacts with hardware. I have started using C, ESP32, Wi-Fi and MQTT in an IoT greenhouse project, and explored alternative communication protocols. This gives me a concrete system in which to investigate sensors, timing and communication decisions. My interest in registers, peripherals, interrupts and digital logic is a direction to investigate, not evidence of mastery. Embedded engineering requires reasoning about physical behaviour, memory, timing and failure as well as writing working code. After discussing this gap with Iman, I want to build the mathematics, electronics and computer science needed to explain why a design works and when another approach is better. This makes the specialisation a considered next step, which I will test through the evidence below.</w:t>
      </w:r>
    </w:p>
    <w:p>
      <w:pPr>
        <w:pStyle w:val="Heading1"/>
      </w:pPr>
      <w:r>
        <w:rPr>
          <w:b w:val="0"/>
        </w:rPr>
        <w:t>B. Learning roadmap - 12 weeks</w:t>
      </w:r>
    </w:p>
    <w:p>
      <w:r>
        <w:rPr>
          <w:b w:val="0"/>
        </w:rPr>
        <w:t>Minimum outcome: complete at least TWO full Coursera courses, including required assessments. Budget: 54 hours over 12 weeks, averaging 4.5 hours/week. Course 1: 14 hours; Course 2: 20 hours; supporting theory and greenhouse experiments: 14 hours; evidence and reviews: 6 hours. No additional hardware is assumed.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2220"/>
        <w:gridCol w:w="2500"/>
        <w:gridCol w:w="2260"/>
        <w:gridCol w:w="2420"/>
      </w:tblGrid>
      <w:tr>
        <w:trPr>
          <w:cantSplit/>
          <w:tblHeader/>
        </w:trPr>
        <w:tc>
          <w:tcPr>
            <w:tcW w:type="dxa" w:w="900"/>
            <w:vAlign w:val="center"/>
            <w:shd w:fill="2448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2220"/>
            <w:vAlign w:val="center"/>
            <w:shd w:fill="2448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Learning objectives</w:t>
            </w:r>
          </w:p>
        </w:tc>
        <w:tc>
          <w:tcPr>
            <w:tcW w:type="dxa" w:w="2500"/>
            <w:vAlign w:val="center"/>
            <w:shd w:fill="2448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Resource and reason for choosing it</w:t>
            </w:r>
          </w:p>
        </w:tc>
        <w:tc>
          <w:tcPr>
            <w:tcW w:type="dxa" w:w="2260"/>
            <w:vAlign w:val="center"/>
            <w:shd w:fill="2448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Practical application</w:t>
            </w:r>
          </w:p>
        </w:tc>
        <w:tc>
          <w:tcPr>
            <w:tcW w:type="dxa" w:w="2420"/>
            <w:vAlign w:val="center"/>
            <w:shd w:fill="2448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Deliverable / completion criteria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222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Embedded-system components, sensors/actuators and design constraints. Start functions, units, voltage, current and resistance to explain physical inputs.</w:t>
            </w:r>
          </w:p>
        </w:tc>
        <w:tc>
          <w:tcPr>
            <w:tcW w:type="dxa" w:w="250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Course 1:</w:t>
            </w:r>
            <w:r>
              <w:rPr>
                <w:b w:val="0"/>
                <w:sz w:val="17"/>
              </w:rPr>
              <w:t xml:space="preserve"> </w:t>
            </w:r>
            <w:hyperlink r:id="rId9">
              <w:r>
                <w:rPr>
                  <w:b w:val="0"/>
                  <w:color w:val="146E80"/>
                  <w:sz w:val="17"/>
                  <w:u w:val="single"/>
                </w:rPr>
                <w:t>Introduction to the Internet of Things and Embedded Systems</w:t>
              </w:r>
            </w:hyperlink>
            <w:r>
              <w:rPr>
                <w:b w:val="0"/>
                <w:sz w:val="17"/>
              </w:rPr>
              <w:t xml:space="preserve"> (UC Irvine, Ian Harris). Complete modules 1-2. Chosen to turn my existing IoT implementation experience into system-level reasoning.</w:t>
            </w:r>
          </w:p>
        </w:tc>
        <w:tc>
          <w:tcPr>
            <w:tcW w:type="dxa" w:w="226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W1:</w:t>
            </w:r>
            <w:r>
              <w:rPr>
                <w:b w:val="0"/>
                <w:sz w:val="17"/>
              </w:rPr>
              <w:t xml:space="preserve"> check assessment access; complete module 1.</w:t>
            </w:r>
            <w:r>
              <w:br/>
            </w:r>
            <w:r>
              <w:rPr>
                <w:b/>
                <w:sz w:val="17"/>
              </w:rPr>
              <w:t>W2:</w:t>
            </w:r>
            <w:r>
              <w:rPr>
                <w:b w:val="0"/>
                <w:sz w:val="17"/>
              </w:rPr>
              <w:t xml:space="preserve"> complete module 2; draw the greenhouse sensor-to-software-to-output path. Reserve 7 h for coursework and 2 h for supporting work/evidence.</w:t>
            </w:r>
          </w:p>
        </w:tc>
        <w:tc>
          <w:tcPr>
            <w:tcW w:type="dxa" w:w="242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Module assessments submitted/passed as required; labelled architecture with one power, timing and reliability constraint. Explain sensor versus actuator and identify one assumption.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3-4</w:t>
            </w:r>
          </w:p>
        </w:tc>
        <w:tc>
          <w:tcPr>
            <w:tcW w:type="dxa" w:w="22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Hardware/software trade-offs and network layers; distinguish Wi-Fi, IP, transport and application protocols. Apply linear calibration and Ohm's law.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Course 1:</w:t>
            </w:r>
            <w:r>
              <w:rPr>
                <w:b w:val="0"/>
                <w:sz w:val="17"/>
              </w:rPr>
              <w:t xml:space="preserve"> complete modules 3-4 and all remaining requirements. Support: </w:t>
            </w:r>
            <w:hyperlink r:id="rId10">
              <w:r>
                <w:rPr>
                  <w:b w:val="0"/>
                  <w:color w:val="146E80"/>
                  <w:sz w:val="17"/>
                  <w:u w:val="single"/>
                </w:rPr>
                <w:t>OpenStax linear functions</w:t>
              </w:r>
            </w:hyperlink>
            <w:r>
              <w:rPr>
                <w:b w:val="0"/>
                <w:sz w:val="17"/>
              </w:rPr>
              <w:t xml:space="preserve"> and </w:t>
            </w:r>
            <w:hyperlink r:id="rId11">
              <w:r>
                <w:rPr>
                  <w:b w:val="0"/>
                  <w:color w:val="146E80"/>
                  <w:sz w:val="17"/>
                  <w:u w:val="single"/>
                </w:rPr>
                <w:t>All About Circuits DC</w:t>
              </w:r>
            </w:hyperlink>
            <w:r>
              <w:rPr>
                <w:b w:val="0"/>
                <w:sz w:val="17"/>
              </w:rPr>
              <w:t xml:space="preserve"> for brief worked calculations.</w:t>
            </w:r>
          </w:p>
        </w:tc>
        <w:tc>
          <w:tcPr>
            <w:tcW w:type="dxa" w:w="2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W3:</w:t>
            </w:r>
            <w:r>
              <w:rPr>
                <w:b w:val="0"/>
                <w:sz w:val="17"/>
              </w:rPr>
              <w:t xml:space="preserve"> module 3; calculate a two-point calibration and resistor current.</w:t>
            </w:r>
            <w:r>
              <w:br/>
            </w:r>
            <w:r>
              <w:rPr>
                <w:b/>
                <w:sz w:val="17"/>
              </w:rPr>
              <w:t>W4:</w:t>
            </w:r>
            <w:r>
              <w:rPr>
                <w:b w:val="0"/>
                <w:sz w:val="17"/>
              </w:rPr>
              <w:t xml:space="preserve"> module 4; map greenhouse messages onto network layers. 7 h coursework + 2 h supporting work/evidence.</w:t>
            </w:r>
          </w:p>
        </w:tc>
        <w:tc>
          <w:tcPr>
            <w:tcW w:type="dxa" w:w="24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Course 1 complete by W4:</w:t>
            </w:r>
            <w:r>
              <w:rPr>
                <w:b w:val="0"/>
                <w:sz w:val="17"/>
              </w:rPr>
              <w:t xml:space="preserve"> completion record and required assessment results. Explain one hardware/software choice and correctly solve a changed calibration input without copying.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5-6</w:t>
            </w:r>
          </w:p>
        </w:tc>
        <w:tc>
          <w:tcPr>
            <w:tcW w:type="dxa" w:w="222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C readiness; build tools and version control. Understand how source code becomes an executable rather than treating the build as a black box.</w:t>
            </w:r>
          </w:p>
        </w:tc>
        <w:tc>
          <w:tcPr>
            <w:tcW w:type="dxa" w:w="250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Course 2:</w:t>
            </w:r>
            <w:r>
              <w:rPr>
                <w:b w:val="0"/>
                <w:sz w:val="17"/>
              </w:rPr>
              <w:t xml:space="preserve"> </w:t>
            </w:r>
            <w:hyperlink r:id="rId12">
              <w:r>
                <w:rPr>
                  <w:b w:val="0"/>
                  <w:color w:val="146E80"/>
                  <w:sz w:val="17"/>
                  <w:u w:val="single"/>
                </w:rPr>
                <w:t>Introduction to Embedded Systems Software and Development Environments</w:t>
              </w:r>
            </w:hyperlink>
            <w:r>
              <w:rPr>
                <w:b w:val="0"/>
                <w:sz w:val="17"/>
              </w:rPr>
              <w:t xml:space="preserve"> (Colorado Boulder, Alex Fosdick). Begin module 1 and the required environment setup. Chosen for assessed C and development-tool practice.</w:t>
            </w:r>
          </w:p>
        </w:tc>
        <w:tc>
          <w:tcPr>
            <w:tcW w:type="dxa" w:w="226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W5:</w:t>
            </w:r>
            <w:r>
              <w:rPr>
                <w:b w:val="0"/>
                <w:sz w:val="17"/>
              </w:rPr>
              <w:t xml:space="preserve"> check pointers, arrays and function basics; begin setup/module 1.</w:t>
            </w:r>
            <w:r>
              <w:br/>
            </w:r>
            <w:r>
              <w:rPr>
                <w:b/>
                <w:sz w:val="17"/>
              </w:rPr>
              <w:t>W6:</w:t>
            </w:r>
            <w:r>
              <w:rPr>
                <w:b w:val="0"/>
                <w:sz w:val="17"/>
              </w:rPr>
              <w:t xml:space="preserve"> finish module 1 tasks; reproduce a clean build. 7 h coursework + 2 h C revision/evidence.</w:t>
            </w:r>
          </w:p>
        </w:tc>
        <w:tc>
          <w:tcPr>
            <w:tcW w:type="dxa" w:w="242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 xml:space="preserve">Build log, versioned source and submitted module work. Explain array bounds and pointer lifetime. </w:t>
            </w:r>
            <w:r>
              <w:rPr>
                <w:b/>
                <w:sz w:val="17"/>
              </w:rPr>
              <w:t>Fit review with Iman:</w:t>
            </w:r>
            <w:r>
              <w:rPr>
                <w:b w:val="0"/>
                <w:sz w:val="17"/>
              </w:rPr>
              <w:t xml:space="preserve"> one appealing task, one difficulty and one open question.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B. Learning roadmap - continued</w:t>
      </w:r>
    </w:p>
    <w:p>
      <w:r>
        <w:rPr>
          <w:b w:val="0"/>
        </w:rPr>
        <w:t>Sequence: IoT foundations &gt; C readiness &gt; build tools and memory &gt; independent application. Each fortnight receives 9 hours; course assignments replace separate exercises where they overlap.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2220"/>
        <w:gridCol w:w="2500"/>
        <w:gridCol w:w="2260"/>
        <w:gridCol w:w="2420"/>
      </w:tblGrid>
      <w:tr>
        <w:trPr>
          <w:cantSplit/>
          <w:tblHeader/>
        </w:trPr>
        <w:tc>
          <w:tcPr>
            <w:tcW w:type="dxa" w:w="900"/>
            <w:vAlign w:val="center"/>
            <w:shd w:fill="2448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2220"/>
            <w:vAlign w:val="center"/>
            <w:shd w:fill="2448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Learning objectives</w:t>
            </w:r>
          </w:p>
        </w:tc>
        <w:tc>
          <w:tcPr>
            <w:tcW w:type="dxa" w:w="2500"/>
            <w:vAlign w:val="center"/>
            <w:shd w:fill="2448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Resource and reason for choosing it</w:t>
            </w:r>
          </w:p>
        </w:tc>
        <w:tc>
          <w:tcPr>
            <w:tcW w:type="dxa" w:w="2260"/>
            <w:vAlign w:val="center"/>
            <w:shd w:fill="2448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Practical application</w:t>
            </w:r>
          </w:p>
        </w:tc>
        <w:tc>
          <w:tcPr>
            <w:tcW w:type="dxa" w:w="2420"/>
            <w:vAlign w:val="center"/>
            <w:shd w:fill="2448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Deliverable / completion criteria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7-8</w:t>
            </w:r>
          </w:p>
        </w:tc>
        <w:tc>
          <w:tcPr>
            <w:tcW w:type="dxa" w:w="222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Compilation, linking and Make; memory regions, storage lifetime and stack/heap distinctions. Connect program organisation to predictable embedded behaviour.</w:t>
            </w:r>
          </w:p>
        </w:tc>
        <w:tc>
          <w:tcPr>
            <w:tcW w:type="dxa" w:w="250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Course 2:</w:t>
            </w:r>
            <w:r>
              <w:rPr>
                <w:b w:val="0"/>
                <w:sz w:val="17"/>
              </w:rPr>
              <w:t xml:space="preserve"> module 2, then start module 3. Use </w:t>
            </w:r>
            <w:hyperlink r:id="rId13">
              <w:r>
                <w:rPr>
                  <w:b w:val="0"/>
                  <w:color w:val="146E80"/>
                  <w:sz w:val="17"/>
                  <w:u w:val="single"/>
                </w:rPr>
                <w:t>GNU C manual</w:t>
              </w:r>
            </w:hyperlink>
            <w:r>
              <w:rPr>
                <w:b w:val="0"/>
                <w:sz w:val="17"/>
              </w:rPr>
              <w:t xml:space="preserve"> only to repair specific pointer/storage gaps; coursework remains the priority.</w:t>
            </w:r>
          </w:p>
        </w:tc>
        <w:tc>
          <w:tcPr>
            <w:tcW w:type="dxa" w:w="226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W7:</w:t>
            </w:r>
            <w:r>
              <w:rPr>
                <w:b w:val="0"/>
                <w:sz w:val="17"/>
              </w:rPr>
              <w:t xml:space="preserve"> complete module 2 build work.</w:t>
            </w:r>
            <w:r>
              <w:br/>
            </w:r>
            <w:r>
              <w:rPr>
                <w:b/>
                <w:sz w:val="17"/>
              </w:rPr>
              <w:t>W8:</w:t>
            </w:r>
            <w:r>
              <w:rPr>
                <w:b w:val="0"/>
                <w:sz w:val="17"/>
              </w:rPr>
              <w:t xml:space="preserve"> begin module 3; annotate where example variables and code reside. 7 h coursework + 2 h supporting work/evidence.</w:t>
            </w:r>
          </w:p>
        </w:tc>
        <w:tc>
          <w:tcPr>
            <w:tcW w:type="dxa" w:w="242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Submitted assessments, reproducible build and memory sketch. Predict what changes when a local variable becomes static; explain compile errors versus link errors.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9-10</w:t>
            </w:r>
          </w:p>
        </w:tc>
        <w:tc>
          <w:tcPr>
            <w:tcW w:type="dxa" w:w="22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Memory manipulation and validation. Apply the course concepts independently and finish the assessed project before the final review period.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Course 2:</w:t>
            </w:r>
            <w:r>
              <w:rPr>
                <w:b w:val="0"/>
                <w:sz w:val="17"/>
              </w:rPr>
              <w:t xml:space="preserve"> finish module 3 and module 4 final assessment, including required peer-review work. Retain the course toolchain for its assignments; transfer concepts to ESP32 separately.</w:t>
            </w:r>
          </w:p>
        </w:tc>
        <w:tc>
          <w:tcPr>
            <w:tcW w:type="dxa" w:w="2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W9:</w:t>
            </w:r>
            <w:r>
              <w:rPr>
                <w:b w:val="0"/>
                <w:sz w:val="17"/>
              </w:rPr>
              <w:t xml:space="preserve"> finish module 3 tasks.</w:t>
            </w:r>
            <w:r>
              <w:br/>
            </w:r>
            <w:r>
              <w:rPr>
                <w:b/>
                <w:sz w:val="17"/>
              </w:rPr>
              <w:t>W10:</w:t>
            </w:r>
            <w:r>
              <w:rPr>
                <w:b w:val="0"/>
                <w:sz w:val="17"/>
              </w:rPr>
              <w:t xml:space="preserve"> submit final project/reviews; check completion status. 6 h coursework + 3 h supporting work/evidence. Reserve later time for revisions or outstanding grades.</w:t>
            </w:r>
          </w:p>
        </w:tc>
        <w:tc>
          <w:tcPr>
            <w:tcW w:type="dxa" w:w="24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Course 2 completion target: W10.</w:t>
            </w:r>
            <w:r>
              <w:rPr>
                <w:b w:val="0"/>
                <w:sz w:val="17"/>
              </w:rPr>
              <w:t xml:space="preserve"> Final submission, build instructions and boundary-case results. Explain one bug and its cause; pending grading is recorded as pending, not completed.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11-12</w:t>
            </w:r>
          </w:p>
        </w:tc>
        <w:tc>
          <w:tcPr>
            <w:tcW w:type="dxa" w:w="222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Consolidate reliable IoT and timing; introduce rate and accumulation as future control prerequisites. Secure the two-course completion target before extending scope.</w:t>
            </w:r>
          </w:p>
        </w:tc>
        <w:tc>
          <w:tcPr>
            <w:tcW w:type="dxa" w:w="250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hyperlink r:id="rId14">
              <w:r>
                <w:rPr>
                  <w:b w:val="0"/>
                  <w:color w:val="146E80"/>
                  <w:sz w:val="17"/>
                  <w:u w:val="single"/>
                </w:rPr>
                <w:t>Espressif GPTimer</w:t>
              </w:r>
            </w:hyperlink>
            <w:r>
              <w:rPr>
                <w:b w:val="0"/>
                <w:sz w:val="17"/>
              </w:rPr>
              <w:t xml:space="preserve"> and </w:t>
            </w:r>
            <w:hyperlink r:id="rId15">
              <w:r>
                <w:rPr>
                  <w:b w:val="0"/>
                  <w:color w:val="146E80"/>
                  <w:sz w:val="17"/>
                  <w:u w:val="single"/>
                </w:rPr>
                <w:t>MQTT specification</w:t>
              </w:r>
            </w:hyperlink>
            <w:r>
              <w:rPr>
                <w:b w:val="0"/>
                <w:sz w:val="17"/>
              </w:rPr>
              <w:t xml:space="preserve"> for one experiment; </w:t>
            </w:r>
            <w:hyperlink r:id="rId16">
              <w:r>
                <w:rPr>
                  <w:b w:val="0"/>
                  <w:color w:val="146E80"/>
                  <w:sz w:val="17"/>
                  <w:u w:val="single"/>
                </w:rPr>
                <w:t>3Blue1Brown derivatives</w:t>
              </w:r>
            </w:hyperlink>
            <w:r>
              <w:rPr>
                <w:b w:val="0"/>
                <w:sz w:val="17"/>
              </w:rPr>
              <w:t xml:space="preserve"> for a short maths bridge.</w:t>
            </w:r>
          </w:p>
        </w:tc>
        <w:tc>
          <w:tcPr>
            <w:tcW w:type="dxa" w:w="226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W11:</w:t>
            </w:r>
            <w:r>
              <w:rPr>
                <w:b w:val="0"/>
                <w:sz w:val="17"/>
              </w:rPr>
              <w:t xml:space="preserve"> resolve course revisions; choose ONE timing or MQTT outage experiment.</w:t>
            </w:r>
            <w:r>
              <w:br/>
            </w:r>
            <w:r>
              <w:rPr>
                <w:b/>
                <w:sz w:val="17"/>
              </w:rPr>
              <w:t>W12:</w:t>
            </w:r>
            <w:r>
              <w:rPr>
                <w:b w:val="0"/>
                <w:sz w:val="17"/>
              </w:rPr>
              <w:t xml:space="preserve"> explain results and calculate slope/accumulated error from synthetic data. 9 h total, including final documentation and coach review.</w:t>
            </w:r>
          </w:p>
        </w:tc>
        <w:tc>
          <w:tcPr>
            <w:tcW w:type="dxa" w:w="242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Minimum: TWO completed courses</w:t>
            </w:r>
            <w:r>
              <w:rPr>
                <w:b w:val="0"/>
                <w:sz w:val="17"/>
              </w:rPr>
              <w:t xml:space="preserve"> with completion records and passed required work. Show an interval-error table OR numbered-message outage log. If grading delays completion, agree a dated follow-up; do not count submission alone.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C. Weekly routine</w:t>
      </w:r>
    </w:p>
    <w:p>
      <w:r>
        <w:rPr>
          <w:b/>
        </w:rPr>
        <w:t>Theory and coursework - 2 h</w:t>
      </w:r>
      <w:r>
        <w:rPr>
          <w:b w:val="0"/>
        </w:rPr>
        <w:t xml:space="preserve"> - Follow the scheduled course material; after both courses, use this time for supporting maths/electronics.</w:t>
      </w:r>
    </w:p>
    <w:p>
      <w:r>
        <w:rPr>
          <w:b/>
        </w:rPr>
        <w:t>Practice and assessments - 2 h</w:t>
      </w:r>
      <w:r>
        <w:rPr>
          <w:b w:val="0"/>
        </w:rPr>
        <w:t xml:space="preserve"> - Complete required assignments first, then the small greenhouse experiment. Course assignments count as practical work, not extra hours.</w:t>
      </w:r>
    </w:p>
    <w:p>
      <w:r>
        <w:rPr>
          <w:b/>
        </w:rPr>
        <w:t>Evidence - 0.5 h</w:t>
      </w:r>
      <w:r>
        <w:rPr>
          <w:b w:val="0"/>
        </w:rPr>
        <w:t xml:space="preserve"> - Save results, code and a short explanation of the principle, design choice and limitation. Total: 4.5 h/week.</w:t>
      </w:r>
    </w:p>
    <w:p>
      <w:r>
        <w:rPr>
          <w:b w:val="0"/>
        </w:rPr>
        <w:t>The optional fifth hour is for catch-up. Protect the two-course minimum: reduce the final experiment if assignments take longer. Complete both courses before starting a third. PID implementation and ROS2 move beyond week 12; first develop functions, derivatives, integrals and sampling concepts.</w:t>
      </w:r>
    </w:p>
    <w:p>
      <w:pPr>
        <w:pStyle w:val="Heading1"/>
      </w:pPr>
      <w:r>
        <w:rPr>
          <w:b w:val="0"/>
        </w:rPr>
        <w:t>D. Longer-term direction</w:t>
      </w:r>
    </w:p>
    <w:p>
      <w:r>
        <w:rPr>
          <w:b/>
        </w:rPr>
        <w:t>Mathematics and electronics:</w:t>
      </w:r>
      <w:r>
        <w:rPr>
          <w:b w:val="0"/>
        </w:rPr>
        <w:t xml:space="preserve"> extend algebra into trigonometry (phase and periodic signals), vectors/matrices (coordinates and coupled systems), then derivatives, integrals and differential equations in depth. Use these to analyse RC dynamics and sensor/actuator response; study logic gates and interface electrical limits.</w:t>
      </w:r>
    </w:p>
    <w:p>
      <w:r>
        <w:rPr>
          <w:b/>
        </w:rPr>
        <w:t>Embedded and real-time systems:</w:t>
      </w:r>
      <w:r>
        <w:rPr>
          <w:b w:val="0"/>
        </w:rPr>
        <w:t xml:space="preserve"> deepen architecture, registers, ADC/PWM and UART/I2C/SPI through one peripheral at a time. Then study RTOS scheduling, deadlines, task/ISR communication and race conditions. Demonstrate a measured timing budget and recovery from a failed peripheral.</w:t>
      </w:r>
    </w:p>
    <w:p>
      <w:r>
        <w:rPr>
          <w:b/>
        </w:rPr>
        <w:t>Control engineering, then robotics:</w:t>
      </w:r>
      <w:r>
        <w:rPr>
          <w:b w:val="0"/>
        </w:rPr>
        <w:t xml:space="preserve"> progress to modelling, transfer functions, stability analysis, sampling/aliasing, filtering and full PID with actuator constraints. After Linux CLI and C++ or Python basics, explore ROS2 nodes, topics, services and QoS using the </w:t>
      </w:r>
      <w:hyperlink r:id="rId17">
        <w:r>
          <w:rPr>
            <w:b w:val="0"/>
            <w:color w:val="146E80"/>
            <w:u w:val="single"/>
          </w:rPr>
          <w:t>official ROS2 tutorials (source)</w:t>
        </w:r>
      </w:hyperlink>
      <w:r>
        <w:rPr>
          <w:b w:val="0"/>
        </w:rPr>
        <w:t>. ROS2 supports communication between robotics components; it does not replace low-level control or guarantee deadlines. Start in simulation; choose an OS-compatible supported release at that time.</w:t>
      </w:r>
    </w:p>
    <w:p>
      <w:pPr>
        <w:pStyle w:val="Heading1"/>
      </w:pPr>
      <w:r>
        <w:rPr>
          <w:b w:val="0"/>
        </w:rPr>
        <w:t>E. Progress evaluation</w:t>
      </w:r>
    </w:p>
    <w:p>
      <w:r>
        <w:rPr>
          <w:b w:val="0"/>
        </w:rPr>
        <w:t xml:space="preserve">1. </w:t>
      </w:r>
      <w:r>
        <w:rPr>
          <w:b/>
        </w:rPr>
        <w:t>Complete at least two courses:</w:t>
      </w:r>
      <w:r>
        <w:rPr>
          <w:b w:val="0"/>
        </w:rPr>
        <w:t xml:space="preserve"> aim for Course 1 by week 4 and Course 2 by week 10, with weeks 11-12 for corrections. Show completion records or certificates and required passing results; watching videos alone does not count.</w:t>
      </w:r>
    </w:p>
    <w:p>
      <w:r>
        <w:rPr>
          <w:b w:val="0"/>
        </w:rPr>
        <w:t xml:space="preserve">2. </w:t>
      </w:r>
      <w:r>
        <w:rPr>
          <w:b/>
        </w:rPr>
        <w:t>Explain:</w:t>
      </w:r>
      <w:r>
        <w:rPr>
          <w:b w:val="0"/>
        </w:rPr>
        <w:t xml:space="preserve"> at each fortnightly checkpoint, give a five-minute explanation without tutorial notes, covering the principle, implementation, alternative and limitation.</w:t>
      </w:r>
    </w:p>
    <w:p>
      <w:r>
        <w:rPr>
          <w:b w:val="0"/>
        </w:rPr>
        <w:t xml:space="preserve">3. </w:t>
      </w:r>
      <w:r>
        <w:rPr>
          <w:b/>
        </w:rPr>
        <w:t>Transfer:</w:t>
      </w:r>
      <w:r>
        <w:rPr>
          <w:b w:val="0"/>
        </w:rPr>
        <w:t xml:space="preserve"> produce at least three independent results: a calibration/circuit calculation, a clean build with memory explanation, and a greenhouse timing or outage experiment. Predict one changed input for each.</w:t>
      </w:r>
    </w:p>
    <w:p>
      <w:r>
        <w:rPr>
          <w:b w:val="0"/>
        </w:rPr>
        <w:t xml:space="preserve">4. </w:t>
      </w:r>
      <w:r>
        <w:rPr>
          <w:b/>
        </w:rPr>
        <w:t>Reproduce and diagnose:</w:t>
      </w:r>
      <w:r>
        <w:rPr>
          <w:b w:val="0"/>
        </w:rPr>
        <w:t xml:space="preserve"> keep inputs, versions, code and results. Re-run one example with Iman and explain one failed case and correction.</w:t>
      </w:r>
    </w:p>
    <w:p>
      <w:r>
        <w:rPr>
          <w:b w:val="0"/>
        </w:rPr>
        <w:t xml:space="preserve">5. </w:t>
      </w:r>
      <w:r>
        <w:rPr>
          <w:b/>
        </w:rPr>
        <w:t>Review fit and workload:</w:t>
      </w:r>
      <w:r>
        <w:rPr>
          <w:b w:val="0"/>
        </w:rPr>
        <w:t xml:space="preserve"> at weeks 6 and 12, use the hours log, two concrete experiences and one remaining knowledge gap to decide whether to continue Embedded Systems or investigate another direction.</w:t>
      </w:r>
    </w:p>
    <w:p>
      <w:pPr>
        <w:pStyle w:val="Heading1"/>
      </w:pPr>
      <w:r>
        <w:rPr>
          <w:b w:val="0"/>
        </w:rPr>
        <w:t>Course workload and access</w:t>
      </w:r>
    </w:p>
    <w:p>
      <w:r>
        <w:rPr>
          <w:b w:val="0"/>
        </w:rPr>
        <w:t>Verified on 29 October 2026. Course 1 requires basic computer knowledge: its headline estimate is 10 hours, while the four module estimates total 12; I budget 14. Course 2 is intermediate and lists 9 hours; I budget 20 for setup, C revision and assignments. Its first course requires no hardware purchase; a Linux/VM development environment is part of the work. These are estimates, not guaranteed completion times.</w:t>
      </w:r>
    </w:p>
    <w:p>
      <w:r>
        <w:rPr>
          <w:b w:val="0"/>
        </w:rPr>
        <w:t>Both courses are listed for enrolment. Full assessment/certificate access may require payment; check the available enrolment or financial-aid options before starting. This plan assumes access to required assessments and does not assume free certificates. Allow for peer grading. An optional third course belongs after the two-course minimum and the foundational gaps have been reviewed.</w:t>
      </w:r>
    </w:p>
    <w:sectPr w:rsidR="00FC693F" w:rsidRPr="0006063C" w:rsidSect="00034616">
      <w:pgSz w:w="11906" w:h="16838"/>
      <w:pgMar w:top="600" w:right="800" w:bottom="64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40" w:lineRule="auto"/>
    </w:pPr>
    <w:rPr>
      <w:rFonts w:ascii="Noto Sans" w:hAnsi="Noto San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Noto Sans" w:hAnsi="Noto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ursera.org/learn/iot" TargetMode="External"/><Relationship Id="rId10" Type="http://schemas.openxmlformats.org/officeDocument/2006/relationships/hyperlink" Target="https://openstax.org/books/college-algebra-2e/pages/4-1-linear-functions" TargetMode="External"/><Relationship Id="rId11" Type="http://schemas.openxmlformats.org/officeDocument/2006/relationships/hyperlink" Target="https://www.allaboutcircuits.com/textbook/direct-current/" TargetMode="External"/><Relationship Id="rId12" Type="http://schemas.openxmlformats.org/officeDocument/2006/relationships/hyperlink" Target="https://www.coursera.org/learn/introduction-embedded-systems" TargetMode="External"/><Relationship Id="rId13" Type="http://schemas.openxmlformats.org/officeDocument/2006/relationships/hyperlink" Target="https://www.gnu.org/software/c-intro-and-ref/manual/c-intro-and-ref.html" TargetMode="External"/><Relationship Id="rId14" Type="http://schemas.openxmlformats.org/officeDocument/2006/relationships/hyperlink" Target="https://docs.espressif.com/projects/esp-idf/en/latest/esp32/api-reference/peripherals/timer.html" TargetMode="External"/><Relationship Id="rId15" Type="http://schemas.openxmlformats.org/officeDocument/2006/relationships/hyperlink" Target="https://docs.oasis-open.org/mqtt/mqtt/v3.1.1/os/mqtt-v3.1.1-os.html" TargetMode="External"/><Relationship Id="rId16" Type="http://schemas.openxmlformats.org/officeDocument/2006/relationships/hyperlink" Target="https://www.3blue1brown.com/lessons/derivatives/" TargetMode="External"/><Relationship Id="rId17" Type="http://schemas.openxmlformats.org/officeDocument/2006/relationships/hyperlink" Target="https://github.com/ros2/ros2_documentation/blob/jazzy/source/Tutorials.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