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Technical Details and</w:t>
        <w:br/>
        <w:t>Technology Selection</w:t>
      </w:r>
    </w:p>
    <w:p>
      <w:pPr>
        <w:pStyle w:val="Subtitle"/>
        <w:rPr/>
      </w:pPr>
      <w:r>
        <w:rPr/>
        <w:t>Greenhouse Management</w:t>
      </w:r>
    </w:p>
    <w:p>
      <w:pPr>
        <w:pStyle w:val="Heading1"/>
        <w:rPr/>
      </w:pPr>
      <w:r>
        <w:rPr/>
        <w:t>1 Introduction</w:t>
      </w:r>
    </w:p>
    <w:p>
      <w:pPr>
        <w:pStyle w:val="Normal"/>
        <w:rPr/>
      </w:pPr>
      <w:r>
        <w:rPr/>
        <w:t>The greenhouse system will monitor growing conditions and support irrigation using an ESP32 connected to a small server stack. We select C with ESP-IDF, MQTT, Mosquitto, Node.js, PostgreSQL and Grafana to keep implementation and operation manageable while allowing additional devices later.</w:t>
      </w:r>
    </w:p>
    <w:p>
      <w:pPr>
        <w:pStyle w:val="Normal"/>
        <w:rPr/>
      </w:pPr>
      <w:r>
        <w:rPr/>
        <w:t>This document compares realistic software and hardware alternatives and records why each choice fits the project. Selections are engineering judgments based on the criteria below; they are not performance benchmark results. Numbered citations identify technical sources.</w:t>
      </w:r>
    </w:p>
    <w:tbl>
      <w:tblPr>
        <w:tblW w:w="9893" w:type="dxa"/>
        <w:jc w:val="center"/>
        <w:tblInd w:w="0" w:type="dxa"/>
        <w:tblLayout w:type="fixed"/>
        <w:tblCellMar>
          <w:top w:w="90" w:type="dxa"/>
          <w:start w:w="110" w:type="dxa"/>
          <w:bottom w:w="90" w:type="dxa"/>
          <w:end w:w="110" w:type="dxa"/>
        </w:tblCellMar>
        <w:tblLook w:noHBand="0" w:noVBand="1" w:firstColumn="1" w:lastRow="0" w:lastColumn="0" w:firstRow="1" w:val="04a0"/>
      </w:tblPr>
      <w:tblGrid>
        <w:gridCol w:w="2446"/>
        <w:gridCol w:w="7447"/>
      </w:tblGrid>
      <w:tr>
        <w:trPr>
          <w:tblHeader w:val="true"/>
          <w:cantSplit/>
        </w:trPr>
        <w:tc>
          <w:tcPr>
            <w:tcW w:w="244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Criterion</w:t>
            </w:r>
          </w:p>
        </w:tc>
        <w:tc>
          <w:tcPr>
            <w:tcW w:w="744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How it guides selection</w:t>
            </w:r>
          </w:p>
        </w:tc>
      </w:tr>
      <w:tr>
        <w:trPr>
          <w:cantSplit/>
        </w:trPr>
        <w:tc>
          <w:tcPr>
            <w:tcW w:w="244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Simplicity</w:t>
            </w:r>
          </w:p>
        </w:tc>
        <w:tc>
          <w:tcPr>
            <w:tcW w:w="744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Minimize services, custom code and setup work.</w:t>
            </w:r>
          </w:p>
        </w:tc>
      </w:tr>
      <w:tr>
        <w:trPr>
          <w:cantSplit/>
        </w:trPr>
        <w:tc>
          <w:tcPr>
            <w:tcW w:w="244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Functionality and reliability</w:t>
            </w:r>
          </w:p>
        </w:tc>
        <w:tc>
          <w:tcPr>
            <w:tcW w:w="744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Meet sensing, irrigation and monitoring needs with clear failure handling.</w:t>
            </w:r>
          </w:p>
        </w:tc>
      </w:tr>
      <w:tr>
        <w:trPr>
          <w:cantSplit/>
        </w:trPr>
        <w:tc>
          <w:tcPr>
            <w:tcW w:w="244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Scalability</w:t>
            </w:r>
          </w:p>
        </w:tc>
        <w:tc>
          <w:tcPr>
            <w:tcW w:w="744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Support additional devices and retained measurements without premature distribution.</w:t>
            </w:r>
          </w:p>
        </w:tc>
      </w:tr>
      <w:tr>
        <w:trPr>
          <w:cantSplit/>
        </w:trPr>
        <w:tc>
          <w:tcPr>
            <w:tcW w:w="244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Maintainability</w:t>
            </w:r>
          </w:p>
        </w:tc>
        <w:tc>
          <w:tcPr>
            <w:tcW w:w="744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Use documented interfaces, reproducible builds and versioned configuration.</w:t>
            </w:r>
          </w:p>
        </w:tc>
      </w:tr>
      <w:tr>
        <w:trPr>
          <w:cantSplit/>
        </w:trPr>
        <w:tc>
          <w:tcPr>
            <w:tcW w:w="244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Project suitability</w:t>
            </w:r>
          </w:p>
        </w:tc>
        <w:tc>
          <w:tcPr>
            <w:tcW w:w="744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Respect available hardware, the preferred workflow and actual requirements.</w:t>
            </w:r>
          </w:p>
        </w:tc>
      </w:tr>
    </w:tbl>
    <w:p>
      <w:pPr>
        <w:pStyle w:val="Normal"/>
        <w:spacing w:lineRule="exact" w:line="80" w:before="0" w:after="40"/>
        <w:rPr/>
      </w:pPr>
      <w:r>
        <w:rPr/>
      </w:r>
    </w:p>
    <w:p>
      <w:pPr>
        <w:pStyle w:val="Heading1"/>
        <w:rPr/>
      </w:pPr>
      <w:r>
        <w:rPr/>
        <w:t>2 Technology Comparisons</w:t>
      </w:r>
    </w:p>
    <w:p>
      <w:pPr>
        <w:pStyle w:val="Heading2"/>
        <w:rPr/>
      </w:pPr>
      <w:r>
        <w:rPr/>
        <w:t>2.1 Embedded Software Platform</w:t>
      </w:r>
    </w:p>
    <w:tbl>
      <w:tblPr>
        <w:tblW w:w="9893" w:type="dxa"/>
        <w:jc w:val="center"/>
        <w:tblInd w:w="0" w:type="dxa"/>
        <w:tblLayout w:type="fixed"/>
        <w:tblCellMar>
          <w:top w:w="90" w:type="dxa"/>
          <w:start w:w="110" w:type="dxa"/>
          <w:bottom w:w="90" w:type="dxa"/>
          <w:end w:w="110" w:type="dxa"/>
        </w:tblCellMar>
        <w:tblLook w:noHBand="0" w:noVBand="1" w:firstColumn="1" w:lastRow="0" w:lastColumn="0" w:firstRow="1" w:val="04a0"/>
      </w:tblPr>
      <w:tblGrid>
        <w:gridCol w:w="1942"/>
        <w:gridCol w:w="3816"/>
        <w:gridCol w:w="4135"/>
      </w:tblGrid>
      <w:tr>
        <w:trPr>
          <w:tblHeader w:val="true"/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Option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Relevant strengths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Tradeoffs for this project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81D41A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 xml:space="preserve">C + ESP-IDF 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81D41A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Official ESP32 APIs, device configuration and compiled firmware.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81D41A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More explicit configuration and low-level error handling.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 xml:space="preserve">Arduino Framework 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Convenient C++ APIs and libraries; ESP32 core uses ESP-IDF.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Additional abstraction and library dependencies to manage.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 xml:space="preserve">MicroPython 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Interactive Python development and rapid experimentation.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Interpreter and garbage collection require more timing and memory care.</w:t>
            </w:r>
          </w:p>
        </w:tc>
      </w:tr>
    </w:tbl>
    <w:p>
      <w:pPr>
        <w:pStyle w:val="Normal"/>
        <w:spacing w:lineRule="exact" w:line="80" w:before="0" w:after="40"/>
        <w:rPr/>
      </w:pPr>
      <w:r>
        <w:rPr/>
      </w:r>
    </w:p>
    <w:p>
      <w:pPr>
        <w:pStyle w:val="Normal"/>
        <w:rPr/>
      </w:pPr>
      <w:r>
        <w:rPr>
          <w:b/>
        </w:rPr>
        <w:t xml:space="preserve">Selection. </w:t>
      </w:r>
      <w:r>
        <w:rPr/>
        <w:t>C + ESP-IDF provides direct access to ESP32 facilities and matches the intended C workflow. The initial learning effort is justified by control over firmware behavior and one vendor-supported framework.</w:t>
      </w:r>
    </w:p>
    <w:p>
      <w:pPr>
        <w:pStyle w:val="Heading2"/>
        <w:spacing w:before="0" w:after="140"/>
        <w:rPr/>
      </w:pPr>
      <w:r>
        <w:rPr/>
        <w:t>2.2 Device-to-Server Communication</w:t>
      </w:r>
    </w:p>
    <w:p>
      <w:pPr>
        <w:pStyle w:val="Normal"/>
        <w:rPr/>
      </w:pPr>
      <w:r>
        <w:rPr/>
        <w:t>This section concerns network communication between the ESP32 and server. MQTT runs over the Wi-Fi/IP connection. I2C, SPI and UART connect hardware locally and remain separate interface choices.</w:t>
      </w:r>
    </w:p>
    <w:tbl>
      <w:tblPr>
        <w:tblW w:w="9893" w:type="dxa"/>
        <w:jc w:val="center"/>
        <w:tblInd w:w="0" w:type="dxa"/>
        <w:tblLayout w:type="fixed"/>
        <w:tblCellMar>
          <w:top w:w="90" w:type="dxa"/>
          <w:start w:w="110" w:type="dxa"/>
          <w:bottom w:w="90" w:type="dxa"/>
          <w:end w:w="110" w:type="dxa"/>
        </w:tblCellMar>
        <w:tblLook w:noHBand="0" w:noVBand="1" w:firstColumn="1" w:lastRow="0" w:lastColumn="0" w:firstRow="1" w:val="04a0"/>
      </w:tblPr>
      <w:tblGrid>
        <w:gridCol w:w="1942"/>
        <w:gridCol w:w="3816"/>
        <w:gridCol w:w="4135"/>
      </w:tblGrid>
      <w:tr>
        <w:trPr>
          <w:tblHeader w:val="true"/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Option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Relevant strengths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Tradeoffs for this project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81D41A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 xml:space="preserve">MQTT 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81D41A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Publish/subscribe topics, delivery quality levels and device status messaging.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81D41A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Requires a broker and deliberate topic, session and retry design.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 xml:space="preserve">HTTP/REST 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Familiar request/response exchange; straightforward telemetry uploads.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REST is an architectural style. Server commands need polling or another delivery mechanism.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 xml:space="preserve">CoAP 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Compact resource-based protocol for constrained devices; base specification uses UDP.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Adds a different integration model with no clear benefit for this Wi-Fi design.</w:t>
            </w:r>
          </w:p>
        </w:tc>
      </w:tr>
    </w:tbl>
    <w:p>
      <w:pPr>
        <w:pStyle w:val="Normal"/>
        <w:spacing w:lineRule="exact" w:line="80" w:before="0" w:after="40"/>
        <w:rPr/>
      </w:pPr>
      <w:r>
        <w:rPr/>
      </w:r>
    </w:p>
    <w:p>
      <w:pPr>
        <w:pStyle w:val="Normal"/>
        <w:rPr/>
      </w:pPr>
      <w:r>
        <w:rPr>
          <w:b/>
        </w:rPr>
        <w:t xml:space="preserve">Selection. </w:t>
      </w:r>
      <w:r>
        <w:rPr/>
        <w:t>MQTT fits periodic telemetry and server-to-device commands through the same connection. Topic paths should include a greenhouse or device identifier so new devices can share the broker.</w:t>
      </w:r>
    </w:p>
    <w:p>
      <w:pPr>
        <w:pStyle w:val="Normal"/>
        <w:rPr/>
      </w:pPr>
      <w:r>
        <w:rPr/>
        <w:t>Use authenticated clients and topic permissions. MQTT quality of service does not guarantee a database commit or physical pump action. QoS 1 can deliver duplicates; commands need identifiers, expiry and device acknowledgements. Local firmware should enforce pump limits even when connectivity fails. [4]</w:t>
      </w:r>
    </w:p>
    <w:p>
      <w:pPr>
        <w:pStyle w:val="Heading2"/>
        <w:rPr/>
      </w:pPr>
      <w:r>
        <w:rPr/>
        <w:t>2.3 MQTT Broker</w:t>
      </w:r>
    </w:p>
    <w:p>
      <w:pPr>
        <w:pStyle w:val="Normal"/>
        <w:rPr/>
      </w:pPr>
      <w:r>
        <w:rPr/>
        <w:t>The broker routes MQTT messages between devices and the backend; it does not replace the application or database.</w:t>
      </w:r>
    </w:p>
    <w:tbl>
      <w:tblPr>
        <w:tblW w:w="9893" w:type="dxa"/>
        <w:jc w:val="center"/>
        <w:tblInd w:w="0" w:type="dxa"/>
        <w:tblLayout w:type="fixed"/>
        <w:tblCellMar>
          <w:top w:w="90" w:type="dxa"/>
          <w:start w:w="110" w:type="dxa"/>
          <w:bottom w:w="90" w:type="dxa"/>
          <w:end w:w="110" w:type="dxa"/>
        </w:tblCellMar>
        <w:tblLook w:noHBand="0" w:noVBand="1" w:firstColumn="1" w:lastRow="0" w:lastColumn="0" w:firstRow="1" w:val="04a0"/>
      </w:tblPr>
      <w:tblGrid>
        <w:gridCol w:w="1942"/>
        <w:gridCol w:w="3816"/>
        <w:gridCol w:w="4135"/>
      </w:tblGrid>
      <w:tr>
        <w:trPr>
          <w:tblHeader w:val="true"/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Option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Relevant strengths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Tradeoffs for this project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81D41A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 xml:space="preserve">Eclipse Mosquitto 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81D41A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Lightweight MQTT broker with configuration files and command-line clients.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81D41A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Plan for one broker initially; bridging is not automatic high-availability clustering.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 xml:space="preserve">EMQX 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Distributed broker platform with administration and data-integration features.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More platform configuration; deployment and licence choices matter.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 xml:space="preserve">HiveMQ 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Enterprise broker offers clustering and operational capabilities.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Edition and licence selection add decisions beyond the current requirements.</w:t>
            </w:r>
          </w:p>
        </w:tc>
      </w:tr>
    </w:tbl>
    <w:p>
      <w:pPr>
        <w:pStyle w:val="Normal"/>
        <w:spacing w:lineRule="exact" w:line="80" w:before="0" w:after="40"/>
        <w:rPr/>
      </w:pPr>
      <w:r>
        <w:rPr/>
      </w:r>
    </w:p>
    <w:p>
      <w:pPr>
        <w:pStyle w:val="Normal"/>
        <w:rPr/>
      </w:pPr>
      <w:r>
        <w:rPr>
          <w:b/>
        </w:rPr>
        <w:t xml:space="preserve">Selection. </w:t>
      </w:r>
      <w:r>
        <w:rPr/>
        <w:t>Mosquitto provides the required messaging role with a small operational footprint. EMQX or HiveMQ becomes relevant if measured load or availability requirements justify a clustered platform.</w:t>
      </w:r>
    </w:p>
    <w:p>
      <w:pPr>
        <w:pStyle w:val="Normal"/>
        <w:rPr/>
      </w:pPr>
      <w:r>
        <w:rPr/>
        <w:t>Start with a single managed broker, persistence where needed, restricted access and monitored service restarts. Capacity must be measured under the actual message rate and session settings; no fixed device limit is assumed.</w:t>
      </w:r>
    </w:p>
    <w:p>
      <w:pPr>
        <w:pStyle w:val="Heading2"/>
        <w:spacing w:before="0" w:after="140"/>
        <w:rPr/>
      </w:pPr>
      <w:r>
        <w:rPr/>
      </w:r>
    </w:p>
    <w:p>
      <w:pPr>
        <w:pStyle w:val="Heading2"/>
        <w:spacing w:before="0" w:after="140"/>
        <w:rPr/>
      </w:pPr>
      <w:r>
        <w:rPr/>
        <w:t>2.4 Backend</w:t>
      </w:r>
    </w:p>
    <w:p>
      <w:pPr>
        <w:pStyle w:val="Normal"/>
        <w:rPr/>
      </w:pPr>
      <w:r>
        <w:rPr/>
        <w:t>The backend validates incoming measurements, stores them and applies application rules. It can publish commands, while the ESP32 retains local actuator safeguards.</w:t>
      </w:r>
    </w:p>
    <w:tbl>
      <w:tblPr>
        <w:tblW w:w="9893" w:type="dxa"/>
        <w:jc w:val="center"/>
        <w:tblInd w:w="0" w:type="dxa"/>
        <w:tblLayout w:type="fixed"/>
        <w:tblCellMar>
          <w:top w:w="90" w:type="dxa"/>
          <w:start w:w="110" w:type="dxa"/>
          <w:bottom w:w="90" w:type="dxa"/>
          <w:end w:w="110" w:type="dxa"/>
        </w:tblCellMar>
        <w:tblLook w:noHBand="0" w:noVBand="1" w:firstColumn="1" w:lastRow="0" w:lastColumn="0" w:firstRow="1" w:val="04a0"/>
      </w:tblPr>
      <w:tblGrid>
        <w:gridCol w:w="1942"/>
        <w:gridCol w:w="3816"/>
        <w:gridCol w:w="4135"/>
      </w:tblGrid>
      <w:tr>
        <w:trPr>
          <w:tblHeader w:val="true"/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Option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Relevant strengths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Tradeoffs for this project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81D41A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 xml:space="preserve">Node.js 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81D41A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Event-driven I/O fits MQTT reception and database writes; MQTT.js and node-postgres provide client libraries.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81D41A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Avoid blocking the event loop; handle reconnection, rejected writes and dependency updates.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 xml:space="preserve">Python 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Concise application code; asyncio supports concurrent network I/O.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Requires a consistent choice of client libraries and concurrency model.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 xml:space="preserve">Go 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Compiled deployment and explicit types; goroutines support concurrent work.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Different language and build workflow; extra throughput is not a demonstrated need.</w:t>
            </w:r>
          </w:p>
        </w:tc>
      </w:tr>
    </w:tbl>
    <w:p>
      <w:pPr>
        <w:pStyle w:val="Normal"/>
        <w:spacing w:lineRule="exact" w:line="80" w:before="0" w:after="40"/>
        <w:rPr/>
      </w:pPr>
      <w:r>
        <w:rPr/>
      </w:r>
    </w:p>
    <w:p>
      <w:pPr>
        <w:pStyle w:val="Normal"/>
        <w:rPr/>
      </w:pPr>
      <w:r>
        <w:rPr>
          <w:b/>
        </w:rPr>
        <w:t xml:space="preserve">Selection. </w:t>
      </w:r>
      <w:r>
        <w:rPr/>
        <w:t>Node.js is a good fit for a small service dominated by messaging and database I/O. Python and Go can also meet the workload; this choice follows the proposed event-driven implementation, not language popularity.</w:t>
      </w:r>
    </w:p>
    <w:p>
      <w:pPr>
        <w:pStyle w:val="Normal"/>
        <w:rPr/>
      </w:pPr>
      <w:r>
        <w:rPr/>
        <w:t>Use a supported runtime, a dependency lockfile, payload validation and bounded retries. Give measurements stable identifiers where deduplication is required. MQTT.js and node-postgres are application libraries, not additional deployed services.</w:t>
      </w:r>
    </w:p>
    <w:p>
      <w:pPr>
        <w:pStyle w:val="Heading2"/>
        <w:rPr/>
      </w:pPr>
      <w:r>
        <w:rPr/>
        <w:t>2.5 Database</w:t>
      </w:r>
    </w:p>
    <w:p>
      <w:pPr>
        <w:pStyle w:val="Normal"/>
        <w:rPr/>
      </w:pPr>
      <w:r>
        <w:rPr/>
        <w:t>The database stores measurements, device metadata, watering events and state history.</w:t>
      </w:r>
    </w:p>
    <w:tbl>
      <w:tblPr>
        <w:tblW w:w="9893" w:type="dxa"/>
        <w:jc w:val="center"/>
        <w:tblInd w:w="0" w:type="dxa"/>
        <w:tblLayout w:type="fixed"/>
        <w:tblCellMar>
          <w:top w:w="90" w:type="dxa"/>
          <w:start w:w="110" w:type="dxa"/>
          <w:bottom w:w="90" w:type="dxa"/>
          <w:end w:w="110" w:type="dxa"/>
        </w:tblCellMar>
        <w:tblLook w:noHBand="0" w:noVBand="1" w:firstColumn="1" w:lastRow="0" w:lastColumn="0" w:firstRow="1" w:val="04a0"/>
      </w:tblPr>
      <w:tblGrid>
        <w:gridCol w:w="1942"/>
        <w:gridCol w:w="3816"/>
        <w:gridCol w:w="4135"/>
      </w:tblGrid>
      <w:tr>
        <w:trPr>
          <w:tblHeader w:val="true"/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Option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Relevant strengths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Tradeoffs for this project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81D41A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 xml:space="preserve">PostgreSQL 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81D41A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Transactions, constraints and SQL joins support readings and related operational records.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81D41A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Requires a server, backups, access management and routine maintenance.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 xml:space="preserve">SQLite 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Embedded file database with little administration.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One writer at a time; shared networked access is less natural for separate services.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 xml:space="preserve">InfluxDB 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Designed for time-series ingestion and queries; InfluxDB 3 Core supports SQL.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Version and edition affect capabilities; device and event relationships are a better fit for the chosen relational model.</w:t>
            </w:r>
          </w:p>
        </w:tc>
      </w:tr>
    </w:tbl>
    <w:p>
      <w:pPr>
        <w:pStyle w:val="Normal"/>
        <w:spacing w:lineRule="exact" w:line="80" w:before="0" w:after="40"/>
        <w:rPr/>
      </w:pPr>
      <w:r>
        <w:rPr/>
      </w:r>
    </w:p>
    <w:p>
      <w:pPr>
        <w:pStyle w:val="Normal"/>
        <w:rPr/>
      </w:pPr>
      <w:r>
        <w:rPr>
          <w:b/>
        </w:rPr>
        <w:t xml:space="preserve">Selection. </w:t>
      </w:r>
      <w:r>
        <w:rPr/>
        <w:t>PostgreSQL combines measurement storage with relational records and Grafana integration. SQLite would suit a smaller, self-contained logger; InfluxDB is worth reconsidering only if a measured time-series requirement warrants a change.</w:t>
      </w:r>
    </w:p>
    <w:p>
      <w:pPr>
        <w:pStyle w:val="Normal"/>
        <w:rPr/>
      </w:pPr>
      <w:r>
        <w:rPr/>
        <w:t>Use timestamped records, device identifiers and indexes matching dashboard queries. Define retention and backup procedures. Ordinary PostgreSQL is the selected database; TimescaleDB is not required. Growth should first be addressed through query design, indexing and measured capacity. [15, 18]</w:t>
      </w:r>
    </w:p>
    <w:p>
      <w:pPr>
        <w:pStyle w:val="Heading2"/>
        <w:spacing w:before="0" w:after="140"/>
        <w:rPr/>
      </w:pPr>
      <w:r>
        <w:rPr/>
        <w:t>2.6 Dashboard and Visualization</w:t>
      </w:r>
    </w:p>
    <w:p>
      <w:pPr>
        <w:pStyle w:val="Normal"/>
        <w:rPr/>
      </w:pPr>
      <w:r>
        <w:rPr/>
        <w:t>The dashboard presents current conditions, trends and watering history.</w:t>
      </w:r>
    </w:p>
    <w:tbl>
      <w:tblPr>
        <w:tblW w:w="9893" w:type="dxa"/>
        <w:jc w:val="center"/>
        <w:tblInd w:w="0" w:type="dxa"/>
        <w:tblLayout w:type="fixed"/>
        <w:tblCellMar>
          <w:top w:w="90" w:type="dxa"/>
          <w:start w:w="110" w:type="dxa"/>
          <w:bottom w:w="90" w:type="dxa"/>
          <w:end w:w="110" w:type="dxa"/>
        </w:tblCellMar>
        <w:tblLook w:noHBand="0" w:noVBand="1" w:firstColumn="1" w:lastRow="0" w:lastColumn="0" w:firstRow="1" w:val="04a0"/>
      </w:tblPr>
      <w:tblGrid>
        <w:gridCol w:w="1942"/>
        <w:gridCol w:w="3816"/>
        <w:gridCol w:w="4135"/>
      </w:tblGrid>
      <w:tr>
        <w:trPr>
          <w:tblHeader w:val="true"/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Option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Relevant strengths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Tradeoffs for this project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81D41A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 xml:space="preserve">Grafana 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81D41A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Built-in PostgreSQL data source and reusable visualization panels.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81D41A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Best suited to monitoring; custom command workflows require additional design.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 xml:space="preserve">Node-RED Dashboard 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FlowFuse Dashboard offers visual UI construction within Node-RED.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Introduces Node-RED flows and a runtime alongside the selected backend.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Custom web dashboard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Complete control over layout and user interactions.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Requires frontend development, data access and long-term UI maintenance.</w:t>
            </w:r>
          </w:p>
        </w:tc>
      </w:tr>
    </w:tbl>
    <w:p>
      <w:pPr>
        <w:pStyle w:val="Normal"/>
        <w:spacing w:lineRule="exact" w:line="80" w:before="0" w:after="40"/>
        <w:rPr/>
      </w:pPr>
      <w:r>
        <w:rPr/>
      </w:r>
    </w:p>
    <w:p>
      <w:pPr>
        <w:pStyle w:val="Normal"/>
        <w:rPr/>
      </w:pPr>
      <w:r>
        <w:rPr>
          <w:b/>
        </w:rPr>
        <w:t xml:space="preserve">Selection. </w:t>
      </w:r>
      <w:r>
        <w:rPr/>
        <w:t>Grafana meets the monitoring requirement with less custom code. Connect it using a database role restricted to the required read access. It is not the pump controller; a manual-control UI, if required later, needs a separately specified command path.</w:t>
      </w:r>
    </w:p>
    <w:p>
      <w:pPr>
        <w:pStyle w:val="Normal"/>
        <w:rPr/>
      </w:pPr>
      <w:r>
        <w:rPr/>
        <w:t>The Node-RED comparison refers to FlowFuse Dashboard, also called Dashboard 2.0. It should not be confused with the older dashboard package. [19]</w:t>
      </w:r>
    </w:p>
    <w:p>
      <w:pPr>
        <w:pStyle w:val="Heading2"/>
        <w:rPr/>
      </w:pPr>
      <w:r>
        <w:rPr/>
        <w:t>2.7 Development Environment</w:t>
      </w:r>
    </w:p>
    <w:p>
      <w:pPr>
        <w:pStyle w:val="Normal"/>
        <w:rPr/>
      </w:pPr>
      <w:r>
        <w:rPr/>
        <w:t>ESP-IDF supplies framework APIs and build tooling. Vim edits source files; it does not replace the compiler, flashing tools or monitor. [1, 20]</w:t>
      </w:r>
    </w:p>
    <w:tbl>
      <w:tblPr>
        <w:tblW w:w="9893" w:type="dxa"/>
        <w:jc w:val="center"/>
        <w:tblInd w:w="0" w:type="dxa"/>
        <w:tblLayout w:type="fixed"/>
        <w:tblCellMar>
          <w:top w:w="90" w:type="dxa"/>
          <w:start w:w="110" w:type="dxa"/>
          <w:bottom w:w="90" w:type="dxa"/>
          <w:end w:w="110" w:type="dxa"/>
        </w:tblCellMar>
        <w:tblLook w:noHBand="0" w:noVBand="1" w:firstColumn="1" w:lastRow="0" w:lastColumn="0" w:firstRow="1" w:val="04a0"/>
      </w:tblPr>
      <w:tblGrid>
        <w:gridCol w:w="1942"/>
        <w:gridCol w:w="3816"/>
        <w:gridCol w:w="4135"/>
      </w:tblGrid>
      <w:tr>
        <w:trPr>
          <w:tblHeader w:val="true"/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Option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Relevant strengths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Tradeoffs for this project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81D41A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Vim + ESP-IDF CLI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81D41A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Matches the preferred editor; explicit build, flash and monitor commands.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81D41A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Debugging and navigation require command-line tools or optional editor configuration.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VS Code + ESP-IDF extension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Integrated configuration, building, flashing and monitoring.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Adds editor and extension setup to maintain. [1]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Espressif IDE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Eclipse-based environment integrating ESP-IDF development tools.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A fuller IDE workflow with more interface and configuration overhead. [1]</w:t>
            </w:r>
          </w:p>
        </w:tc>
      </w:tr>
    </w:tbl>
    <w:p>
      <w:pPr>
        <w:pStyle w:val="Normal"/>
        <w:spacing w:lineRule="exact" w:line="80" w:before="0" w:after="40"/>
        <w:rPr/>
      </w:pPr>
      <w:r>
        <w:rPr/>
      </w:r>
    </w:p>
    <w:p>
      <w:pPr>
        <w:pStyle w:val="Normal"/>
        <w:rPr/>
      </w:pPr>
      <w:r>
        <w:rPr>
          <w:b/>
        </w:rPr>
        <w:t xml:space="preserve">Selection. </w:t>
      </w:r>
      <w:r>
        <w:rPr/>
        <w:t>Vim + ESP-IDF CLI preserves the preferred workflow and keeps builds independent of the editor. Record the ESP-IDF version and standard commands so another developer can reproduce the build.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140"/>
        <w:rPr/>
      </w:pPr>
      <w:r>
        <w:rPr/>
        <w:t>2.8 Version Control and Repository Management</w:t>
      </w:r>
    </w:p>
    <w:p>
      <w:pPr>
        <w:pStyle w:val="Normal"/>
        <w:rPr/>
      </w:pPr>
      <w:r>
        <w:rPr/>
        <w:t>Version control tracks firmware, backend code, database migrations and deployment configuration.</w:t>
      </w:r>
    </w:p>
    <w:tbl>
      <w:tblPr>
        <w:tblW w:w="9893" w:type="dxa"/>
        <w:jc w:val="center"/>
        <w:tblInd w:w="0" w:type="dxa"/>
        <w:tblLayout w:type="fixed"/>
        <w:tblCellMar>
          <w:top w:w="90" w:type="dxa"/>
          <w:start w:w="110" w:type="dxa"/>
          <w:bottom w:w="90" w:type="dxa"/>
          <w:end w:w="110" w:type="dxa"/>
        </w:tblCellMar>
        <w:tblLook w:noHBand="0" w:noVBand="1" w:firstColumn="1" w:lastRow="0" w:lastColumn="0" w:firstRow="1" w:val="04a0"/>
      </w:tblPr>
      <w:tblGrid>
        <w:gridCol w:w="1942"/>
        <w:gridCol w:w="3816"/>
        <w:gridCol w:w="4135"/>
      </w:tblGrid>
      <w:tr>
        <w:trPr>
          <w:tblHeader w:val="true"/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Option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Relevant strengths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Tradeoffs for this project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81D41A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 xml:space="preserve">Git 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81D41A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Local history, branching, merging and distributed repositories.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81D41A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Requires disciplined commits and attention to merge conflicts.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 xml:space="preserve">SVN 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Centralized repository with versioned history and access control.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Central server is integral to collaboration; workflow is less suited to independent local branches.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Manual versions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No tool setup; copies can preserve occasional snapshots.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Weak traceability, difficult comparison and unreliable merging or rollback.</w:t>
            </w:r>
          </w:p>
        </w:tc>
      </w:tr>
    </w:tbl>
    <w:p>
      <w:pPr>
        <w:pStyle w:val="Normal"/>
        <w:spacing w:lineRule="exact" w:line="80" w:before="0" w:after="40"/>
        <w:rPr/>
      </w:pPr>
      <w:r>
        <w:rPr/>
      </w:r>
    </w:p>
    <w:p>
      <w:pPr>
        <w:pStyle w:val="Normal"/>
        <w:rPr/>
      </w:pPr>
      <w:r>
        <w:rPr>
          <w:b/>
        </w:rPr>
        <w:t xml:space="preserve">Selection. </w:t>
      </w:r>
      <w:r>
        <w:rPr/>
        <w:t>Git provides reproducible change history and practical rollback with little runtime impact. Keep secrets outside version control. GitHub may optionally host a remote Git repository; Git is the version control system, while GitHub is a hosting and collaboration service.</w:t>
      </w:r>
    </w:p>
    <w:p>
      <w:pPr>
        <w:pStyle w:val="Heading1"/>
        <w:rPr/>
      </w:pPr>
      <w:r>
        <w:rPr/>
        <w:t>3 Embedded Hardware</w:t>
      </w:r>
    </w:p>
    <w:p>
      <w:pPr>
        <w:pStyle w:val="Normal"/>
        <w:rPr/>
      </w:pPr>
      <w:r>
        <w:rPr/>
        <w:t>Hardware choices prioritize the available parts and dependable integration. Soil moisture and water-level devices remain open selections. Final wiring must follow the exact board and module specifications.</w:t>
      </w:r>
    </w:p>
    <w:p>
      <w:pPr>
        <w:pStyle w:val="Heading2"/>
        <w:rPr/>
      </w:pPr>
      <w:r>
        <w:rPr/>
        <w:t>3.1 Microcontroller</w:t>
      </w:r>
    </w:p>
    <w:p>
      <w:pPr>
        <w:pStyle w:val="Normal"/>
        <w:rPr/>
      </w:pPr>
      <w:r>
        <w:rPr/>
        <w:t>The controller needs sensor interfaces, actuator outputs and Wi-Fi for server communication.</w:t>
      </w:r>
    </w:p>
    <w:tbl>
      <w:tblPr>
        <w:tblW w:w="9893" w:type="dxa"/>
        <w:jc w:val="center"/>
        <w:tblInd w:w="0" w:type="dxa"/>
        <w:tblLayout w:type="fixed"/>
        <w:tblCellMar>
          <w:top w:w="90" w:type="dxa"/>
          <w:start w:w="110" w:type="dxa"/>
          <w:bottom w:w="90" w:type="dxa"/>
          <w:end w:w="110" w:type="dxa"/>
        </w:tblCellMar>
        <w:tblLook w:noHBand="0" w:noVBand="1" w:firstColumn="1" w:lastRow="0" w:lastColumn="0" w:firstRow="1" w:val="04a0"/>
      </w:tblPr>
      <w:tblGrid>
        <w:gridCol w:w="1942"/>
        <w:gridCol w:w="3816"/>
        <w:gridCol w:w="4135"/>
      </w:tblGrid>
      <w:tr>
        <w:trPr>
          <w:tblHeader w:val="true"/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Option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Relevant strengths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Tradeoffs for this project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81D41A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 xml:space="preserve">ESP32 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81D41A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Integrated Wi-Fi and peripheral interfaces; supported by the selected ESP-IDF framework.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81D41A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Confirm the board variant, usable pins, supply and input voltage limits.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 xml:space="preserve">Arduino Uno / ATmega328P 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Simple 8-bit board with a well-established development workflow.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Uno Rev3 has 2 KB SRAM and no integrated Wi-Fi; network hardware adds complexity.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Raspberry Pi Pico W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RP2040 microcontroller, 264 KB SRAM and integrated 2.4 GHz Wi-Fi.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Capable alternative, but uses a different SDK from the selected ESP-IDF workflow.</w:t>
            </w:r>
          </w:p>
        </w:tc>
      </w:tr>
    </w:tbl>
    <w:p>
      <w:pPr>
        <w:pStyle w:val="Normal"/>
        <w:spacing w:lineRule="exact" w:line="80" w:before="0" w:after="40"/>
        <w:rPr/>
      </w:pPr>
      <w:r>
        <w:rPr/>
      </w:r>
    </w:p>
    <w:p>
      <w:pPr>
        <w:pStyle w:val="Normal"/>
        <w:rPr/>
      </w:pPr>
      <w:r>
        <w:rPr>
          <w:b/>
        </w:rPr>
        <w:t xml:space="preserve">Selection. </w:t>
      </w:r>
      <w:r>
        <w:rPr/>
        <w:t>ESP32 combines the required networking and hardware interfaces with the chosen firmware platform. Pico W is viable, but changing platform provides no established benefit for this project. The comparison uses the original Uno Rev3 and Pico W, not newer boards.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140"/>
        <w:rPr/>
      </w:pPr>
      <w:r>
        <w:rPr/>
        <w:t>3.2 Temperature and Humidity Sensor</w:t>
      </w:r>
    </w:p>
    <w:p>
      <w:pPr>
        <w:pStyle w:val="Normal"/>
        <w:rPr/>
      </w:pPr>
      <w:r>
        <w:rPr/>
        <w:t>Temperature and relative humidity indicate ambient growing conditions. RH denotes relative humidity.</w:t>
      </w:r>
    </w:p>
    <w:tbl>
      <w:tblPr>
        <w:tblW w:w="9893" w:type="dxa"/>
        <w:jc w:val="center"/>
        <w:tblInd w:w="0" w:type="dxa"/>
        <w:tblLayout w:type="fixed"/>
        <w:tblCellMar>
          <w:top w:w="90" w:type="dxa"/>
          <w:start w:w="110" w:type="dxa"/>
          <w:bottom w:w="90" w:type="dxa"/>
          <w:end w:w="110" w:type="dxa"/>
        </w:tblCellMar>
        <w:tblLook w:noHBand="0" w:noVBand="1" w:firstColumn="1" w:lastRow="0" w:lastColumn="0" w:firstRow="1" w:val="04a0"/>
      </w:tblPr>
      <w:tblGrid>
        <w:gridCol w:w="1942"/>
        <w:gridCol w:w="3816"/>
        <w:gridCol w:w="4135"/>
      </w:tblGrid>
      <w:tr>
        <w:trPr>
          <w:tblHeader w:val="true"/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Option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Relevant strengths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Tradeoffs for this project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DHT11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Available prototype sensor with a simple digital interface.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Cited datasheet specifies ±2 °C and ±5% RH; limited range and coarse readings.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DHT22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Finer readings and wider measurement range than DHT11.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Requires another part; still a slow environmental sensor with a timing-sensitive interface.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BME280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I2C or SPI interface; measures humidity, temperature and pressure.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Requires a suitable module; pressure measurement is not a project requirement.</w:t>
            </w:r>
          </w:p>
        </w:tc>
      </w:tr>
    </w:tbl>
    <w:p>
      <w:pPr>
        <w:pStyle w:val="Normal"/>
        <w:spacing w:lineRule="exact" w:line="80" w:before="0" w:after="40"/>
        <w:rPr/>
      </w:pPr>
      <w:r>
        <w:rPr/>
      </w:r>
    </w:p>
    <w:p>
      <w:pPr>
        <w:pStyle w:val="Normal"/>
        <w:rPr/>
      </w:pPr>
      <w:r>
        <w:rPr>
          <w:b/>
        </w:rPr>
        <w:t xml:space="preserve">Selection. </w:t>
      </w:r>
      <w:r>
        <w:rPr/>
        <w:t>DHT11 is selected for the initial prototype on the basis of available hardware. This is an availability decision, not a claim of superior accuracy. Confirm its markings and datasheet before fixing operating limits.</w:t>
      </w:r>
    </w:p>
    <w:p>
      <w:pPr>
        <w:pStyle w:val="Normal"/>
        <w:rPr/>
      </w:pPr>
      <w:r>
        <w:rPr/>
        <w:t>Place the sensor away from splashes, direct sunlight and heat from electronics. Check readings against a reference. If its error or usable humidity range prevents meaningful monitoring, replace it with a more suitable sensor rather than hiding the limitation in software.</w:t>
      </w:r>
    </w:p>
    <w:p>
      <w:pPr>
        <w:pStyle w:val="Heading2"/>
        <w:rPr/>
      </w:pPr>
      <w:r>
        <w:rPr/>
        <w:t>3.3 Soil Moisture Sensor</w:t>
      </w:r>
    </w:p>
    <w:p>
      <w:pPr>
        <w:pStyle w:val="Normal"/>
        <w:rPr/>
      </w:pPr>
      <w:r>
        <w:rPr/>
        <w:t>The measurement supports irrigation decisions and must be calibrated in the growing medium.</w:t>
      </w:r>
    </w:p>
    <w:tbl>
      <w:tblPr>
        <w:tblW w:w="9893" w:type="dxa"/>
        <w:jc w:val="center"/>
        <w:tblInd w:w="0" w:type="dxa"/>
        <w:tblLayout w:type="fixed"/>
        <w:tblCellMar>
          <w:top w:w="90" w:type="dxa"/>
          <w:start w:w="110" w:type="dxa"/>
          <w:bottom w:w="90" w:type="dxa"/>
          <w:end w:w="110" w:type="dxa"/>
        </w:tblCellMar>
        <w:tblLook w:noHBand="0" w:noVBand="1" w:firstColumn="1" w:lastRow="0" w:lastColumn="0" w:firstRow="1" w:val="04a0"/>
      </w:tblPr>
      <w:tblGrid>
        <w:gridCol w:w="1942"/>
        <w:gridCol w:w="3816"/>
        <w:gridCol w:w="4135"/>
      </w:tblGrid>
      <w:tr>
        <w:trPr>
          <w:tblHeader w:val="true"/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Option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Relevant strengths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Tradeoffs for this project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Resistive probe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Simple conductivity measurement and low integration effort.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Exposed electrodes can corrode; salts and substrate affect the reading.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 xml:space="preserve">Capacitive probe 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Avoids the exposed conductive measurement path and generally reduces corrosion.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Board coating and sealing still matter; substrate-specific calibration is required.</w:t>
            </w:r>
          </w:p>
        </w:tc>
      </w:tr>
    </w:tbl>
    <w:p>
      <w:pPr>
        <w:pStyle w:val="Normal"/>
        <w:spacing w:lineRule="exact" w:line="80" w:before="0" w:after="40"/>
        <w:rPr/>
      </w:pPr>
      <w:r>
        <w:rPr/>
      </w:r>
    </w:p>
    <w:p>
      <w:pPr>
        <w:pStyle w:val="Normal"/>
        <w:rPr/>
      </w:pPr>
      <w:r>
        <w:rPr>
          <w:b/>
        </w:rPr>
        <w:t xml:space="preserve">Selection. </w:t>
      </w:r>
      <w:r>
        <w:rPr/>
        <w:t>To be selected. Prefer a capacitive sensor for repeated use in moist soil, subject to output-voltage compatibility and suitable construction. No exact model is committed.</w:t>
      </w:r>
    </w:p>
    <w:p>
      <w:pPr>
        <w:pStyle w:val="Normal"/>
        <w:rPr/>
      </w:pPr>
      <w:r>
        <w:rPr/>
        <w:t>If the available M5Stack unit includes a capacitive probe, evaluate that probe before adding another module. Report raw or calibrated relative readings initially; a displayed percentage is not volumetric water content without an appropriate calibration. [28]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140"/>
        <w:rPr/>
      </w:pPr>
      <w:r>
        <w:rPr/>
        <w:t>3.4 Water Level Measurement</w:t>
      </w:r>
    </w:p>
    <w:p>
      <w:pPr>
        <w:pStyle w:val="Normal"/>
        <w:rPr/>
      </w:pPr>
      <w:r>
        <w:rPr/>
        <w:t>Water is drawn from an external container. Level monitoring should prevent operation with an inadequate water supply.</w:t>
      </w:r>
    </w:p>
    <w:tbl>
      <w:tblPr>
        <w:tblW w:w="9893" w:type="dxa"/>
        <w:jc w:val="center"/>
        <w:tblInd w:w="0" w:type="dxa"/>
        <w:tblLayout w:type="fixed"/>
        <w:tblCellMar>
          <w:top w:w="90" w:type="dxa"/>
          <w:start w:w="110" w:type="dxa"/>
          <w:bottom w:w="90" w:type="dxa"/>
          <w:end w:w="110" w:type="dxa"/>
        </w:tblCellMar>
        <w:tblLook w:noHBand="0" w:noVBand="1" w:firstColumn="1" w:lastRow="0" w:lastColumn="0" w:firstRow="1" w:val="04a0"/>
      </w:tblPr>
      <w:tblGrid>
        <w:gridCol w:w="1942"/>
        <w:gridCol w:w="3816"/>
        <w:gridCol w:w="4135"/>
      </w:tblGrid>
      <w:tr>
        <w:trPr>
          <w:tblHeader w:val="true"/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Option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Relevant strengths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Tradeoffs for this project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Ultrasonic [29]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Non-contact distance measurement can support continuous level estimates.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Needs appropriate mounting and usable measurement range; container geometry and surface conditions affect suitability.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Float switch [30]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Simple discrete indication at a low-water threshold.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Moving part can stick; a single switch cannot report continuous fill percentage.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Capacitive [29]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Point detection can work through a compatible non-metal wall; continuous probes also exist.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Selection depends on wall material, thickness, liquid and required output.</w:t>
            </w:r>
          </w:p>
        </w:tc>
      </w:tr>
    </w:tbl>
    <w:p>
      <w:pPr>
        <w:pStyle w:val="Normal"/>
        <w:spacing w:lineRule="exact" w:line="80" w:before="0" w:after="40"/>
        <w:rPr/>
      </w:pPr>
      <w:r>
        <w:rPr/>
      </w:r>
    </w:p>
    <w:p>
      <w:pPr>
        <w:pStyle w:val="Normal"/>
        <w:rPr/>
      </w:pPr>
      <w:r>
        <w:rPr>
          <w:b/>
        </w:rPr>
        <w:t xml:space="preserve">Selection. </w:t>
      </w:r>
      <w:r>
        <w:rPr/>
        <w:t>To be selected. Prefer a float switch if the requirement is only low-water protection. Consider ultrasonic or capacitive sensing if continuous level information is required and the container permits reliable installation.</w:t>
      </w:r>
    </w:p>
    <w:p>
      <w:pPr>
        <w:pStyle w:val="Normal"/>
        <w:rPr/>
      </w:pPr>
      <w:r>
        <w:rPr/>
        <w:t>Confirm container dimensions and material before purchasing. Define how a missing or invalid level signal inhibits irrigation. Continuous level and remaining volume are different: volume estimates also require container geometry or calibration.</w:t>
      </w:r>
    </w:p>
    <w:p>
      <w:pPr>
        <w:pStyle w:val="Heading2"/>
        <w:rPr/>
      </w:pPr>
      <w:r>
        <w:rPr/>
        <w:t>3.5 Water Pump</w:t>
      </w:r>
    </w:p>
    <w:p>
      <w:pPr>
        <w:pStyle w:val="Normal"/>
        <w:rPr/>
      </w:pPr>
      <w:r>
        <w:rPr/>
        <w:t>The pump transfers water from the external container to the plants.</w:t>
      </w:r>
    </w:p>
    <w:tbl>
      <w:tblPr>
        <w:tblW w:w="9893" w:type="dxa"/>
        <w:jc w:val="center"/>
        <w:tblInd w:w="0" w:type="dxa"/>
        <w:tblLayout w:type="fixed"/>
        <w:tblCellMar>
          <w:top w:w="90" w:type="dxa"/>
          <w:start w:w="110" w:type="dxa"/>
          <w:bottom w:w="90" w:type="dxa"/>
          <w:end w:w="110" w:type="dxa"/>
        </w:tblCellMar>
        <w:tblLook w:noHBand="0" w:noVBand="1" w:firstColumn="1" w:lastRow="0" w:lastColumn="0" w:firstRow="1" w:val="04a0"/>
      </w:tblPr>
      <w:tblGrid>
        <w:gridCol w:w="1942"/>
        <w:gridCol w:w="3816"/>
        <w:gridCol w:w="4135"/>
      </w:tblGrid>
      <w:tr>
        <w:trPr>
          <w:tblHeader w:val="true"/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Option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Relevant strengths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Tradeoffs for this project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M5Stack pump module [28]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Available hardware; an integrated controlled module can reduce separate driver circuitry and wiring.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Exact module, power supply, logic compatibility and delivered flow need verification.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Generic DC pump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Broad choice of flow rate, head and supply voltage.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Needs a correctly rated driver or relay/MOSFET circuit, power supply and suitable inductive protection.</w:t>
            </w:r>
          </w:p>
        </w:tc>
      </w:tr>
    </w:tbl>
    <w:p>
      <w:pPr>
        <w:pStyle w:val="Normal"/>
        <w:spacing w:lineRule="exact" w:line="80" w:before="0" w:after="40"/>
        <w:rPr/>
      </w:pPr>
      <w:r>
        <w:rPr/>
      </w:r>
    </w:p>
    <w:p>
      <w:pPr>
        <w:pStyle w:val="Normal"/>
        <w:rPr/>
      </w:pPr>
      <w:r>
        <w:rPr>
          <w:b/>
        </w:rPr>
        <w:t xml:space="preserve">Selection. </w:t>
      </w:r>
      <w:r>
        <w:rPr/>
        <w:t>Use the available M5Stack pump. Reusing a module with integrated control reduces assembly effort compared with a bare pump and separate driver.</w:t>
      </w:r>
    </w:p>
    <w:p>
      <w:pPr>
        <w:pStyle w:val="Normal"/>
        <w:rPr/>
      </w:pPr>
      <w:r>
        <w:rPr/>
        <w:t>M5Stack Unit Watering U101 is an official example with a pump-enable input and integrated capacitive probe; this does not establish that the available pump is U101. Confirm its model before wiring. A bare replacement pump still requires a driver. Power the motor through its rated supply path, not an ESP32 GPIO. [28]</w:t>
      </w:r>
    </w:p>
    <w:p>
      <w:pPr>
        <w:pStyle w:val="Normal"/>
        <w:rPr/>
      </w:pPr>
      <w:r>
        <w:rPr/>
        <w:t>Measure delivered water with the actual tubing and lift height. Firmware should apply a maximum run time, low-water inhibit and an off state after restart. Pump suitability depends on this check, not just nominal pump power.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140"/>
        <w:rPr/>
      </w:pPr>
      <w:r>
        <w:rPr/>
        <w:t>3.6 Additional Sensors and Actuators</w:t>
      </w:r>
    </w:p>
    <w:p>
      <w:pPr>
        <w:pStyle w:val="Normal"/>
        <w:rPr/>
      </w:pPr>
      <w:r>
        <w:rPr/>
        <w:t>These features retain their requirement priorities and do not expand the core stack prematurely.</w:t>
      </w:r>
    </w:p>
    <w:tbl>
      <w:tblPr>
        <w:tblW w:w="9893" w:type="dxa"/>
        <w:jc w:val="center"/>
        <w:tblInd w:w="0" w:type="dxa"/>
        <w:tblLayout w:type="fixed"/>
        <w:tblCellMar>
          <w:top w:w="90" w:type="dxa"/>
          <w:start w:w="110" w:type="dxa"/>
          <w:bottom w:w="90" w:type="dxa"/>
          <w:end w:w="110" w:type="dxa"/>
        </w:tblCellMar>
        <w:tblLook w:noHBand="0" w:noVBand="1" w:firstColumn="1" w:lastRow="0" w:lastColumn="0" w:firstRow="1" w:val="04a0"/>
      </w:tblPr>
      <w:tblGrid>
        <w:gridCol w:w="1942"/>
        <w:gridCol w:w="3816"/>
        <w:gridCol w:w="4135"/>
      </w:tblGrid>
      <w:tr>
        <w:trPr>
          <w:tblHeader w:val="true"/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Feature and priority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Selection approach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Light sensor</w:t>
              <w:br/>
              <w:t>Should Have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Record illumination trends.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Part to be selected. Match measurement range, interface and mounting to the intended metric.</w:t>
            </w:r>
          </w:p>
        </w:tc>
      </w:tr>
      <w:tr>
        <w:trPr>
          <w:cantSplit/>
        </w:trPr>
        <w:tc>
          <w:tcPr>
            <w:tcW w:w="19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Fan control</w:t>
              <w:br/>
              <w:t>Could Have</w:t>
            </w:r>
          </w:p>
        </w:tc>
        <w:tc>
          <w:tcPr>
            <w:tcW w:w="381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Support ventilation if required.</w:t>
            </w:r>
          </w:p>
        </w:tc>
        <w:tc>
          <w:tcPr>
            <w:tcW w:w="413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Fan and driver to be selected. Define switching thresholds, hysteresis and power requirements before implementation.</w:t>
            </w:r>
          </w:p>
        </w:tc>
      </w:tr>
    </w:tbl>
    <w:p>
      <w:pPr>
        <w:pStyle w:val="Normal"/>
        <w:spacing w:lineRule="exact" w:line="80" w:before="0" w:after="40"/>
        <w:rPr/>
      </w:pPr>
      <w:r>
        <w:rPr/>
      </w:r>
    </w:p>
    <w:p>
      <w:pPr>
        <w:pStyle w:val="Normal"/>
        <w:rPr/>
      </w:pPr>
      <w:r>
        <w:rPr/>
        <w:t>Light readings should be labelled according to what is measured. A general illumination reading must not be presented as a direct measurement of plant-usable photon flux without suitable sensing and calibration.</w:t>
      </w:r>
    </w:p>
    <w:p>
      <w:pPr>
        <w:pStyle w:val="Heading1"/>
        <w:rPr/>
      </w:pPr>
      <w:r>
        <w:rPr/>
        <w:t>4 Selected Technology Stack</w:t>
      </w:r>
    </w:p>
    <w:tbl>
      <w:tblPr>
        <w:tblW w:w="9893" w:type="dxa"/>
        <w:jc w:val="center"/>
        <w:tblInd w:w="0" w:type="dxa"/>
        <w:tblLayout w:type="fixed"/>
        <w:tblCellMar>
          <w:top w:w="90" w:type="dxa"/>
          <w:start w:w="110" w:type="dxa"/>
          <w:bottom w:w="90" w:type="dxa"/>
          <w:end w:w="110" w:type="dxa"/>
        </w:tblCellMar>
        <w:tblLook w:noHBand="0" w:noVBand="1" w:firstColumn="1" w:lastRow="0" w:lastColumn="0" w:firstRow="1" w:val="04a0"/>
      </w:tblPr>
      <w:tblGrid>
        <w:gridCol w:w="2230"/>
        <w:gridCol w:w="3240"/>
        <w:gridCol w:w="4423"/>
      </w:tblGrid>
      <w:tr>
        <w:trPr>
          <w:tblHeader w:val="true"/>
          <w:cantSplit/>
        </w:trPr>
        <w:tc>
          <w:tcPr>
            <w:tcW w:w="223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Area</w:t>
            </w:r>
          </w:p>
        </w:tc>
        <w:tc>
          <w:tcPr>
            <w:tcW w:w="324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Selected technology or status</w:t>
            </w:r>
          </w:p>
        </w:tc>
        <w:tc>
          <w:tcPr>
            <w:tcW w:w="442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B53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FFFFFF"/>
                <w:sz w:val="20"/>
              </w:rPr>
              <w:t>Responsibility</w:t>
            </w:r>
          </w:p>
        </w:tc>
      </w:tr>
      <w:tr>
        <w:trPr>
          <w:cantSplit/>
        </w:trPr>
        <w:tc>
          <w:tcPr>
            <w:tcW w:w="223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Embedded software</w:t>
            </w:r>
          </w:p>
        </w:tc>
        <w:tc>
          <w:tcPr>
            <w:tcW w:w="324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C + ESP-IDF</w:t>
            </w:r>
          </w:p>
        </w:tc>
        <w:tc>
          <w:tcPr>
            <w:tcW w:w="442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Sensor acquisition, local control and networking</w:t>
            </w:r>
          </w:p>
        </w:tc>
      </w:tr>
      <w:tr>
        <w:trPr>
          <w:cantSplit/>
        </w:trPr>
        <w:tc>
          <w:tcPr>
            <w:tcW w:w="223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Device to server</w:t>
            </w:r>
          </w:p>
        </w:tc>
        <w:tc>
          <w:tcPr>
            <w:tcW w:w="324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MQTT over Wi-Fi/IP</w:t>
            </w:r>
          </w:p>
        </w:tc>
        <w:tc>
          <w:tcPr>
            <w:tcW w:w="442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Telemetry, status and commands</w:t>
            </w:r>
          </w:p>
        </w:tc>
      </w:tr>
      <w:tr>
        <w:trPr>
          <w:cantSplit/>
        </w:trPr>
        <w:tc>
          <w:tcPr>
            <w:tcW w:w="223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MQTT broker</w:t>
            </w:r>
          </w:p>
        </w:tc>
        <w:tc>
          <w:tcPr>
            <w:tcW w:w="324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Eclipse Mosquitto</w:t>
            </w:r>
          </w:p>
        </w:tc>
        <w:tc>
          <w:tcPr>
            <w:tcW w:w="442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Route messages</w:t>
            </w:r>
          </w:p>
        </w:tc>
      </w:tr>
      <w:tr>
        <w:trPr>
          <w:cantSplit/>
        </w:trPr>
        <w:tc>
          <w:tcPr>
            <w:tcW w:w="223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Backend</w:t>
            </w:r>
          </w:p>
        </w:tc>
        <w:tc>
          <w:tcPr>
            <w:tcW w:w="324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Node.js</w:t>
            </w:r>
          </w:p>
        </w:tc>
        <w:tc>
          <w:tcPr>
            <w:tcW w:w="442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Validate, persist and apply application rules</w:t>
            </w:r>
          </w:p>
        </w:tc>
      </w:tr>
      <w:tr>
        <w:trPr>
          <w:cantSplit/>
        </w:trPr>
        <w:tc>
          <w:tcPr>
            <w:tcW w:w="223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Database</w:t>
            </w:r>
          </w:p>
        </w:tc>
        <w:tc>
          <w:tcPr>
            <w:tcW w:w="324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PostgreSQL</w:t>
            </w:r>
          </w:p>
        </w:tc>
        <w:tc>
          <w:tcPr>
            <w:tcW w:w="442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Store measurements and operational records</w:t>
            </w:r>
          </w:p>
        </w:tc>
      </w:tr>
      <w:tr>
        <w:trPr>
          <w:cantSplit/>
        </w:trPr>
        <w:tc>
          <w:tcPr>
            <w:tcW w:w="223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Dashboard</w:t>
            </w:r>
          </w:p>
        </w:tc>
        <w:tc>
          <w:tcPr>
            <w:tcW w:w="324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Grafana</w:t>
            </w:r>
          </w:p>
        </w:tc>
        <w:tc>
          <w:tcPr>
            <w:tcW w:w="442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Read data and visualize conditions</w:t>
            </w:r>
          </w:p>
        </w:tc>
      </w:tr>
      <w:tr>
        <w:trPr>
          <w:cantSplit/>
        </w:trPr>
        <w:tc>
          <w:tcPr>
            <w:tcW w:w="223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Development</w:t>
            </w:r>
          </w:p>
        </w:tc>
        <w:tc>
          <w:tcPr>
            <w:tcW w:w="324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Vim + ESP-IDF CLI</w:t>
            </w:r>
          </w:p>
        </w:tc>
        <w:tc>
          <w:tcPr>
            <w:tcW w:w="442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Edit, build, flash and monitor</w:t>
            </w:r>
          </w:p>
        </w:tc>
      </w:tr>
      <w:tr>
        <w:trPr>
          <w:cantSplit/>
        </w:trPr>
        <w:tc>
          <w:tcPr>
            <w:tcW w:w="223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Version control</w:t>
            </w:r>
          </w:p>
        </w:tc>
        <w:tc>
          <w:tcPr>
            <w:tcW w:w="324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Git</w:t>
            </w:r>
          </w:p>
        </w:tc>
        <w:tc>
          <w:tcPr>
            <w:tcW w:w="442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Track changes; optional GitHub remote</w:t>
            </w:r>
          </w:p>
        </w:tc>
      </w:tr>
      <w:tr>
        <w:trPr>
          <w:cantSplit/>
        </w:trPr>
        <w:tc>
          <w:tcPr>
            <w:tcW w:w="223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Microcontroller</w:t>
            </w:r>
          </w:p>
        </w:tc>
        <w:tc>
          <w:tcPr>
            <w:tcW w:w="324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ESP32</w:t>
            </w:r>
          </w:p>
        </w:tc>
        <w:tc>
          <w:tcPr>
            <w:tcW w:w="442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Connect sensors and actuators</w:t>
            </w:r>
          </w:p>
        </w:tc>
      </w:tr>
      <w:tr>
        <w:trPr>
          <w:cantSplit/>
        </w:trPr>
        <w:tc>
          <w:tcPr>
            <w:tcW w:w="223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Temperature and humidity</w:t>
            </w:r>
          </w:p>
        </w:tc>
        <w:tc>
          <w:tcPr>
            <w:tcW w:w="324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DHT11 for initial prototype</w:t>
            </w:r>
          </w:p>
        </w:tc>
        <w:tc>
          <w:tcPr>
            <w:tcW w:w="442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Ambient measurements</w:t>
            </w:r>
          </w:p>
        </w:tc>
      </w:tr>
      <w:tr>
        <w:trPr>
          <w:cantSplit/>
        </w:trPr>
        <w:tc>
          <w:tcPr>
            <w:tcW w:w="223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Soil moisture</w:t>
            </w:r>
          </w:p>
        </w:tc>
        <w:tc>
          <w:tcPr>
            <w:tcW w:w="324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To be selected</w:t>
            </w:r>
          </w:p>
        </w:tc>
        <w:tc>
          <w:tcPr>
            <w:tcW w:w="442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Capacitive approach preferred</w:t>
            </w:r>
          </w:p>
        </w:tc>
      </w:tr>
      <w:tr>
        <w:trPr>
          <w:cantSplit/>
        </w:trPr>
        <w:tc>
          <w:tcPr>
            <w:tcW w:w="223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Water level</w:t>
            </w:r>
          </w:p>
        </w:tc>
        <w:tc>
          <w:tcPr>
            <w:tcW w:w="324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To be selected</w:t>
            </w:r>
          </w:p>
        </w:tc>
        <w:tc>
          <w:tcPr>
            <w:tcW w:w="442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Match low-level or continuous requirement</w:t>
            </w:r>
          </w:p>
        </w:tc>
      </w:tr>
      <w:tr>
        <w:trPr>
          <w:cantSplit/>
        </w:trPr>
        <w:tc>
          <w:tcPr>
            <w:tcW w:w="223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Irrigation</w:t>
            </w:r>
          </w:p>
        </w:tc>
        <w:tc>
          <w:tcPr>
            <w:tcW w:w="324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Available M5Stack pump</w:t>
            </w:r>
          </w:p>
        </w:tc>
        <w:tc>
          <w:tcPr>
            <w:tcW w:w="442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Draw water from the external container</w:t>
            </w:r>
          </w:p>
        </w:tc>
      </w:tr>
      <w:tr>
        <w:trPr>
          <w:cantSplit/>
        </w:trPr>
        <w:tc>
          <w:tcPr>
            <w:tcW w:w="223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/>
                <w:color w:val="000000"/>
                <w:sz w:val="20"/>
              </w:rPr>
              <w:t>Additional features</w:t>
            </w:r>
          </w:p>
        </w:tc>
        <w:tc>
          <w:tcPr>
            <w:tcW w:w="324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Light: Should Have</w:t>
              <w:br/>
              <w:t>Fan: Could Have</w:t>
            </w:r>
          </w:p>
        </w:tc>
        <w:tc>
          <w:tcPr>
            <w:tcW w:w="442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4F7" w:val="clear"/>
            <w:vAlign w:val="center"/>
          </w:tcPr>
          <w:p>
            <w:pPr>
              <w:pStyle w:val="Normal"/>
              <w:spacing w:lineRule="auto" w:line="250" w:before="0" w:after="0"/>
              <w:rPr/>
            </w:pPr>
            <w:r>
              <w:rPr>
                <w:b w:val="false"/>
                <w:color w:val="000000"/>
                <w:sz w:val="20"/>
              </w:rPr>
              <w:t>Parts remain to be selected</w:t>
            </w:r>
          </w:p>
        </w:tc>
      </w:tr>
    </w:tbl>
    <w:p>
      <w:pPr>
        <w:pStyle w:val="Normal"/>
        <w:spacing w:lineRule="exact" w:line="80" w:before="0" w:after="40"/>
        <w:rPr/>
      </w:pPr>
      <w:r>
        <w:rPr/>
      </w:r>
    </w:p>
    <w:p>
      <w:pPr>
        <w:pStyle w:val="Normal"/>
        <w:rPr/>
      </w:pPr>
      <w:r>
        <w:rPr/>
        <w:t>Telemetry passes from the ESP32 through Mosquitto and Node.js into PostgreSQL; Grafana queries PostgreSQL. Commands travel from the backend through Mosquitto to the ESP32. A database extension, custom frontend, REST service or orchestration platform is not needed to establish this baseline.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40"/>
        <w:rPr/>
      </w:pPr>
      <w:r>
        <w:rPr/>
        <w:t>References</w:t>
      </w:r>
    </w:p>
    <w:p>
      <w:pPr>
        <w:pStyle w:val="Normal"/>
        <w:rPr/>
      </w:pPr>
      <w:r>
        <w:rPr/>
        <w:t>Official specifications, project documentation and manufacturer information support the comparisons. Selection rationales apply these facts to the greenhouse requirements. Sources accessed 29 September 2026. Reference titles are clickable links.</w:t>
      </w:r>
    </w:p>
    <w:p>
      <w:pPr>
        <w:pStyle w:val="Normal"/>
        <w:keepLines/>
        <w:spacing w:lineRule="auto" w:line="250" w:before="0" w:after="120"/>
        <w:rPr/>
      </w:pPr>
      <w:r>
        <w:rPr>
          <w:sz w:val="19"/>
        </w:rPr>
        <w:t xml:space="preserve">[1] Espressif. </w:t>
      </w:r>
      <w:hyperlink r:id="rId2">
        <w:r>
          <w:rPr>
            <w:rStyle w:val="Style"/>
            <w:color w:val="245780"/>
            <w:sz w:val="19"/>
          </w:rPr>
          <w:t>ESP-IDF Programming Guide — Get Started</w:t>
        </w:r>
      </w:hyperlink>
    </w:p>
    <w:p>
      <w:pPr>
        <w:pStyle w:val="Normal"/>
        <w:keepLines/>
        <w:spacing w:lineRule="auto" w:line="250" w:before="0" w:after="120"/>
        <w:rPr/>
      </w:pPr>
      <w:r>
        <w:rPr>
          <w:sz w:val="19"/>
        </w:rPr>
        <w:t xml:space="preserve">[2] Espressif. </w:t>
      </w:r>
      <w:hyperlink r:id="rId3">
        <w:r>
          <w:rPr>
            <w:rStyle w:val="Style"/>
            <w:color w:val="245780"/>
            <w:sz w:val="19"/>
          </w:rPr>
          <w:t>Arduino Core for ESP32 documentation</w:t>
        </w:r>
      </w:hyperlink>
    </w:p>
    <w:p>
      <w:pPr>
        <w:pStyle w:val="Normal"/>
        <w:keepLines/>
        <w:spacing w:lineRule="auto" w:line="250" w:before="0" w:after="120"/>
        <w:rPr/>
      </w:pPr>
      <w:r>
        <w:rPr>
          <w:sz w:val="19"/>
        </w:rPr>
        <w:t xml:space="preserve">[3] MicroPython. </w:t>
      </w:r>
      <w:hyperlink r:id="rId4">
        <w:r>
          <w:rPr>
            <w:rStyle w:val="Style"/>
            <w:color w:val="245780"/>
            <w:sz w:val="19"/>
          </w:rPr>
          <w:t>Python for microcontrollers</w:t>
        </w:r>
      </w:hyperlink>
    </w:p>
    <w:p>
      <w:pPr>
        <w:pStyle w:val="Normal"/>
        <w:keepLines/>
        <w:spacing w:lineRule="auto" w:line="250" w:before="0" w:after="120"/>
        <w:rPr/>
      </w:pPr>
      <w:r>
        <w:rPr>
          <w:sz w:val="19"/>
        </w:rPr>
        <w:t xml:space="preserve">[4] OASIS. </w:t>
      </w:r>
      <w:hyperlink r:id="rId5">
        <w:r>
          <w:rPr>
            <w:rStyle w:val="Style"/>
            <w:color w:val="245780"/>
            <w:sz w:val="19"/>
          </w:rPr>
          <w:t>MQTT Version 5.0 specification</w:t>
        </w:r>
      </w:hyperlink>
    </w:p>
    <w:p>
      <w:pPr>
        <w:pStyle w:val="Normal"/>
        <w:keepLines/>
        <w:spacing w:lineRule="auto" w:line="250" w:before="0" w:after="120"/>
        <w:rPr/>
      </w:pPr>
      <w:r>
        <w:rPr>
          <w:sz w:val="19"/>
        </w:rPr>
        <w:t xml:space="preserve">[5] IETF HTTP Working Group. </w:t>
      </w:r>
      <w:hyperlink r:id="rId6">
        <w:r>
          <w:rPr>
            <w:rStyle w:val="Style"/>
            <w:color w:val="245780"/>
            <w:sz w:val="19"/>
          </w:rPr>
          <w:t>RFC 9110 — HTTP Semantics</w:t>
        </w:r>
      </w:hyperlink>
    </w:p>
    <w:p>
      <w:pPr>
        <w:pStyle w:val="Normal"/>
        <w:keepLines/>
        <w:spacing w:lineRule="auto" w:line="250" w:before="0" w:after="120"/>
        <w:rPr/>
      </w:pPr>
      <w:r>
        <w:rPr>
          <w:sz w:val="19"/>
        </w:rPr>
        <w:t xml:space="preserve">[6] IETF. </w:t>
      </w:r>
      <w:hyperlink r:id="rId7">
        <w:r>
          <w:rPr>
            <w:rStyle w:val="Style"/>
            <w:color w:val="245780"/>
            <w:sz w:val="19"/>
          </w:rPr>
          <w:t>RFC 7252 — The Constrained Application Protocol</w:t>
        </w:r>
      </w:hyperlink>
    </w:p>
    <w:p>
      <w:pPr>
        <w:pStyle w:val="Normal"/>
        <w:keepLines/>
        <w:spacing w:lineRule="auto" w:line="250" w:before="0" w:after="120"/>
        <w:rPr/>
      </w:pPr>
      <w:r>
        <w:rPr>
          <w:sz w:val="19"/>
        </w:rPr>
        <w:t xml:space="preserve">[7] Eclipse Foundation. </w:t>
      </w:r>
      <w:hyperlink r:id="rId8">
        <w:r>
          <w:rPr>
            <w:rStyle w:val="Style"/>
            <w:color w:val="245780"/>
            <w:sz w:val="19"/>
          </w:rPr>
          <w:t>Eclipse Mosquitto overview and documentation</w:t>
        </w:r>
      </w:hyperlink>
    </w:p>
    <w:p>
      <w:pPr>
        <w:pStyle w:val="Normal"/>
        <w:keepLines/>
        <w:spacing w:lineRule="auto" w:line="250" w:before="0" w:after="120"/>
        <w:rPr/>
      </w:pPr>
      <w:r>
        <w:rPr>
          <w:sz w:val="19"/>
        </w:rPr>
        <w:t xml:space="preserve">[8] EMQX. </w:t>
      </w:r>
      <w:hyperlink r:id="rId9">
        <w:r>
          <w:rPr>
            <w:rStyle w:val="Style"/>
            <w:color w:val="245780"/>
            <w:sz w:val="19"/>
          </w:rPr>
          <w:t>EMQX overview</w:t>
        </w:r>
      </w:hyperlink>
    </w:p>
    <w:p>
      <w:pPr>
        <w:pStyle w:val="Normal"/>
        <w:keepLines/>
        <w:spacing w:lineRule="auto" w:line="250" w:before="0" w:after="120"/>
        <w:rPr/>
      </w:pPr>
      <w:r>
        <w:rPr>
          <w:sz w:val="19"/>
        </w:rPr>
        <w:t xml:space="preserve">[9] HiveMQ. </w:t>
      </w:r>
      <w:hyperlink r:id="rId10">
        <w:r>
          <w:rPr>
            <w:rStyle w:val="Style"/>
            <w:color w:val="245780"/>
            <w:sz w:val="19"/>
          </w:rPr>
          <w:t>HiveMQ MQTT Broker Clusters</w:t>
        </w:r>
      </w:hyperlink>
    </w:p>
    <w:p>
      <w:pPr>
        <w:pStyle w:val="Normal"/>
        <w:keepLines/>
        <w:spacing w:lineRule="auto" w:line="250" w:before="0" w:after="120"/>
        <w:rPr/>
      </w:pPr>
      <w:r>
        <w:rPr>
          <w:sz w:val="19"/>
        </w:rPr>
        <w:t xml:space="preserve">[10] Node.js. </w:t>
      </w:r>
      <w:hyperlink r:id="rId11">
        <w:r>
          <w:rPr>
            <w:rStyle w:val="Style"/>
            <w:color w:val="245780"/>
            <w:sz w:val="19"/>
          </w:rPr>
          <w:t>About Node.js</w:t>
        </w:r>
      </w:hyperlink>
    </w:p>
    <w:p>
      <w:pPr>
        <w:pStyle w:val="Normal"/>
        <w:keepLines/>
        <w:spacing w:lineRule="auto" w:line="250" w:before="0" w:after="120"/>
        <w:rPr/>
      </w:pPr>
      <w:r>
        <w:rPr>
          <w:sz w:val="19"/>
        </w:rPr>
        <w:t xml:space="preserve">[11] MQTT.js maintainers. </w:t>
      </w:r>
      <w:hyperlink r:id="rId12">
        <w:r>
          <w:rPr>
            <w:rStyle w:val="Style"/>
            <w:color w:val="245780"/>
            <w:sz w:val="19"/>
          </w:rPr>
          <w:t>MQTT.js project documentation</w:t>
        </w:r>
      </w:hyperlink>
    </w:p>
    <w:p>
      <w:pPr>
        <w:pStyle w:val="Normal"/>
        <w:keepLines/>
        <w:spacing w:lineRule="auto" w:line="250" w:before="0" w:after="120"/>
        <w:rPr/>
      </w:pPr>
      <w:r>
        <w:rPr>
          <w:sz w:val="19"/>
        </w:rPr>
        <w:t xml:space="preserve">[12] node-postgres maintainers. </w:t>
      </w:r>
      <w:hyperlink r:id="rId13">
        <w:r>
          <w:rPr>
            <w:rStyle w:val="Style"/>
            <w:color w:val="245780"/>
            <w:sz w:val="19"/>
          </w:rPr>
          <w:t>node-postgres documentation</w:t>
        </w:r>
      </w:hyperlink>
    </w:p>
    <w:p>
      <w:pPr>
        <w:pStyle w:val="Normal"/>
        <w:keepLines/>
        <w:spacing w:lineRule="auto" w:line="250" w:before="0" w:after="120"/>
        <w:rPr/>
      </w:pPr>
      <w:r>
        <w:rPr>
          <w:sz w:val="19"/>
        </w:rPr>
        <w:t xml:space="preserve">[13] Python Software Foundation. </w:t>
      </w:r>
      <w:hyperlink r:id="rId14">
        <w:r>
          <w:rPr>
            <w:rStyle w:val="Style"/>
            <w:color w:val="245780"/>
            <w:sz w:val="19"/>
          </w:rPr>
          <w:t>asyncio — Asynchronous I/O</w:t>
        </w:r>
      </w:hyperlink>
    </w:p>
    <w:p>
      <w:pPr>
        <w:pStyle w:val="Normal"/>
        <w:keepLines/>
        <w:spacing w:lineRule="auto" w:line="250" w:before="0" w:after="120"/>
        <w:rPr/>
      </w:pPr>
      <w:r>
        <w:rPr>
          <w:sz w:val="19"/>
        </w:rPr>
        <w:t xml:space="preserve">[14] The Go Authors. </w:t>
      </w:r>
      <w:r>
        <w:fldChar w:fldCharType="begin"/>
      </w:r>
      <w:r>
        <w:rPr>
          <w:rStyle w:val="Style"/>
          <w:color w:val="245780"/>
          <w:sz w:val="19"/>
        </w:rPr>
        <w:instrText xml:space="preserve"> HYPERLINK "https://go.dev/doc/effective_go" \l "concurrency"</w:instrText>
      </w:r>
      <w:r>
        <w:rPr>
          <w:rStyle w:val="Style"/>
          <w:color w:val="245780"/>
          <w:sz w:val="19"/>
        </w:rPr>
        <w:fldChar w:fldCharType="separate"/>
      </w:r>
      <w:r>
        <w:rPr>
          <w:rStyle w:val="Style"/>
          <w:color w:val="245780"/>
          <w:sz w:val="19"/>
        </w:rPr>
        <w:t>Effective Go — Concurrency</w:t>
      </w:r>
      <w:r>
        <w:rPr>
          <w:rStyle w:val="Style"/>
          <w:color w:val="245780"/>
          <w:sz w:val="19"/>
        </w:rPr>
        <w:fldChar w:fldCharType="end"/>
      </w:r>
    </w:p>
    <w:p>
      <w:pPr>
        <w:pStyle w:val="Normal"/>
        <w:keepLines/>
        <w:spacing w:lineRule="auto" w:line="250" w:before="0" w:after="120"/>
        <w:rPr/>
      </w:pPr>
      <w:r>
        <w:rPr>
          <w:sz w:val="19"/>
        </w:rPr>
        <w:t xml:space="preserve">[15] PostgreSQL Global Development Group. </w:t>
      </w:r>
      <w:hyperlink r:id="rId15">
        <w:r>
          <w:rPr>
            <w:rStyle w:val="Style"/>
            <w:color w:val="245780"/>
            <w:sz w:val="19"/>
          </w:rPr>
          <w:t>About PostgreSQL</w:t>
        </w:r>
      </w:hyperlink>
    </w:p>
    <w:p>
      <w:pPr>
        <w:pStyle w:val="Normal"/>
        <w:keepLines/>
        <w:spacing w:lineRule="auto" w:line="250" w:before="0" w:after="120"/>
        <w:rPr/>
      </w:pPr>
      <w:r>
        <w:rPr>
          <w:sz w:val="19"/>
        </w:rPr>
        <w:t xml:space="preserve">[16] SQLite. </w:t>
      </w:r>
      <w:hyperlink r:id="rId16">
        <w:r>
          <w:rPr>
            <w:rStyle w:val="Style"/>
            <w:color w:val="245780"/>
            <w:sz w:val="19"/>
          </w:rPr>
          <w:t>Appropriate Uses For SQLite</w:t>
        </w:r>
      </w:hyperlink>
    </w:p>
    <w:p>
      <w:pPr>
        <w:pStyle w:val="Normal"/>
        <w:keepLines/>
        <w:spacing w:lineRule="auto" w:line="250" w:before="0" w:after="120"/>
        <w:rPr/>
      </w:pPr>
      <w:r>
        <w:rPr>
          <w:sz w:val="19"/>
        </w:rPr>
        <w:t xml:space="preserve">[17] InfluxData. </w:t>
      </w:r>
      <w:hyperlink r:id="rId17">
        <w:r>
          <w:rPr>
            <w:rStyle w:val="Style"/>
            <w:color w:val="245780"/>
            <w:sz w:val="19"/>
          </w:rPr>
          <w:t>InfluxDB 3 Core documentation</w:t>
        </w:r>
      </w:hyperlink>
    </w:p>
    <w:p>
      <w:pPr>
        <w:pStyle w:val="Normal"/>
        <w:keepLines/>
        <w:spacing w:lineRule="auto" w:line="250" w:before="0" w:after="120"/>
        <w:rPr/>
      </w:pPr>
      <w:r>
        <w:rPr>
          <w:sz w:val="19"/>
        </w:rPr>
        <w:t xml:space="preserve">[18] Grafana Labs. </w:t>
      </w:r>
      <w:hyperlink r:id="rId18">
        <w:r>
          <w:rPr>
            <w:rStyle w:val="Style"/>
            <w:color w:val="245780"/>
            <w:sz w:val="19"/>
          </w:rPr>
          <w:t>PostgreSQL data source</w:t>
        </w:r>
      </w:hyperlink>
    </w:p>
    <w:p>
      <w:pPr>
        <w:pStyle w:val="Normal"/>
        <w:keepLines/>
        <w:spacing w:lineRule="auto" w:line="250" w:before="0" w:after="120"/>
        <w:rPr/>
      </w:pPr>
      <w:r>
        <w:rPr>
          <w:sz w:val="19"/>
        </w:rPr>
        <w:t xml:space="preserve">[19] FlowFuse. </w:t>
      </w:r>
      <w:hyperlink r:id="rId19">
        <w:r>
          <w:rPr>
            <w:rStyle w:val="Style"/>
            <w:color w:val="245780"/>
            <w:sz w:val="19"/>
          </w:rPr>
          <w:t>Node-RED Dashboard 2.0</w:t>
        </w:r>
      </w:hyperlink>
    </w:p>
    <w:p>
      <w:pPr>
        <w:pStyle w:val="Normal"/>
        <w:keepLines/>
        <w:spacing w:lineRule="auto" w:line="250" w:before="0" w:after="120"/>
        <w:rPr/>
      </w:pPr>
      <w:r>
        <w:rPr>
          <w:sz w:val="19"/>
        </w:rPr>
        <w:t xml:space="preserve">[20] Vim. </w:t>
      </w:r>
      <w:hyperlink r:id="rId20">
        <w:r>
          <w:rPr>
            <w:rStyle w:val="Style"/>
            <w:color w:val="245780"/>
            <w:sz w:val="19"/>
          </w:rPr>
          <w:t>About Vim</w:t>
        </w:r>
      </w:hyperlink>
    </w:p>
    <w:p>
      <w:pPr>
        <w:pStyle w:val="Normal"/>
        <w:keepLines/>
        <w:spacing w:lineRule="auto" w:line="250" w:before="0" w:after="120"/>
        <w:rPr/>
      </w:pPr>
      <w:r>
        <w:rPr>
          <w:sz w:val="19"/>
        </w:rPr>
        <w:t xml:space="preserve">[21] Git project. </w:t>
      </w:r>
      <w:hyperlink r:id="rId21">
        <w:r>
          <w:rPr>
            <w:rStyle w:val="Style"/>
            <w:color w:val="245780"/>
            <w:sz w:val="19"/>
          </w:rPr>
          <w:t>About Git</w:t>
        </w:r>
      </w:hyperlink>
    </w:p>
    <w:p>
      <w:pPr>
        <w:pStyle w:val="Normal"/>
        <w:keepLines/>
        <w:spacing w:lineRule="auto" w:line="250" w:before="0" w:after="120"/>
        <w:rPr/>
      </w:pPr>
      <w:r>
        <w:rPr>
          <w:sz w:val="19"/>
        </w:rPr>
        <w:t xml:space="preserve">[22] Apache Software Foundation. </w:t>
      </w:r>
      <w:hyperlink r:id="rId22">
        <w:r>
          <w:rPr>
            <w:rStyle w:val="Style"/>
            <w:color w:val="245780"/>
            <w:sz w:val="19"/>
          </w:rPr>
          <w:t>Apache Subversion Features</w:t>
        </w:r>
      </w:hyperlink>
    </w:p>
    <w:p>
      <w:pPr>
        <w:pStyle w:val="Normal"/>
        <w:keepLines/>
        <w:spacing w:lineRule="auto" w:line="250" w:before="0" w:after="120"/>
        <w:rPr/>
      </w:pPr>
      <w:r>
        <w:rPr>
          <w:sz w:val="19"/>
        </w:rPr>
        <w:t xml:space="preserve">[23] Arduino. </w:t>
      </w:r>
      <w:hyperlink r:id="rId23">
        <w:r>
          <w:rPr>
            <w:rStyle w:val="Style"/>
            <w:color w:val="245780"/>
            <w:sz w:val="19"/>
          </w:rPr>
          <w:t>UNO Rev3 hardware documentation</w:t>
        </w:r>
      </w:hyperlink>
    </w:p>
    <w:p>
      <w:pPr>
        <w:pStyle w:val="Normal"/>
        <w:keepLines/>
        <w:spacing w:lineRule="auto" w:line="250" w:before="0" w:after="120"/>
        <w:rPr/>
      </w:pPr>
      <w:r>
        <w:rPr>
          <w:sz w:val="19"/>
        </w:rPr>
        <w:t xml:space="preserve">[24] Raspberry Pi. </w:t>
      </w:r>
      <w:hyperlink r:id="rId24">
        <w:r>
          <w:rPr>
            <w:rStyle w:val="Style"/>
            <w:color w:val="245780"/>
            <w:sz w:val="19"/>
          </w:rPr>
          <w:t>Pico series hardware and wireless variants</w:t>
        </w:r>
      </w:hyperlink>
    </w:p>
    <w:p>
      <w:pPr>
        <w:pStyle w:val="Normal"/>
        <w:keepLines/>
        <w:spacing w:lineRule="auto" w:line="250" w:before="0" w:after="120"/>
        <w:rPr/>
      </w:pPr>
      <w:r>
        <w:rPr>
          <w:sz w:val="19"/>
        </w:rPr>
        <w:t xml:space="preserve">[25] Aosong. </w:t>
      </w:r>
      <w:hyperlink r:id="rId25">
        <w:r>
          <w:rPr>
            <w:rStyle w:val="Style"/>
            <w:color w:val="245780"/>
            <w:sz w:val="19"/>
          </w:rPr>
          <w:t>DHT11 datasheet — manufacturer document hosted by Adafruit</w:t>
        </w:r>
      </w:hyperlink>
    </w:p>
    <w:p>
      <w:pPr>
        <w:pStyle w:val="Normal"/>
        <w:keepLines/>
        <w:spacing w:lineRule="auto" w:line="250" w:before="0" w:after="120"/>
        <w:rPr/>
      </w:pPr>
      <w:r>
        <w:rPr>
          <w:sz w:val="19"/>
        </w:rPr>
        <w:t xml:space="preserve">[26] Adafruit. </w:t>
      </w:r>
      <w:hyperlink r:id="rId26">
        <w:r>
          <w:rPr>
            <w:rStyle w:val="Style"/>
            <w:color w:val="245780"/>
            <w:sz w:val="19"/>
          </w:rPr>
          <w:t>DHT sensor guide — DHT11 and DHT22 comparison</w:t>
        </w:r>
      </w:hyperlink>
    </w:p>
    <w:p>
      <w:pPr>
        <w:pStyle w:val="Normal"/>
        <w:keepLines/>
        <w:spacing w:lineRule="auto" w:line="250" w:before="0" w:after="120"/>
        <w:rPr/>
      </w:pPr>
      <w:r>
        <w:rPr>
          <w:sz w:val="19"/>
        </w:rPr>
        <w:t xml:space="preserve">[27] Bosch Sensortec. </w:t>
      </w:r>
      <w:hyperlink r:id="rId27">
        <w:r>
          <w:rPr>
            <w:rStyle w:val="Style"/>
            <w:color w:val="245780"/>
            <w:sz w:val="19"/>
          </w:rPr>
          <w:t>BME280 technical data and datasheet</w:t>
        </w:r>
      </w:hyperlink>
    </w:p>
    <w:p>
      <w:pPr>
        <w:pStyle w:val="Normal"/>
        <w:keepLines/>
        <w:spacing w:lineRule="auto" w:line="250" w:before="0" w:after="120"/>
        <w:rPr/>
      </w:pPr>
      <w:r>
        <w:rPr>
          <w:sz w:val="19"/>
        </w:rPr>
        <w:t xml:space="preserve">[28] M5Stack. </w:t>
      </w:r>
      <w:hyperlink r:id="rId28">
        <w:r>
          <w:rPr>
            <w:rStyle w:val="Style"/>
            <w:color w:val="245780"/>
            <w:sz w:val="19"/>
          </w:rPr>
          <w:t>Unit Watering U101 documentation and pin map</w:t>
        </w:r>
      </w:hyperlink>
    </w:p>
    <w:p>
      <w:pPr>
        <w:pStyle w:val="Normal"/>
        <w:keepLines/>
        <w:spacing w:lineRule="auto" w:line="250" w:before="0" w:after="120"/>
        <w:rPr/>
      </w:pPr>
      <w:r>
        <w:rPr>
          <w:sz w:val="19"/>
        </w:rPr>
        <w:t xml:space="preserve">[29] ifm. </w:t>
      </w:r>
      <w:hyperlink r:id="rId29">
        <w:r>
          <w:rPr>
            <w:rStyle w:val="Style"/>
            <w:color w:val="245780"/>
            <w:sz w:val="19"/>
          </w:rPr>
          <w:t>Level sensor technology overview</w:t>
        </w:r>
      </w:hyperlink>
    </w:p>
    <w:p>
      <w:pPr>
        <w:pStyle w:val="Normal"/>
        <w:keepLines/>
        <w:spacing w:lineRule="auto" w:line="250" w:before="0" w:after="120"/>
        <w:rPr/>
      </w:pPr>
      <w:r>
        <w:rPr>
          <w:sz w:val="19"/>
        </w:rPr>
        <w:t xml:space="preserve">[30] ifm. </w:t>
      </w:r>
      <w:hyperlink r:id="rId30">
        <w:r>
          <w:rPr>
            <w:rStyle w:val="Style"/>
            <w:color w:val="245780"/>
            <w:sz w:val="19"/>
          </w:rPr>
          <w:t>LI capacitive sensors — Use cases and float switches</w:t>
        </w:r>
      </w:hyperlink>
    </w:p>
    <w:sectPr>
      <w:footerReference w:type="even" r:id="rId31"/>
      <w:footerReference w:type="default" r:id="rId32"/>
      <w:footerReference w:type="first" r:id="rId33"/>
      <w:type w:val="nextPage"/>
      <w:pgSz w:w="11906" w:h="16838"/>
      <w:pgMar w:left="1008" w:right="1008" w:gutter="0" w:header="0" w:top="936" w:footer="432" w:bottom="93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>
        <w:sz w:val="16"/>
      </w:rPr>
      <w:t xml:space="preserve">Greenhouse Management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>
        <w:sz w:val="16"/>
      </w:rPr>
      <w:t xml:space="preserve">Greenhouse Management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1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59" w:before="0" w:after="140"/>
      <w:jc w:val="start"/>
    </w:pPr>
    <w:rPr>
      <w:rFonts w:ascii="Calibri" w:hAnsi="Calibri" w:eastAsia="ＭＳ 明朝" w:cs=""/>
      <w:color w:val="000000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240" w:after="14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40" w:after="14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4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lineRule="auto" w:line="240" w:before="0" w:after="140"/>
      <w:contextualSpacing/>
    </w:pPr>
    <w:rPr>
      <w:rFonts w:ascii="Calibri" w:hAnsi="Calibri" w:eastAsia="" w:cs="" w:asciiTheme="majorHAnsi" w:cstheme="majorBidi" w:eastAsiaTheme="majorEastAsia" w:hAnsiTheme="majorHAnsi"/>
      <w:b/>
      <w:color w:val="000000"/>
      <w:spacing w:val="5"/>
      <w:kern w:val="2"/>
      <w:sz w:val="50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spacing w:before="0" w:after="140"/>
    </w:pPr>
    <w:rPr>
      <w:rFonts w:ascii="Calibri" w:hAnsi="Calibri" w:eastAsia="" w:cs="" w:asciiTheme="majorHAnsi" w:cstheme="majorBidi" w:eastAsiaTheme="majorEastAsia" w:hAnsiTheme="majorHAns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4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4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4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4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4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4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4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4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4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docs.espressif.com/projects/esp-idf/en/stable/esp32/get-started/index.html" TargetMode="External"/><Relationship Id="rId3" Type="http://schemas.openxmlformats.org/officeDocument/2006/relationships/hyperlink" Target="https://docs.espressif.com/projects/arduino-esp32/en/latest/" TargetMode="External"/><Relationship Id="rId4" Type="http://schemas.openxmlformats.org/officeDocument/2006/relationships/hyperlink" Target="https://micropython.org/" TargetMode="External"/><Relationship Id="rId5" Type="http://schemas.openxmlformats.org/officeDocument/2006/relationships/hyperlink" Target="https://docs.oasis-open.org/mqtt/mqtt/v5.0/mqtt-v5.0.html" TargetMode="External"/><Relationship Id="rId6" Type="http://schemas.openxmlformats.org/officeDocument/2006/relationships/hyperlink" Target="https://httpwg.org/specs/rfc9110.html" TargetMode="External"/><Relationship Id="rId7" Type="http://schemas.openxmlformats.org/officeDocument/2006/relationships/hyperlink" Target="https://www.rfc-editor.org/rfc/rfc7252" TargetMode="External"/><Relationship Id="rId8" Type="http://schemas.openxmlformats.org/officeDocument/2006/relationships/hyperlink" Target="https://mosquitto.org/" TargetMode="External"/><Relationship Id="rId9" Type="http://schemas.openxmlformats.org/officeDocument/2006/relationships/hyperlink" Target="https://docs.emqx.com/en/emqx/latest/" TargetMode="External"/><Relationship Id="rId10" Type="http://schemas.openxmlformats.org/officeDocument/2006/relationships/hyperlink" Target="https://docs.hivemq.com/hivemq/latest/user-guide/cluster.html" TargetMode="External"/><Relationship Id="rId11" Type="http://schemas.openxmlformats.org/officeDocument/2006/relationships/hyperlink" Target="https://nodejs.org/en/about" TargetMode="External"/><Relationship Id="rId12" Type="http://schemas.openxmlformats.org/officeDocument/2006/relationships/hyperlink" Target="https://github.com/mqttjs/MQTT.js" TargetMode="External"/><Relationship Id="rId13" Type="http://schemas.openxmlformats.org/officeDocument/2006/relationships/hyperlink" Target="https://node-postgres.com/" TargetMode="External"/><Relationship Id="rId14" Type="http://schemas.openxmlformats.org/officeDocument/2006/relationships/hyperlink" Target="https://docs.python.org/3/library/asyncio.html" TargetMode="External"/><Relationship Id="rId15" Type="http://schemas.openxmlformats.org/officeDocument/2006/relationships/hyperlink" Target="https://www.postgresql.org/about/" TargetMode="External"/><Relationship Id="rId16" Type="http://schemas.openxmlformats.org/officeDocument/2006/relationships/hyperlink" Target="https://www.sqlite.org/whentouse.html" TargetMode="External"/><Relationship Id="rId17" Type="http://schemas.openxmlformats.org/officeDocument/2006/relationships/hyperlink" Target="https://docs.influxdata.com/influxdb3/core/" TargetMode="External"/><Relationship Id="rId18" Type="http://schemas.openxmlformats.org/officeDocument/2006/relationships/hyperlink" Target="https://grafana.com/docs/grafana/latest/datasources/postgres/" TargetMode="External"/><Relationship Id="rId19" Type="http://schemas.openxmlformats.org/officeDocument/2006/relationships/hyperlink" Target="https://dashboard.flowfuse.com/" TargetMode="External"/><Relationship Id="rId20" Type="http://schemas.openxmlformats.org/officeDocument/2006/relationships/hyperlink" Target="https://www.vim.org/about.php" TargetMode="External"/><Relationship Id="rId21" Type="http://schemas.openxmlformats.org/officeDocument/2006/relationships/hyperlink" Target="https://git-scm.com/about" TargetMode="External"/><Relationship Id="rId22" Type="http://schemas.openxmlformats.org/officeDocument/2006/relationships/hyperlink" Target="https://subversion.apache.org/features.html" TargetMode="External"/><Relationship Id="rId23" Type="http://schemas.openxmlformats.org/officeDocument/2006/relationships/hyperlink" Target="https://docs.arduino.cc/hardware/uno-rev3/" TargetMode="External"/><Relationship Id="rId24" Type="http://schemas.openxmlformats.org/officeDocument/2006/relationships/hyperlink" Target="https://www.raspberrypi.com/products/raspberry-pi-pico/" TargetMode="External"/><Relationship Id="rId25" Type="http://schemas.openxmlformats.org/officeDocument/2006/relationships/hyperlink" Target="https://cdn-shop.adafruit.com/datasheets/DHT11-chinese.pdf" TargetMode="External"/><Relationship Id="rId26" Type="http://schemas.openxmlformats.org/officeDocument/2006/relationships/hyperlink" Target="https://learn.adafruit.com/dht/overview" TargetMode="External"/><Relationship Id="rId27" Type="http://schemas.openxmlformats.org/officeDocument/2006/relationships/hyperlink" Target="https://www.bosch-sensortec.com/products/environmental-sensors/humidity-sensors-bme280/" TargetMode="External"/><Relationship Id="rId28" Type="http://schemas.openxmlformats.org/officeDocument/2006/relationships/hyperlink" Target="https://docs.m5stack.com/en/unit/watering" TargetMode="External"/><Relationship Id="rId29" Type="http://schemas.openxmlformats.org/officeDocument/2006/relationships/hyperlink" Target="https://www.ifm.com/us/en/us/overview/level/technology-overview/technology-overview" TargetMode="External"/><Relationship Id="rId30" Type="http://schemas.openxmlformats.org/officeDocument/2006/relationships/hyperlink" Target="https://www.ifm.com/us/en/us/learn-more/level/li-1/use-cases" TargetMode="External"/><Relationship Id="rId31" Type="http://schemas.openxmlformats.org/officeDocument/2006/relationships/footer" Target="footer1.xml"/><Relationship Id="rId32" Type="http://schemas.openxmlformats.org/officeDocument/2006/relationships/footer" Target="footer2.xml"/><Relationship Id="rId33" Type="http://schemas.openxmlformats.org/officeDocument/2006/relationships/footer" Target="footer3.xml"/><Relationship Id="rId34" Type="http://schemas.openxmlformats.org/officeDocument/2006/relationships/numbering" Target="numbering.xml"/><Relationship Id="rId35" Type="http://schemas.openxmlformats.org/officeDocument/2006/relationships/fontTable" Target="fontTable.xml"/><Relationship Id="rId36" Type="http://schemas.openxmlformats.org/officeDocument/2006/relationships/settings" Target="settings.xml"/><Relationship Id="rId37" Type="http://schemas.openxmlformats.org/officeDocument/2006/relationships/theme" Target="theme/theme1.xml"/><Relationship Id="rId3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LibreOffice/26.2.6.3$Linux_X86_64 LibreOffice_project/620$Build-3</Application>
  <AppVersion>15.0000</AppVersion>
  <Pages>10</Pages>
  <Words>2589</Words>
  <Characters>16380</Characters>
  <CharactersWithSpaces>18692</CharactersWithSpaces>
  <Paragraphs>311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Greenhouse Management</dc:creator>
  <dc:description>generated by python-docx</dc:description>
  <dc:language>en-US</dc:language>
  <cp:lastModifiedBy/>
  <dcterms:modified xsi:type="dcterms:W3CDTF">2026-09-29T09:46:04Z</dcterms:modified>
  <cp:revision>2</cp:revision>
  <dc:subject>Greenhouse Management</dc:subject>
  <dc:title>Technical Details and Technology Selection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