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160" w:after="120"/>
        <w:contextualSpacing/>
        <w:jc w:val="center"/>
        <w:rPr/>
      </w:pPr>
      <w:r>
        <w:rPr/>
        <w:t>Greenhouse Planning and Approach</w:t>
      </w:r>
    </w:p>
    <w:p>
      <w:pPr>
        <w:pStyle w:val="Normal"/>
        <w:spacing w:lineRule="auto" w:line="240" w:before="160" w:after="120"/>
        <w:contextualSpacing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widowControl/>
        <w:suppressAutoHyphens w:val="true"/>
        <w:bidi w:val="0"/>
        <w:spacing w:lineRule="auto" w:line="252" w:before="500" w:after="120"/>
        <w:ind w:hanging="0" w:start="0" w:end="0"/>
        <w:jc w:val="start"/>
        <w:rPr/>
      </w:pPr>
      <w:r>
        <w:rPr/>
        <w:t>Table of Contents</w:t>
      </w:r>
    </w:p>
    <w:p>
      <w:pPr>
        <w:pStyle w:val="Normal"/>
        <w:widowControl/>
        <w:tabs>
          <w:tab w:val="clear" w:pos="720"/>
          <w:tab w:val="right" w:pos="13824" w:leader="dot"/>
        </w:tabs>
        <w:suppressAutoHyphens w:val="true"/>
        <w:bidi w:val="0"/>
        <w:spacing w:lineRule="auto" w:line="252" w:before="0" w:after="300"/>
        <w:ind w:hanging="0" w:start="0" w:end="0"/>
        <w:jc w:val="start"/>
        <w:rPr/>
      </w:pPr>
      <w:hyperlink w:anchor="plan_section_1">
        <w:r>
          <w:rPr>
            <w:rStyle w:val="Style"/>
          </w:rPr>
          <w:t>1. Waterfall approach</w:t>
        </w:r>
      </w:hyperlink>
      <w:r>
        <w:rPr/>
        <w:tab/>
        <w:t>2</w:t>
      </w:r>
    </w:p>
    <w:p>
      <w:pPr>
        <w:pStyle w:val="Normal"/>
        <w:widowControl/>
        <w:tabs>
          <w:tab w:val="clear" w:pos="720"/>
          <w:tab w:val="right" w:pos="13824" w:leader="dot"/>
        </w:tabs>
        <w:suppressAutoHyphens w:val="true"/>
        <w:bidi w:val="0"/>
        <w:spacing w:lineRule="auto" w:line="252" w:before="0" w:after="300"/>
        <w:ind w:hanging="0" w:start="0" w:end="0"/>
        <w:jc w:val="start"/>
        <w:rPr/>
      </w:pPr>
      <w:hyperlink w:anchor="plan_section_2">
        <w:r>
          <w:rPr>
            <w:rStyle w:val="Style"/>
          </w:rPr>
          <w:t>2. Weekly milestones</w:t>
        </w:r>
      </w:hyperlink>
      <w:r>
        <w:rPr/>
        <w:tab/>
        <w:t>2</w:t>
      </w:r>
    </w:p>
    <w:p>
      <w:pPr>
        <w:pStyle w:val="Normal"/>
        <w:widowControl/>
        <w:tabs>
          <w:tab w:val="clear" w:pos="720"/>
          <w:tab w:val="right" w:pos="13824" w:leader="dot"/>
        </w:tabs>
        <w:suppressAutoHyphens w:val="true"/>
        <w:bidi w:val="0"/>
        <w:spacing w:lineRule="auto" w:line="252" w:before="0" w:after="300"/>
        <w:ind w:hanging="0" w:start="0" w:end="0"/>
        <w:jc w:val="start"/>
        <w:rPr/>
      </w:pPr>
      <w:hyperlink w:anchor="plan_section_3">
        <w:r>
          <w:rPr>
            <w:rStyle w:val="Style"/>
          </w:rPr>
          <w:t>3. What depends on what</w:t>
        </w:r>
      </w:hyperlink>
      <w:r>
        <w:rPr/>
        <w:tab/>
        <w:t>3</w:t>
      </w:r>
    </w:p>
    <w:p>
      <w:pPr>
        <w:pStyle w:val="Normal"/>
        <w:widowControl/>
        <w:tabs>
          <w:tab w:val="clear" w:pos="720"/>
          <w:tab w:val="right" w:pos="13824" w:leader="dot"/>
        </w:tabs>
        <w:suppressAutoHyphens w:val="true"/>
        <w:bidi w:val="0"/>
        <w:spacing w:lineRule="auto" w:line="252" w:before="0" w:after="300"/>
        <w:ind w:hanging="0" w:start="0" w:end="0"/>
        <w:jc w:val="start"/>
        <w:rPr/>
      </w:pPr>
      <w:hyperlink w:anchor="plan_section_4">
        <w:r>
          <w:rPr>
            <w:rStyle w:val="Style"/>
          </w:rPr>
          <w:t>4. How I will handle delays</w:t>
        </w:r>
      </w:hyperlink>
      <w:r>
        <w:rPr/>
        <w:tab/>
        <w:t>3</w:t>
      </w:r>
    </w:p>
    <w:p>
      <w:pPr>
        <w:pStyle w:val="Normal"/>
        <w:widowControl/>
        <w:tabs>
          <w:tab w:val="clear" w:pos="720"/>
          <w:tab w:val="right" w:pos="13824" w:leader="dot"/>
        </w:tabs>
        <w:suppressAutoHyphens w:val="true"/>
        <w:bidi w:val="0"/>
        <w:spacing w:lineRule="auto" w:line="252" w:before="0" w:after="300"/>
        <w:ind w:hanging="0" w:start="0" w:end="0"/>
        <w:jc w:val="start"/>
        <w:rPr/>
      </w:pPr>
      <w:hyperlink w:anchor="plan_section_5">
        <w:r>
          <w:rPr>
            <w:rStyle w:val="Style"/>
          </w:rPr>
          <w:t>5. Detailed schedule</w:t>
        </w:r>
      </w:hyperlink>
      <w:r>
        <w:rPr/>
        <w:tab/>
        <w:t>4</w:t>
      </w:r>
      <w:r>
        <w:br w:type="page"/>
      </w:r>
    </w:p>
    <w:p>
      <w:pPr>
        <w:pStyle w:val="Heading1"/>
        <w:rPr/>
      </w:pPr>
      <w:r>
        <w:rPr/>
        <w:t>1. Waterfall approach</w:t>
      </w:r>
      <w:bookmarkStart w:id="0" w:name="plan_section_1"/>
      <w:bookmarkEnd w:id="0"/>
    </w:p>
    <w:p>
      <w:pPr>
        <w:pStyle w:val="Normal"/>
        <w:rPr/>
      </w:pPr>
      <w:r>
        <w:rPr/>
        <w:t>I will work through five phases, checking components early and updating earlier decisions when a problem requires it.</w:t>
      </w:r>
    </w:p>
    <w:p>
      <w:pPr>
        <w:pStyle w:val="Normal"/>
        <w:spacing w:before="0" w:after="80"/>
        <w:rPr/>
      </w:pPr>
      <w:r>
        <w:rPr/>
        <w:drawing>
          <wp:inline distT="0" distB="0" distL="0" distR="0">
            <wp:extent cx="8823960" cy="2205990"/>
            <wp:effectExtent l="0" t="0" r="0" b="0"/>
            <wp:docPr id="1" name="Picture 1" descr="Five descending phases: Analyse, Advise, Design, Realise, Validate. Each names its main ac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ve descending phases: Analyse, Advise, Design, Realise, Validate. Each names its main activity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3960" cy="220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2. Weekly milestones</w:t>
      </w:r>
      <w:bookmarkStart w:id="1" w:name="plan_section_2"/>
      <w:bookmarkEnd w:id="1"/>
    </w:p>
    <w:tbl>
      <w:tblPr>
        <w:tblW w:w="13968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3492"/>
        <w:gridCol w:w="3492"/>
        <w:gridCol w:w="3492"/>
        <w:gridCol w:w="3492"/>
      </w:tblGrid>
      <w:tr>
        <w:trPr>
          <w:tblHeader w:val="true"/>
          <w:cantSplit/>
        </w:trPr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76B70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FFFFFF"/>
                <w:sz w:val="20"/>
              </w:rPr>
              <w:t>Week 1</w:t>
            </w:r>
          </w:p>
        </w:tc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76B70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FFFFFF"/>
                <w:sz w:val="20"/>
              </w:rPr>
              <w:t>Week 2</w:t>
            </w:r>
          </w:p>
        </w:tc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76B70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FFFFFF"/>
                <w:sz w:val="20"/>
              </w:rPr>
              <w:t>Week 3</w:t>
            </w:r>
          </w:p>
        </w:tc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76B70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FFFFFF"/>
                <w:sz w:val="20"/>
              </w:rPr>
              <w:t>Week 4</w:t>
            </w:r>
          </w:p>
        </w:tc>
      </w:tr>
      <w:tr>
        <w:trPr>
          <w:cantSplit/>
        </w:trPr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Requirements and technology choices defined.</w:t>
            </w:r>
          </w:p>
        </w:tc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Design ready and individual components checked.</w:t>
            </w:r>
          </w:p>
        </w:tc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Local control, storage and dashboard connected.</w:t>
            </w:r>
          </w:p>
        </w:tc>
        <w:tc>
          <w:tcPr>
            <w:tcW w:w="34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Final checks complete; fixes retested and work submitted.</w:t>
            </w:r>
          </w:p>
        </w:tc>
      </w:tr>
    </w:tbl>
    <w:p>
      <w:pPr>
        <w:pStyle w:val="Normal"/>
        <w:spacing w:before="140" w:after="120"/>
        <w:rPr/>
      </w:pPr>
      <w:r>
        <w:rPr/>
        <w:t>At each week’s end, I will compare the working result with the milestone and update the remaining plan.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</w:r>
    </w:p>
    <w:p>
      <w:pPr>
        <w:pStyle w:val="Heading1"/>
        <w:spacing w:before="0" w:after="120"/>
        <w:rPr/>
      </w:pPr>
      <w:r>
        <w:rPr/>
        <w:t>3. What depends on what</w:t>
      </w:r>
      <w:bookmarkStart w:id="2" w:name="plan_section_3"/>
      <w:bookmarkEnd w:id="2"/>
    </w:p>
    <w:p>
      <w:pPr>
        <w:pStyle w:val="Normal"/>
        <w:rPr/>
      </w:pPr>
      <w:r>
        <w:rPr/>
        <w:t>These links show which work must come together before the complete system can be evaluated.</w:t>
      </w:r>
    </w:p>
    <w:p>
      <w:pPr>
        <w:pStyle w:val="Normal"/>
        <w:spacing w:before="0" w:after="80"/>
        <w:rPr/>
      </w:pPr>
      <w:r>
        <w:rPr/>
        <w:drawing>
          <wp:inline distT="0" distB="0" distL="0" distR="0">
            <wp:extent cx="8823960" cy="2294255"/>
            <wp:effectExtent l="0" t="0" r="0" b="0"/>
            <wp:docPr id="2" name="Picture 2" descr="Design branches into hardware checks and data services, which can progress in parallel using sample messages. Both feed integration, followed by evaluation, fixes and retes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ign branches into hardware checks and data services, which can progress in parallel using sample messages. Both feed integration, followed by evaluation, fixes and retesting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3960" cy="229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 parts are delayed, I can continue the data services with sample readings. Actual hardware integration still needs the real components.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 How I will handle delay</w:t>
      </w:r>
      <w:bookmarkStart w:id="3" w:name="plan_section_4"/>
      <w:bookmarkEnd w:id="3"/>
      <w:r>
        <w:rPr/>
        <w:t>s</w:t>
      </w:r>
    </w:p>
    <w:tbl>
      <w:tblPr>
        <w:tblW w:w="13967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4600"/>
        <w:gridCol w:w="9367"/>
      </w:tblGrid>
      <w:tr>
        <w:trPr>
          <w:tblHeader w:val="true"/>
          <w:cantSplit/>
        </w:trPr>
        <w:tc>
          <w:tcPr>
            <w:tcW w:w="4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76B70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FFFFFF"/>
                <w:sz w:val="20"/>
              </w:rPr>
              <w:t>If this happens</w:t>
            </w:r>
          </w:p>
        </w:tc>
        <w:tc>
          <w:tcPr>
            <w:tcW w:w="93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76B70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color w:val="FFFFFF"/>
                <w:sz w:val="20"/>
              </w:rPr>
              <w:t>My response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A component does not work as expected</w:t>
            </w:r>
          </w:p>
        </w:tc>
        <w:tc>
          <w:tcPr>
            <w:tcW w:w="93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Check compatibility early; revise the choice or wiring before integration.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0F4F4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Connecting the software takes longer</w:t>
            </w:r>
          </w:p>
        </w:tc>
        <w:tc>
          <w:tcPr>
            <w:tcW w:w="93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0F4F4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Complete one path first: device → stored reading → dashboard. Expand after it works.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There is not enough time for every feature</w:t>
            </w:r>
          </w:p>
        </w:tc>
        <w:tc>
          <w:tcPr>
            <w:tcW w:w="93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0"/>
              </w:rPr>
              <w:t>Postpone “</w:t>
            </w:r>
            <w:r>
              <w:rPr>
                <w:b w:val="false"/>
                <w:sz w:val="20"/>
              </w:rPr>
              <w:t>Could Have</w:t>
            </w:r>
            <w:r>
              <w:rPr>
                <w:b w:val="false"/>
                <w:sz w:val="20"/>
              </w:rPr>
              <w:t xml:space="preserve">” </w:t>
            </w:r>
            <w:r>
              <w:rPr>
                <w:b w:val="false"/>
                <w:sz w:val="20"/>
              </w:rPr>
              <w:t>requirements first, then “Should Have” if needed</w:t>
            </w:r>
            <w:r>
              <w:rPr>
                <w:b w:val="false"/>
                <w:sz w:val="20"/>
              </w:rPr>
              <w:t>.</w:t>
            </w:r>
          </w:p>
        </w:tc>
      </w:tr>
    </w:tbl>
    <w:p>
      <w:pPr>
        <w:pStyle w:val="Normal"/>
        <w:spacing w:before="140" w:after="120"/>
        <w:rPr/>
      </w:pPr>
      <w:r>
        <w:rPr/>
        <w:t>I will update the schedule when tasks slip and record the reason for each change.</w:t>
      </w:r>
    </w:p>
    <w:p>
      <w:pPr>
        <w:pStyle w:val="Heading1"/>
        <w:spacing w:before="0" w:after="120"/>
        <w:rPr/>
      </w:pPr>
      <w:r>
        <w:rPr/>
        <w:t>5. Detailed schedule</w:t>
      </w:r>
      <w:bookmarkStart w:id="4" w:name="plan_section_5"/>
      <w:bookmarkEnd w:id="4"/>
    </w:p>
    <w:p>
      <w:pPr>
        <w:pStyle w:val="Normal"/>
        <w:rPr/>
      </w:pPr>
      <w:r>
        <w:rPr/>
        <w:t>The Gantt chart will show task durations, overlaps, dependencies and milestones across the four weeks.</w:t>
      </w:r>
    </w:p>
    <w:p>
      <w:pPr>
        <w:pStyle w:val="Heading2"/>
        <w:spacing w:before="1900" w:after="120"/>
        <w:jc w:val="center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orient="landscape" w:w="15840" w:h="12240"/>
      <w:pgMar w:left="936" w:right="1043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6616A"/>
        <w:sz w:val="16"/>
      </w:rPr>
      <w:t xml:space="preserve">Kaloyan Milev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6616A"/>
        <w:sz w:val="16"/>
      </w:rPr>
      <w:t xml:space="preserve">Kaloyan Milev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120"/>
      <w:jc w:val="start"/>
    </w:pPr>
    <w:rPr>
      <w:rFonts w:ascii="Liberation Sans" w:hAnsi="Liberation Sans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2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52" w:before="0" w:after="120"/>
    </w:pPr>
    <w:rPr>
      <w:rFonts w:ascii="Liberation Sans" w:hAnsi="Liberation Sans"/>
      <w:sz w:val="22"/>
    </w:rPr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160" w:after="120"/>
      <w:contextualSpacing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160" w:after="120"/>
    </w:pPr>
    <w:rPr>
      <w:rFonts w:ascii="Calibri" w:hAnsi="Calibri" w:eastAsia="" w:cs="" w:asciiTheme="majorHAnsi" w:cstheme="majorBidi" w:eastAsiaTheme="majorEastAsia" w:hAnsiTheme="majorHAnsi"/>
      <w:b w:val="false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1396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13685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LibreOffice/26.2.6.3$Linux_X86_64 LibreOffice_project/620$Build-3</Application>
  <AppVersion>15.0000</AppVersion>
  <Pages>4</Pages>
  <Words>254</Words>
  <Characters>1317</Characters>
  <CharactersWithSpaces>1539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Kaloyan Milev</dc:creator>
  <dc:description>generated by python-docx</dc:description>
  <dc:language>en-US</dc:language>
  <cp:lastModifiedBy/>
  <dcterms:modified xsi:type="dcterms:W3CDTF">2026-10-13T09:51:52Z</dcterms:modified>
  <cp:revision>3</cp:revision>
  <dc:subject/>
  <dc:title>Greenhouse Planning and Approach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