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00" w:after="100"/>
        <w:contextualSpacing/>
        <w:jc w:val="center"/>
        <w:rPr/>
      </w:pPr>
      <w:r>
        <w:rPr/>
        <w:t>Greenhouse Management</w:t>
      </w:r>
    </w:p>
    <w:p>
      <w:pPr>
        <w:pStyle w:val="Subtitle"/>
        <w:jc w:val="center"/>
        <w:rPr/>
      </w:pPr>
      <w:r>
        <w:rPr/>
        <w:t>Technical Details and Technology Selection</w:t>
      </w:r>
    </w:p>
    <w:p>
      <w:pPr>
        <w:pStyle w:val="Normal"/>
        <w:jc w:val="center"/>
        <w:rPr/>
      </w:pPr>
      <w:r>
        <w:rPr/>
        <w:t>by Kaloyan Milev</w:t>
      </w:r>
    </w:p>
    <w:p>
      <w:pPr>
        <w:pStyle w:val="Normal"/>
        <w:jc w:val="center"/>
        <w:rPr/>
      </w:pPr>
      <w:r>
        <w:rPr/>
      </w:r>
    </w:p>
    <w:sdt>
      <w:sdtPr>
        <w:docPartObj>
          <w:docPartGallery w:val="Table of Contents"/>
          <w:docPartUnique w:val="true"/>
        </w:docPartObj>
      </w:sdtPr>
      <w:sdtContent>
        <w:p>
          <w:pPr>
            <w:pStyle w:val="TOCHeading"/>
            <w:rPr/>
          </w:pPr>
          <w:r>
            <w:rPr/>
            <w:t>Table of Contents</w:t>
          </w:r>
        </w:p>
        <w:p>
          <w:pPr>
            <w:pStyle w:val="TOC1"/>
            <w:tabs>
              <w:tab w:val="clear" w:pos="9752"/>
              <w:tab w:val="right" w:pos="9751" w:leader="dot"/>
            </w:tabs>
            <w:rPr/>
          </w:pPr>
          <w:r>
            <w:fldChar w:fldCharType="begin"/>
          </w:r>
          <w:r>
            <w:rPr>
              <w:rStyle w:val="IndexLink"/>
            </w:rPr>
            <w:instrText xml:space="preserve"> TOC \f \o "1-1" \h</w:instrText>
          </w:r>
          <w:r>
            <w:rPr>
              <w:rStyle w:val="IndexLink"/>
            </w:rPr>
            <w:fldChar w:fldCharType="separate"/>
          </w:r>
          <w:hyperlink w:anchor="__RefHeading___Toc898_2140976944" w:tooltip="1 Purpose">
            <w:r>
              <w:rPr>
                <w:rStyle w:val="IndexLink"/>
              </w:rPr>
              <w:t>1 Purpose</w:t>
              <w:tab/>
              <w:t>1</w:t>
            </w:r>
          </w:hyperlink>
        </w:p>
        <w:p>
          <w:pPr>
            <w:pStyle w:val="TOC1"/>
            <w:tabs>
              <w:tab w:val="clear" w:pos="9752"/>
              <w:tab w:val="right" w:pos="9751" w:leader="dot"/>
            </w:tabs>
            <w:rPr/>
          </w:pPr>
          <w:hyperlink w:anchor="__RefHeading___Toc900_2140976944" w:tooltip="2 Controller and Firmware">
            <w:r>
              <w:rPr>
                <w:rStyle w:val="IndexLink"/>
              </w:rPr>
              <w:t>2 Controller and Firmware</w:t>
              <w:tab/>
              <w:t>1</w:t>
            </w:r>
          </w:hyperlink>
        </w:p>
        <w:p>
          <w:pPr>
            <w:pStyle w:val="TOC1"/>
            <w:tabs>
              <w:tab w:val="clear" w:pos="9752"/>
              <w:tab w:val="right" w:pos="9751" w:leader="dot"/>
            </w:tabs>
            <w:rPr/>
          </w:pPr>
          <w:hyperlink w:anchor="__RefHeading___Toc902_2140976944" w:tooltip="3 Soil Moisture and Reservoir Sensing">
            <w:r>
              <w:rPr>
                <w:rStyle w:val="IndexLink"/>
              </w:rPr>
              <w:t>3 Soil Moisture and Reservoir Sensing</w:t>
              <w:tab/>
              <w:t>2</w:t>
            </w:r>
          </w:hyperlink>
        </w:p>
        <w:p>
          <w:pPr>
            <w:pStyle w:val="TOC1"/>
            <w:tabs>
              <w:tab w:val="clear" w:pos="9752"/>
              <w:tab w:val="right" w:pos="9751" w:leader="dot"/>
            </w:tabs>
            <w:rPr/>
          </w:pPr>
          <w:hyperlink w:anchor="__RefHeading___Toc904_2140976944" w:tooltip="4 Temperature Humidity and Light">
            <w:r>
              <w:rPr>
                <w:rStyle w:val="IndexLink"/>
              </w:rPr>
              <w:t>4 Temperature Humidity and Light</w:t>
              <w:tab/>
              <w:t>4</w:t>
            </w:r>
          </w:hyperlink>
        </w:p>
        <w:p>
          <w:pPr>
            <w:pStyle w:val="TOC1"/>
            <w:tabs>
              <w:tab w:val="clear" w:pos="9752"/>
              <w:tab w:val="right" w:pos="9751" w:leader="dot"/>
            </w:tabs>
            <w:rPr/>
          </w:pPr>
          <w:hyperlink w:anchor="__RefHeading___Toc906_2140976944" w:tooltip="5 Watering Hardware and Local Display">
            <w:r>
              <w:rPr>
                <w:rStyle w:val="IndexLink"/>
              </w:rPr>
              <w:t>5 Watering Hardware and Local Display</w:t>
              <w:tab/>
              <w:t>5</w:t>
            </w:r>
          </w:hyperlink>
        </w:p>
        <w:p>
          <w:pPr>
            <w:pStyle w:val="TOC1"/>
            <w:tabs>
              <w:tab w:val="clear" w:pos="9752"/>
              <w:tab w:val="right" w:pos="9751" w:leader="dot"/>
            </w:tabs>
            <w:rPr/>
          </w:pPr>
          <w:hyperlink w:anchor="__RefHeading___Toc908_2140976944" w:tooltip="6 Communication">
            <w:r>
              <w:rPr>
                <w:rStyle w:val="IndexLink"/>
              </w:rPr>
              <w:t>6 Communication</w:t>
              <w:tab/>
              <w:t>6</w:t>
            </w:r>
          </w:hyperlink>
        </w:p>
        <w:p>
          <w:pPr>
            <w:pStyle w:val="TOC1"/>
            <w:tabs>
              <w:tab w:val="clear" w:pos="9752"/>
              <w:tab w:val="right" w:pos="9751" w:leader="dot"/>
            </w:tabs>
            <w:rPr/>
          </w:pPr>
          <w:hyperlink w:anchor="__RefHeading___Toc910_2140976944" w:tooltip="7 Backend and Database">
            <w:r>
              <w:rPr>
                <w:rStyle w:val="IndexLink"/>
              </w:rPr>
              <w:t>7 Backend and Database</w:t>
              <w:tab/>
              <w:t>7</w:t>
            </w:r>
          </w:hyperlink>
        </w:p>
        <w:p>
          <w:pPr>
            <w:pStyle w:val="TOC1"/>
            <w:tabs>
              <w:tab w:val="clear" w:pos="9752"/>
              <w:tab w:val="right" w:pos="9751" w:leader="dot"/>
            </w:tabs>
            <w:rPr/>
          </w:pPr>
          <w:hyperlink w:anchor="__RefHeading___Toc912_2140976944" w:tooltip="8 Dashboard and Hosting">
            <w:r>
              <w:rPr>
                <w:rStyle w:val="IndexLink"/>
              </w:rPr>
              <w:t>8 Dashboard and Hosting</w:t>
              <w:tab/>
              <w:t>8</w:t>
            </w:r>
          </w:hyperlink>
          <w:r>
            <w:rPr>
              <w:rStyle w:val="IndexLink"/>
            </w:rPr>
            <w:fldChar w:fldCharType="end"/>
          </w:r>
        </w:p>
      </w:sdtContent>
    </w:sdt>
    <w:p>
      <w:pPr>
        <w:pStyle w:val="Heading1"/>
        <w:spacing w:before="0" w:after="100"/>
        <w:rPr/>
      </w:pPr>
      <w:r>
        <w:rPr/>
      </w:r>
    </w:p>
    <w:p>
      <w:pPr>
        <w:pStyle w:val="Heading1"/>
        <w:spacing w:before="0" w:after="100"/>
        <w:rPr/>
      </w:pPr>
      <w:bookmarkStart w:id="0" w:name="__RefHeading___Toc898_2140976944"/>
      <w:bookmarkEnd w:id="0"/>
      <w:r>
        <w:rPr/>
        <w:t>1  Purpose</w:t>
      </w:r>
    </w:p>
    <w:p>
      <w:pPr>
        <w:pStyle w:val="Normal"/>
        <w:rPr/>
      </w:pPr>
      <w:r>
        <w:rPr/>
        <w:t>This document explains the main hardware and software choices for the one-plant greenhouse prototype. The comparisons consider reliable local watering, compatibility, development time, learning value and cost within the four-week scope.</w:t>
      </w:r>
    </w:p>
    <w:p>
      <w:pPr>
        <w:pStyle w:val="Normal"/>
        <w:rPr/>
      </w:pPr>
      <w:r>
        <w:rPr/>
        <w:t>The Analysis and Advice document defines the requirements; this document records the technology choices and their rationale. Implementation and test results are covered in the Realisation and Verification and Validation documents. The university provides the ESP32, DHT11 and M5Stack Watering Unit. Linked sources support the comparisons; proposed capabilities are not evidence of successful testing.</w:t>
      </w:r>
    </w:p>
    <w:p>
      <w:pPr>
        <w:pStyle w:val="Normal"/>
        <w:rPr/>
      </w:pPr>
      <w:r>
        <w:rPr/>
      </w:r>
    </w:p>
    <w:p>
      <w:pPr>
        <w:pStyle w:val="Heading1"/>
        <w:rPr/>
      </w:pPr>
      <w:bookmarkStart w:id="1" w:name="__RefHeading___Toc900_2140976944"/>
      <w:bookmarkEnd w:id="1"/>
      <w:r>
        <w:rPr/>
        <w:t>2  Controller and Firmware</w:t>
      </w:r>
    </w:p>
    <w:p>
      <w:pPr>
        <w:pStyle w:val="Heading2"/>
        <w:rPr/>
      </w:pPr>
      <w:r>
        <w:rPr/>
        <w:t>2.1  Microcontroller</w:t>
      </w:r>
    </w:p>
    <w:p>
      <w:pPr>
        <w:pStyle w:val="Normal"/>
        <w:rPr/>
      </w:pPr>
      <w:r>
        <w:rPr/>
        <w:t>The microcontroller reads the sensors and operates the pump. Local watering control must remain available when the dashboard is unavailable, subject to the sensor checks and safety limits.</w:t>
      </w:r>
    </w:p>
    <w:p>
      <w:pPr>
        <w:pStyle w:val="Normal"/>
        <w:rPr/>
      </w:pPr>
      <w:r>
        <w:rPr/>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ESP32 DevKitC V4</w:t>
            </w:r>
          </w:p>
          <w:p>
            <w:pPr>
              <w:pStyle w:val="Normal"/>
              <w:spacing w:lineRule="auto" w:line="240" w:before="20" w:after="20"/>
              <w:rPr/>
            </w:pPr>
            <w:r>
              <w:rPr>
                <w:b w:val="false"/>
                <w:sz w:val="20"/>
              </w:rPr>
              <w:t>(Available)</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Built-in Wi-Fi, analogue sensor inputs and connections for the display. The existing board uses an ESP32-WROOM-32D module.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Uses 3.3 V input signals, so sensor and pump interfaces need voltage checks. Wi-Fi must not block the watering logic.</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Uno R3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Straightforward board for basic sensing and pump control; six analogue inputs.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No built-in network connection. Extra communication hardware adds wiring and integration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Raspberry Pi Pico W</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Built-in Wi-Fi and support for C/C++ or MicroPython. A practical alternative for connected sensing.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board and a different software setup. Its three exposed analogue inputs leave little room beyond soil, water and light.</w:t>
            </w:r>
          </w:p>
        </w:tc>
      </w:tr>
    </w:tbl>
    <w:p>
      <w:pPr>
        <w:pStyle w:val="Normal"/>
        <w:spacing w:before="140" w:after="100"/>
        <w:rPr/>
      </w:pPr>
      <w:r>
        <w:rPr>
          <w:b/>
        </w:rPr>
        <w:t xml:space="preserve">My choice: </w:t>
      </w:r>
      <w:r>
        <w:rPr/>
        <w:t xml:space="preserve">Use the </w:t>
      </w:r>
      <w:r>
        <w:rPr>
          <w:shd w:fill="81D41A" w:val="clear"/>
        </w:rPr>
        <w:t xml:space="preserve">ESP32 that I already have. Its built-in Wi-Fi and sensor interfaces suit the connected greenhouse </w:t>
      </w:r>
      <w:r>
        <w:rPr/>
        <w:t>without an extra communication module. Pico W could also meet these needs, but offers no clear benefit that would justify buying another board for this prototype.</w:t>
      </w:r>
    </w:p>
    <w:p>
      <w:pPr>
        <w:pStyle w:val="Normal"/>
        <w:spacing w:before="0" w:after="180"/>
        <w:rPr/>
      </w:pPr>
      <w:r>
        <w:rPr>
          <w:b/>
          <w:sz w:val="18"/>
        </w:rPr>
        <w:t xml:space="preserve">Sources: </w:t>
      </w:r>
      <w:hyperlink r:id="rId2">
        <w:r>
          <w:rPr>
            <w:rStyle w:val="Style"/>
            <w:color w:val="1F4E79"/>
            <w:sz w:val="18"/>
            <w:u w:val="single"/>
          </w:rPr>
          <w:t>ESP32 datasheet</w:t>
        </w:r>
      </w:hyperlink>
      <w:r>
        <w:rPr>
          <w:sz w:val="18"/>
        </w:rPr>
        <w:t xml:space="preserve">  |  </w:t>
      </w:r>
      <w:hyperlink r:id="rId3">
        <w:r>
          <w:rPr>
            <w:rStyle w:val="Style"/>
            <w:color w:val="1F4E79"/>
            <w:sz w:val="18"/>
            <w:u w:val="single"/>
          </w:rPr>
          <w:t>Uno R3</w:t>
        </w:r>
      </w:hyperlink>
      <w:r>
        <w:rPr>
          <w:sz w:val="18"/>
        </w:rPr>
        <w:t xml:space="preserve">  |  </w:t>
      </w:r>
      <w:hyperlink r:id="rId4">
        <w:r>
          <w:rPr>
            <w:rStyle w:val="Style"/>
            <w:color w:val="1F4E79"/>
            <w:sz w:val="18"/>
            <w:u w:val="single"/>
          </w:rPr>
          <w:t>Pico W</w:t>
        </w:r>
      </w:hyperlink>
    </w:p>
    <w:p>
      <w:pPr>
        <w:pStyle w:val="Normal"/>
        <w:spacing w:before="0" w:after="180"/>
        <w:rPr>
          <w:color w:val="1F4E79"/>
          <w:sz w:val="18"/>
          <w:u w:val="single"/>
        </w:rPr>
      </w:pPr>
      <w:r>
        <w:rPr>
          <w:color w:val="1F4E79"/>
          <w:sz w:val="18"/>
          <w:u w:val="single"/>
        </w:rPr>
      </w:r>
    </w:p>
    <w:p>
      <w:pPr>
        <w:pStyle w:val="Heading2"/>
        <w:rPr/>
      </w:pPr>
      <w:r>
        <w:rPr/>
        <w:t>2.2  Programming framework</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 with ESP-IDF</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Direct access to ESP32 drivers, networking and task scheduling, which fits my embedded C learning goal.</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More setup and configuration to learn than a simple Arduino sketch.</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Arduino framework</w:t>
              <w:br/>
              <w:t>for ESP32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Convenient C++ APIs and many examples for quickly connecting modules.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an abstraction layer. Using it as the main framework gives less practice with ESP-IDF APIs.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MicroPython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Interactive Python makes small experiments and sensor checks convenient.</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Does not develop my C skills. Memory usage and timing depend on the interpreter as well as the program.</w:t>
            </w:r>
          </w:p>
        </w:tc>
      </w:tr>
    </w:tbl>
    <w:p>
      <w:pPr>
        <w:pStyle w:val="Normal"/>
        <w:spacing w:before="140" w:after="100"/>
        <w:rPr/>
      </w:pPr>
      <w:r>
        <w:rPr>
          <w:b/>
        </w:rPr>
        <w:t xml:space="preserve">My choice: </w:t>
      </w:r>
      <w:r>
        <w:rPr>
          <w:shd w:fill="81D41A" w:val="clear"/>
        </w:rPr>
        <w:t>Use C with ESP-IDF to build on my embedded experience and learn the controller’s drivers and networking.</w:t>
      </w:r>
      <w:r>
        <w:rPr/>
        <w:t xml:space="preserve"> Arduino is a sensible fallback if framework setup threatens the schedule. Vim and Git remain the editing and version-control tools, but they do not determine the device’s behaviour.</w:t>
      </w:r>
    </w:p>
    <w:p>
      <w:pPr>
        <w:pStyle w:val="Normal"/>
        <w:spacing w:before="0" w:after="180"/>
        <w:rPr/>
      </w:pPr>
      <w:r>
        <w:rPr>
          <w:b/>
          <w:sz w:val="18"/>
        </w:rPr>
        <w:t xml:space="preserve">Sources: </w:t>
      </w:r>
      <w:hyperlink r:id="rId5">
        <w:r>
          <w:rPr>
            <w:rStyle w:val="Style"/>
            <w:color w:val="1F4E79"/>
            <w:sz w:val="18"/>
            <w:u w:val="single"/>
          </w:rPr>
          <w:t>ESP-IDF</w:t>
        </w:r>
      </w:hyperlink>
      <w:r>
        <w:rPr>
          <w:sz w:val="18"/>
        </w:rPr>
        <w:t xml:space="preserve">  |  </w:t>
      </w:r>
      <w:hyperlink r:id="rId6">
        <w:r>
          <w:rPr>
            <w:rStyle w:val="Style"/>
            <w:color w:val="1F4E79"/>
            <w:sz w:val="18"/>
            <w:u w:val="single"/>
          </w:rPr>
          <w:t>Arduino ESP32</w:t>
        </w:r>
      </w:hyperlink>
      <w:r>
        <w:rPr>
          <w:sz w:val="18"/>
        </w:rPr>
        <w:t xml:space="preserve">  |  </w:t>
      </w:r>
      <w:hyperlink r:id="rId7">
        <w:r>
          <w:rPr>
            <w:rStyle w:val="Style"/>
            <w:color w:val="1F4E79"/>
            <w:sz w:val="18"/>
            <w:u w:val="single"/>
          </w:rPr>
          <w:t>MicroPython</w:t>
        </w:r>
      </w:hyperlink>
    </w:p>
    <w:p>
      <w:pPr>
        <w:pStyle w:val="Heading1"/>
        <w:spacing w:before="0" w:after="100"/>
        <w:rPr/>
      </w:pPr>
      <w:bookmarkStart w:id="2" w:name="__RefHeading___Toc902_2140976944"/>
      <w:bookmarkEnd w:id="2"/>
      <w:r>
        <w:rPr/>
        <w:t>3  Soil Moisture and Reservoir Sensing</w:t>
      </w:r>
    </w:p>
    <w:p>
      <w:pPr>
        <w:pStyle w:val="Heading2"/>
        <w:rPr/>
      </w:pPr>
      <w:r>
        <w:rPr/>
        <w:t>3.1  Soil moisture</w:t>
      </w:r>
    </w:p>
    <w:p>
      <w:pPr>
        <w:pStyle w:val="Normal"/>
        <w:rPr/>
      </w:pPr>
      <w:r>
        <w:rPr/>
        <w:t>Soil moisture determines whether watering is needed. The useful measurement is a repeatable difference between dry and sufficiently wet soil. A calibrated relative percentage is an indicator, not a measurement of volumetric water content.</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Capacitive probe in the M5Stack Watering Unit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Already available together with the pump. Capacitive sensing reduces the exposed-electrode corrosion problem of resistive probes.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Its reading still depends on soil, placement and calibration. The electronics need protection from water.</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capacitive probe</w:t>
              <w:br/>
              <w:t>Example: DFRobot SEN0193</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sensor can be positioned and replaced independently of the pump assembly.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another part and separate wiring. It still needs calibration in the actual soil.</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Resistive probe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simple way to detect changes in soil conductivity.</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Exposed electrodes can corrode, and dissolved salts affect the reading. This creates extra maintenance and uncertainty.</w:t>
            </w:r>
          </w:p>
        </w:tc>
      </w:tr>
    </w:tbl>
    <w:p>
      <w:pPr>
        <w:pStyle w:val="Normal"/>
        <w:spacing w:before="140" w:after="100"/>
        <w:rPr/>
      </w:pPr>
      <w:r>
        <w:rPr>
          <w:b/>
        </w:rPr>
        <w:t xml:space="preserve">My choice: </w:t>
      </w:r>
      <w:r>
        <w:rPr>
          <w:shd w:fill="81D41A" w:val="clear"/>
        </w:rPr>
        <w:t>Use the capacitive probe in the available M5Stack unit. It avoids buying a second soil sensor and fits the one-plant setup.</w:t>
      </w:r>
      <w:r>
        <w:rPr/>
        <w:t xml:space="preserve"> A separate capacitive probe becomes useful if the combined unit cannot be positioned well or needs independent replacement. Calibrate the selected probe in the actual pot before choosing watering thresholds.</w:t>
      </w:r>
    </w:p>
    <w:p>
      <w:pPr>
        <w:pStyle w:val="Normal"/>
        <w:spacing w:before="0" w:after="180"/>
        <w:rPr/>
      </w:pPr>
      <w:r>
        <w:rPr>
          <w:b/>
          <w:sz w:val="18"/>
        </w:rPr>
        <w:t xml:space="preserve">Sources: </w:t>
      </w:r>
      <w:hyperlink r:id="rId8">
        <w:r>
          <w:rPr>
            <w:rStyle w:val="Style"/>
            <w:color w:val="1F4E79"/>
            <w:sz w:val="18"/>
            <w:u w:val="single"/>
          </w:rPr>
          <w:t>M5Stack Watering Unit</w:t>
        </w:r>
      </w:hyperlink>
      <w:r>
        <w:rPr>
          <w:sz w:val="18"/>
        </w:rPr>
        <w:t xml:space="preserve">  |  </w:t>
      </w:r>
      <w:hyperlink r:id="rId9">
        <w:r>
          <w:rPr>
            <w:rStyle w:val="Style"/>
            <w:color w:val="1F4E79"/>
            <w:sz w:val="18"/>
            <w:u w:val="single"/>
          </w:rPr>
          <w:t>DFRobot SEN0193</w:t>
        </w:r>
      </w:hyperlink>
    </w:p>
    <w:p>
      <w:pPr>
        <w:pStyle w:val="Normal"/>
        <w:spacing w:before="0" w:after="180"/>
        <w:rPr>
          <w:color w:val="1F4E79"/>
          <w:sz w:val="18"/>
          <w:u w:val="single"/>
        </w:rPr>
      </w:pPr>
      <w:r>
        <w:rPr>
          <w:color w:val="1F4E79"/>
          <w:sz w:val="18"/>
          <w:u w:val="single"/>
        </w:rPr>
      </w:r>
    </w:p>
    <w:p>
      <w:pPr>
        <w:pStyle w:val="Heading2"/>
        <w:rPr/>
      </w:pPr>
      <w:r>
        <w:rPr/>
        <w:t>3.2  Reservoir water detection</w:t>
      </w:r>
    </w:p>
    <w:p>
      <w:pPr>
        <w:pStyle w:val="Normal"/>
        <w:rPr/>
      </w:pPr>
      <w:r>
        <w:rPr/>
        <w:t>The core requirement is to detect too little water for the pump. Measuring the exact number of litres would add work without changing that decision.</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widowControl/>
              <w:suppressAutoHyphens w:val="true"/>
              <w:bidi w:val="0"/>
              <w:spacing w:lineRule="auto" w:line="240" w:before="0" w:after="100"/>
              <w:jc w:val="start"/>
              <w:rPr/>
            </w:pPr>
            <w:r>
              <w:rPr/>
              <w:t>K-0135 water sensor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compact sensor for detecting water in a small reservoir. Can support a low-water threshold instead of calculating the full volume.</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widowControl/>
              <w:suppressAutoHyphens w:val="true"/>
              <w:bidi w:val="0"/>
              <w:spacing w:lineRule="auto" w:line="240" w:before="0" w:after="100"/>
              <w:jc w:val="start"/>
              <w:rPr/>
            </w:pPr>
            <w:r>
              <w:rPr/>
              <w:t>Electrical compatibility, mounting and reliable detection at the cutoff level need to be checked in the installed setup.</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Float switch</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a simple on/off signal at a chosen water level. No conversion to a continuous level is needed.</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secure mounting and room for the float to move; it can stick or become obstructed.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External capacitive sensor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detect water through a suitable non-metal reservoir wall without touching the water.</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Must match the wall material and thickness, and needs a compatible power and signal interface.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Ultrasonic sensor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Measures distance to the water surface, allowing a continuous level estimate.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suitable clearance and mounting. Distance-to-volume conversion and surface effects add complexity.</w:t>
            </w:r>
          </w:p>
        </w:tc>
      </w:tr>
    </w:tbl>
    <w:p>
      <w:pPr>
        <w:pStyle w:val="Normal"/>
        <w:spacing w:before="140" w:after="100"/>
        <w:rPr/>
      </w:pPr>
      <w:r>
        <w:rPr>
          <w:b/>
        </w:rPr>
        <w:t xml:space="preserve">My choice: </w:t>
      </w:r>
      <w:r>
        <w:rPr>
          <w:shd w:fill="81D41A" w:val="clear"/>
        </w:rPr>
        <w:t>Use the K-0135 water sensor installed in the prototype for reservoir low-water detection.</w:t>
      </w:r>
      <w:r>
        <w:rPr/>
        <w:t xml:space="preserve"> The project needs a low-water signal rather than an exact volume measurement. Check its readings at the installed cutoff level and use them to set the low-water threshold. A float switch is an alternative if more dependable detection is needed in the chosen container.</w:t>
      </w:r>
    </w:p>
    <w:p>
      <w:pPr>
        <w:pStyle w:val="Normal"/>
        <w:spacing w:before="0" w:after="180"/>
        <w:rPr/>
      </w:pPr>
      <w:r>
        <w:rPr>
          <w:b/>
          <w:sz w:val="18"/>
        </w:rPr>
        <w:t xml:space="preserve">Sources: </w:t>
      </w:r>
      <w:hyperlink r:id="rId10">
        <w:r>
          <w:rPr>
            <w:rStyle w:val="Style"/>
            <w:color w:val="1F4E79"/>
            <w:sz w:val="18"/>
            <w:u w:val="single"/>
          </w:rPr>
          <w:t>Level-sensing technologies</w:t>
        </w:r>
      </w:hyperlink>
      <w:r>
        <w:rPr>
          <w:sz w:val="18"/>
        </w:rPr>
        <w:t xml:space="preserve">  |  </w:t>
      </w:r>
      <w:hyperlink r:id="rId11">
        <w:r>
          <w:rPr>
            <w:rStyle w:val="Style"/>
            <w:color w:val="1F4E79"/>
            <w:sz w:val="18"/>
            <w:u w:val="single"/>
          </w:rPr>
          <w:t>Non-contact capacitive sensing</w:t>
        </w:r>
      </w:hyperlink>
    </w:p>
    <w:p>
      <w:pPr>
        <w:pStyle w:val="Normal"/>
        <w:rPr/>
      </w:pPr>
      <w:r>
        <w:rPr/>
      </w:r>
      <w:r>
        <w:br w:type="page"/>
      </w:r>
    </w:p>
    <w:p>
      <w:pPr>
        <w:pStyle w:val="Heading1"/>
        <w:spacing w:before="0" w:after="100"/>
        <w:rPr/>
      </w:pPr>
      <w:bookmarkStart w:id="3" w:name="__RefHeading___Toc904_2140976944"/>
      <w:bookmarkEnd w:id="3"/>
      <w:r>
        <w:rPr/>
        <w:t>4  Temperature Humidity and Light</w:t>
      </w:r>
    </w:p>
    <w:p>
      <w:pPr>
        <w:pStyle w:val="Heading2"/>
        <w:rPr/>
      </w:pPr>
      <w:r>
        <w:rPr/>
        <w:t>4.1  Air temperature and humidity</w:t>
      </w:r>
    </w:p>
    <w:p>
      <w:pPr>
        <w:pStyle w:val="Normal"/>
        <w:rPr/>
      </w:pPr>
      <w:r>
        <w:rPr/>
        <w:t>These readings help the caretaker recognise unsuitable growing conditions. The core system reports them and raises alerts; it does not control heating or humidity.</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DHT11</w:t>
              <w:br/>
              <w:t>Available module</w:t>
            </w:r>
          </w:p>
        </w:tc>
        <w:tc>
          <w:tcPr>
            <w:tcW w:w="3914"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Measures both quantities through one digital signal connection. Suitable as a starting point for basic monitoring.</w:t>
            </w:r>
          </w:p>
        </w:tc>
        <w:tc>
          <w:tcPr>
            <w:tcW w:w="3912"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Limited range and accuracy: the cited guide lists about ±2 °C and ±5 percentage points of relative humidity for its DHT11.</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DHT22 / AM2302</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cited guide lists a wider range and temperature accuracy of ±0.5 °C, while retaining a simple digital connection.</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replacement purchase and integration. Readings are limited to about once every two seconds.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BME280 module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Measures temperature and humidity using I²C or SPI. Bosch specifies humidity accuracy of ±3 percentage points under its stated conditions.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Requires a different driver and a suitable breakout board. Its additional pressure measurement is not needed here.</w:t>
            </w:r>
          </w:p>
        </w:tc>
      </w:tr>
    </w:tbl>
    <w:p>
      <w:pPr>
        <w:pStyle w:val="Normal"/>
        <w:spacing w:before="140" w:after="100"/>
        <w:rPr/>
      </w:pPr>
      <w:r>
        <w:rPr>
          <w:b/>
        </w:rPr>
        <w:t xml:space="preserve">My choice: </w:t>
      </w:r>
      <w:r>
        <w:rPr>
          <w:shd w:fill="81D41A" w:val="clear"/>
        </w:rPr>
        <w:t xml:space="preserve">Start with the available DHT11 because it covers the two required measurements without a new purchase. Retain it only if its readings are useful for the chosen plant’s alert limits. </w:t>
      </w:r>
      <w:r>
        <w:rPr/>
        <w:t>For example, a sensor with ±2 °C error cannot reliably distinguish conditions only 1 °C apart. DHT22 or BME280 is an upgrade if closer limits or a wider range are needed. Datasheet accuracy is not proof of accuracy after installation.</w:t>
      </w:r>
    </w:p>
    <w:p>
      <w:pPr>
        <w:pStyle w:val="Normal"/>
        <w:spacing w:before="0" w:after="180"/>
        <w:rPr/>
      </w:pPr>
      <w:r>
        <w:rPr>
          <w:b/>
          <w:sz w:val="18"/>
        </w:rPr>
        <w:t xml:space="preserve">Sources: </w:t>
      </w:r>
      <w:hyperlink r:id="rId12">
        <w:r>
          <w:rPr>
            <w:rStyle w:val="Style"/>
            <w:color w:val="1F4E79"/>
            <w:sz w:val="18"/>
            <w:u w:val="single"/>
          </w:rPr>
          <w:t>DHT11 and DHT22 comparison</w:t>
        </w:r>
      </w:hyperlink>
      <w:r>
        <w:rPr>
          <w:sz w:val="18"/>
        </w:rPr>
        <w:t xml:space="preserve">  |  </w:t>
      </w:r>
      <w:hyperlink r:id="rId13">
        <w:r>
          <w:rPr>
            <w:rStyle w:val="Style"/>
            <w:color w:val="1F4E79"/>
            <w:sz w:val="18"/>
            <w:u w:val="single"/>
          </w:rPr>
          <w:t>Bosch BME280</w:t>
        </w:r>
      </w:hyperlink>
    </w:p>
    <w:p>
      <w:pPr>
        <w:pStyle w:val="Normal"/>
        <w:rPr/>
      </w:pPr>
      <w:r>
        <w:rPr/>
      </w:r>
    </w:p>
    <w:p>
      <w:pPr>
        <w:pStyle w:val="Heading2"/>
        <w:rPr/>
      </w:pPr>
      <w:r>
        <w:rPr/>
        <w:t>4.2  Ambient light</w:t>
      </w:r>
    </w:p>
    <w:p>
      <w:pPr>
        <w:pStyle w:val="Normal"/>
        <w:rPr/>
      </w:pPr>
      <w:r>
        <w:rPr/>
        <w:t>Light monitoring is a Should Have. It helps the caretaker notice changes in illumination; automatic lighting remains outside the scope.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Photoresistor module</w:t>
            </w:r>
          </w:p>
        </w:tc>
        <w:tc>
          <w:tcPr>
            <w:tcW w:w="3914"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Its electrical resistance changes with light. A simple analogue reading can show whether conditions are getting brighter or darker.</w:t>
            </w:r>
          </w:p>
        </w:tc>
        <w:tc>
          <w:tcPr>
            <w:tcW w:w="3912"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Response varies between parts. Readings show relative light levels and cannot be labelled as lux without a supported conversion.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BH1750 module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digital readings in lux, a standard measure of visible illumination, through I²C.</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an I²C driver. Lux describes human-visible light and does not directly measure the light used in photosynthesis.</w:t>
            </w:r>
          </w:p>
        </w:tc>
      </w:tr>
    </w:tbl>
    <w:p>
      <w:pPr>
        <w:pStyle w:val="Normal"/>
        <w:spacing w:before="140" w:after="100"/>
        <w:rPr/>
      </w:pPr>
      <w:r>
        <w:rPr>
          <w:b/>
        </w:rPr>
        <w:t xml:space="preserve">My choice: </w:t>
      </w:r>
      <w:r>
        <w:rPr>
          <w:shd w:fill="81D41A" w:val="clear"/>
        </w:rPr>
        <w:t>Use a photoresistor module because relative light changes are enough for this feature.</w:t>
      </w:r>
      <w:r>
        <w:rPr/>
        <w:t xml:space="preserve"> Its analogue output is straightforward to read with the ESP32. Choose a BH1750 if readings in lux become a requirement. The photoresistor’s output voltage must fit the ESP32 input, and its readings should be presented as relative light levels.</w:t>
      </w:r>
    </w:p>
    <w:p>
      <w:pPr>
        <w:pStyle w:val="Normal"/>
        <w:spacing w:before="0" w:after="180"/>
        <w:rPr/>
      </w:pPr>
      <w:r>
        <w:rPr>
          <w:b/>
          <w:sz w:val="18"/>
        </w:rPr>
        <w:t xml:space="preserve">Sources: </w:t>
      </w:r>
      <w:hyperlink r:id="rId14">
        <w:r>
          <w:rPr>
            <w:rStyle w:val="Style"/>
            <w:color w:val="1F4E79"/>
            <w:sz w:val="18"/>
            <w:u w:val="single"/>
          </w:rPr>
          <w:t>Photoresistors</w:t>
        </w:r>
      </w:hyperlink>
      <w:r>
        <w:rPr>
          <w:sz w:val="18"/>
        </w:rPr>
        <w:t xml:space="preserve">  |  </w:t>
      </w:r>
      <w:hyperlink r:id="rId15">
        <w:r>
          <w:rPr>
            <w:rStyle w:val="Style"/>
            <w:color w:val="1F4E79"/>
            <w:sz w:val="18"/>
            <w:u w:val="single"/>
          </w:rPr>
          <w:t>BH1750 module</w:t>
        </w:r>
      </w:hyperlink>
    </w:p>
    <w:p>
      <w:pPr>
        <w:pStyle w:val="Normal"/>
        <w:rPr/>
      </w:pPr>
      <w:r>
        <w:rPr/>
      </w:r>
      <w:r>
        <w:br w:type="page"/>
      </w:r>
    </w:p>
    <w:p>
      <w:pPr>
        <w:pStyle w:val="Heading1"/>
        <w:spacing w:before="0" w:after="100"/>
        <w:rPr/>
      </w:pPr>
      <w:bookmarkStart w:id="4" w:name="__RefHeading___Toc906_2140976944"/>
      <w:bookmarkEnd w:id="4"/>
      <w:r>
        <w:rPr/>
        <w:t>5  Watering Hardware and Local Display</w:t>
      </w:r>
    </w:p>
    <w:p>
      <w:pPr>
        <w:pStyle w:val="Heading2"/>
        <w:rPr/>
      </w:pPr>
      <w:r>
        <w:rPr/>
        <w:t>5.1  Pump and power supply</w:t>
      </w:r>
    </w:p>
    <w:p>
      <w:pPr>
        <w:pStyle w:val="Normal"/>
        <w:rPr/>
      </w:pPr>
      <w:r>
        <w:rPr/>
        <w:t>The pump must move water from the reservoir to the pot. The important factors are delivered water, lifting height, power needs and how easily it can be connected and maintained.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M5Stack Watering Unit</w:t>
              <w:br/>
              <w:t>Available pump</w:t>
            </w:r>
          </w:p>
        </w:tc>
        <w:tc>
          <w:tcPr>
            <w:tcW w:w="3914"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Combines a pump and soil probe, with a control input and supplied tubing. Reduces separate-part assembly.</w:t>
            </w:r>
          </w:p>
        </w:tc>
        <w:tc>
          <w:tcPr>
            <w:tcW w:w="3912"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Actual water delivery depends on tubing and height. The combined arrangement may restrict positioning.</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Separate small DC pump</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Allows the pump and soil sensor to be selected and mounted independently.</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Needs a compatible switching circuit, supply and tubing; selecting and assembling them adds work.</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Peristaltic pump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Moves liquid by squeezing tubing, keeping water out of the pump mechanism. Useful when controlled dosing matters.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Needs suitable replaceable tubing and its own drive circuit. Delivery per second still needs calibration.</w:t>
            </w:r>
          </w:p>
        </w:tc>
      </w:tr>
    </w:tbl>
    <w:p>
      <w:pPr>
        <w:pStyle w:val="Normal"/>
        <w:spacing w:before="140" w:after="100"/>
        <w:rPr/>
      </w:pPr>
      <w:r>
        <w:rPr>
          <w:b/>
        </w:rPr>
        <w:t xml:space="preserve">My choice: </w:t>
      </w:r>
      <w:r>
        <w:rPr>
          <w:shd w:fill="81D41A" w:val="clear"/>
        </w:rPr>
        <w:t>Use the available M5Stack pump and tubing for the single pot.</w:t>
      </w:r>
      <w:r>
        <w:rPr/>
        <w:t xml:space="preserve"> A separate or peristaltic pump is justified if the existing unit cannot deliver the required amount at the installed height. Limit each watering run rather than assuming that running the pump for longer is harmless.</w:t>
      </w:r>
    </w:p>
    <w:p>
      <w:pPr>
        <w:pStyle w:val="Normal"/>
        <w:rPr/>
      </w:pPr>
      <w:r>
        <w:rPr/>
        <w:t>Choose a regulated 5 V, 2.5 A pump supply. The specified 5 W at 5 V implies about 1 A; startup demand still needs checking. Power the ESP32 through USB and share signal ground with the pump unit. Keep the external pump supply separate from the board’s USB 5 V rail; reconcile this with the schematic’s shared 5 V net before wiring. GPIO controls PUMP_EN, not motor power.</w:t>
      </w:r>
    </w:p>
    <w:p>
      <w:pPr>
        <w:pStyle w:val="Normal"/>
        <w:spacing w:before="0" w:after="180"/>
        <w:rPr/>
      </w:pPr>
      <w:r>
        <w:rPr>
          <w:b/>
          <w:sz w:val="18"/>
        </w:rPr>
        <w:t xml:space="preserve">Sources: </w:t>
      </w:r>
      <w:hyperlink r:id="rId16">
        <w:r>
          <w:rPr>
            <w:rStyle w:val="Style"/>
            <w:color w:val="1F4E79"/>
            <w:sz w:val="18"/>
            <w:u w:val="single"/>
          </w:rPr>
          <w:t>M5Stack pump and pin map</w:t>
        </w:r>
      </w:hyperlink>
      <w:r>
        <w:rPr>
          <w:sz w:val="18"/>
        </w:rPr>
        <w:t xml:space="preserve">  |  </w:t>
      </w:r>
      <w:hyperlink r:id="rId17">
        <w:r>
          <w:rPr>
            <w:rStyle w:val="Style"/>
            <w:color w:val="1F4E79"/>
            <w:sz w:val="18"/>
            <w:u w:val="single"/>
          </w:rPr>
          <w:t>Peristaltic pump example</w:t>
        </w:r>
      </w:hyperlink>
    </w:p>
    <w:p>
      <w:pPr>
        <w:pStyle w:val="Normal"/>
        <w:rPr/>
      </w:pPr>
      <w:r>
        <w:rPr/>
      </w:r>
    </w:p>
    <w:p>
      <w:pPr>
        <w:pStyle w:val="Heading2"/>
        <w:rPr/>
      </w:pPr>
      <w:r>
        <w:rPr/>
        <w:t>5.2  Local display</w:t>
      </w:r>
    </w:p>
    <w:p>
      <w:pPr>
        <w:pStyle w:val="Normal"/>
        <w:rPr/>
      </w:pPr>
      <w:r>
        <w:rPr/>
        <w:t>A screen at the plant lets the caretaker check readings and warnings without opening the dashboard.</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0.96 inch SSD1306 OLED</w:t>
              <w:br/>
              <w:t>128 × 64 pixels</w:t>
            </w:r>
          </w:p>
        </w:tc>
        <w:tc>
          <w:tcPr>
            <w:tcW w:w="3914"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Displays text and simple symbols in a compact module. Flexible pixel layout allows readings and warnings to share the screen.</w:t>
            </w:r>
          </w:p>
        </w:tc>
        <w:tc>
          <w:tcPr>
            <w:tcW w:w="3912" w:type="dxa"/>
            <w:tcBorders>
              <w:top w:val="single" w:sz="4" w:space="0" w:color="D9D9D9"/>
              <w:start w:val="single" w:sz="4" w:space="0" w:color="D9D9D9"/>
              <w:bottom w:val="single" w:sz="4" w:space="0" w:color="D9D9D9"/>
              <w:end w:val="single" w:sz="4" w:space="0" w:color="D9D9D9"/>
            </w:tcBorders>
            <w:shd w:fill="E8F1F5" w:val="clear"/>
            <w:vAlign w:val="center"/>
          </w:tcPr>
          <w:p>
            <w:pPr>
              <w:pStyle w:val="Normal"/>
              <w:spacing w:lineRule="auto" w:line="240" w:before="20" w:after="20"/>
              <w:rPr/>
            </w:pPr>
            <w:r>
              <w:rPr>
                <w:b w:val="false"/>
                <w:sz w:val="20"/>
              </w:rPr>
              <w:t>Small screen area limits text size and how much information fits at once.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16 × 2 character LCD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Two rows of fixed-size characters suit simple status messages.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Less flexible for symbols and layout; several readings require switching between screens.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Dashboard only</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Avoids a local screen and its wiring.</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Cannot meet the requirement for a display at the plant, especially when the network is unavailable.</w:t>
            </w:r>
          </w:p>
        </w:tc>
      </w:tr>
    </w:tbl>
    <w:p>
      <w:pPr>
        <w:pStyle w:val="Normal"/>
        <w:spacing w:before="140" w:after="100"/>
        <w:rPr/>
      </w:pPr>
      <w:r>
        <w:rPr>
          <w:b/>
        </w:rPr>
        <w:t xml:space="preserve">My choice: </w:t>
      </w:r>
      <w:r>
        <w:rPr>
          <w:shd w:fill="81D41A" w:val="clear"/>
        </w:rPr>
        <w:t xml:space="preserve">Use the SSD1306 OLED for its compact size and flexible layout. It can show current readings and short warnings, while the dashboard handles detailed history. </w:t>
      </w:r>
      <w:r>
        <w:rPr/>
        <w:t>A larger character LCD would be worth considering if the caretaker cannot comfortably read the small screen.</w:t>
      </w:r>
    </w:p>
    <w:p>
      <w:pPr>
        <w:pStyle w:val="Normal"/>
        <w:rPr/>
      </w:pPr>
      <w:r>
        <w:rPr>
          <w:shd w:fill="81D41A" w:val="clear"/>
        </w:rPr>
        <w:t>Select the I²C version of the OLED. I²C uses two signal wires, data and clock, and is fast enough for occasional reading updates.</w:t>
      </w:r>
      <w:r>
        <w:rPr/>
        <w:t xml:space="preserve"> SPI can transfer display data faster but generally needs more signal wires; that benefit is unnecessary for this screen. Confirm the module’s supply and signal levels before connecting it.</w:t>
      </w:r>
    </w:p>
    <w:p>
      <w:pPr>
        <w:pStyle w:val="Normal"/>
        <w:spacing w:before="0" w:after="180"/>
        <w:rPr/>
      </w:pPr>
      <w:r>
        <w:rPr>
          <w:b/>
          <w:sz w:val="18"/>
        </w:rPr>
        <w:t xml:space="preserve">Sources: </w:t>
      </w:r>
      <w:hyperlink r:id="rId18">
        <w:r>
          <w:rPr>
            <w:rStyle w:val="Style"/>
            <w:color w:val="1F4E79"/>
            <w:sz w:val="18"/>
            <w:u w:val="single"/>
          </w:rPr>
          <w:t>OLED displays</w:t>
        </w:r>
      </w:hyperlink>
      <w:r>
        <w:rPr>
          <w:sz w:val="18"/>
        </w:rPr>
        <w:t xml:space="preserve">  |  </w:t>
      </w:r>
      <w:hyperlink r:id="rId19">
        <w:r>
          <w:rPr>
            <w:rStyle w:val="Style"/>
            <w:color w:val="1F4E79"/>
            <w:sz w:val="18"/>
            <w:u w:val="single"/>
          </w:rPr>
          <w:t>Character LCDs</w:t>
        </w:r>
      </w:hyperlink>
      <w:r>
        <w:rPr>
          <w:sz w:val="18"/>
        </w:rPr>
        <w:t xml:space="preserve">  |  </w:t>
      </w:r>
      <w:hyperlink r:id="rId20">
        <w:r>
          <w:rPr>
            <w:rStyle w:val="Style"/>
            <w:color w:val="1F4E79"/>
            <w:sz w:val="18"/>
            <w:u w:val="single"/>
          </w:rPr>
          <w:t>I²C specification</w:t>
        </w:r>
      </w:hyperlink>
    </w:p>
    <w:p>
      <w:pPr>
        <w:pStyle w:val="Normal"/>
        <w:rPr/>
      </w:pPr>
      <w:r>
        <w:rPr/>
      </w:r>
      <w:r>
        <w:br w:type="page"/>
      </w:r>
    </w:p>
    <w:p>
      <w:pPr>
        <w:pStyle w:val="Heading1"/>
        <w:spacing w:before="0" w:after="100"/>
        <w:rPr/>
      </w:pPr>
      <w:bookmarkStart w:id="5" w:name="__RefHeading___Toc908_2140976944"/>
      <w:bookmarkEnd w:id="5"/>
      <w:r>
        <w:rPr/>
        <w:t>6  Communication</w:t>
      </w:r>
    </w:p>
    <w:p>
      <w:pPr>
        <w:pStyle w:val="Heading2"/>
        <w:rPr/>
      </w:pPr>
      <w:r>
        <w:rPr/>
        <w:t>6.1  Communication protocol – See the MQTT Research Paper for further information</w:t>
      </w:r>
    </w:p>
    <w:p>
      <w:pPr>
        <w:pStyle w:val="Normal"/>
        <w:rPr/>
      </w:pPr>
      <w:r>
        <w:rPr/>
        <w:t>Wi-Fi connects the ESP32 to the local network. A communication protocol defines how it exchanges readings and messages with software on the host computer. Watering decisions stay on the ESP32 so that this connection is not required to operate the pump.</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MQTT</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The device sends messages to named topics through a broker, which forwards them to interested applications. Suits recurring sensor readings and events.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Requires a broker service. Message delivery settings and reconnect behaviour must be chosen deliberately.</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HTTP / HTTPS</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The device sends requests directly to a web service. A good option for a simple upload endpoint and familiar web integrations.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Regular updates and commands require an application-level polling or connection strategy. The device is tied more directly to that service’s API.</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CoAP</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 compact request/response protocol designed for constrained devices; its base specification uses UDP.</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Would require another integration approach for the selected backend. Its benefits are less compelling for this powered Wi-Fi prototype.</w:t>
            </w:r>
          </w:p>
        </w:tc>
      </w:tr>
    </w:tbl>
    <w:p>
      <w:pPr>
        <w:pStyle w:val="Normal"/>
        <w:spacing w:before="140" w:after="100"/>
        <w:rPr/>
      </w:pPr>
      <w:r>
        <w:rPr>
          <w:b/>
        </w:rPr>
        <w:t xml:space="preserve">My choice: </w:t>
      </w:r>
      <w:r>
        <w:rPr>
          <w:shd w:fill="81D41A" w:val="clear"/>
        </w:rPr>
        <w:t xml:space="preserve">Use MQTT for measurements, watering events and any later remote settings. Publishing to topics separates the device from the program that stores readings. </w:t>
      </w:r>
      <w:r>
        <w:rPr/>
        <w:t>HTTP would also work for a small upload-only system; MQTT better matches the planned two-way message flow. MQTT acknowledgements do not prove that a database record was saved, so storage error handling is still needed.</w:t>
      </w:r>
    </w:p>
    <w:p>
      <w:pPr>
        <w:pStyle w:val="Normal"/>
        <w:spacing w:before="0" w:after="180"/>
        <w:rPr/>
      </w:pPr>
      <w:r>
        <w:rPr>
          <w:b/>
          <w:sz w:val="18"/>
        </w:rPr>
        <w:t xml:space="preserve">Sources: </w:t>
      </w:r>
      <w:hyperlink r:id="rId21">
        <w:r>
          <w:rPr>
            <w:rStyle w:val="Style"/>
            <w:color w:val="1F4E79"/>
            <w:sz w:val="18"/>
            <w:u w:val="single"/>
          </w:rPr>
          <w:t>MQTT standard</w:t>
        </w:r>
      </w:hyperlink>
      <w:r>
        <w:rPr>
          <w:sz w:val="18"/>
        </w:rPr>
        <w:t xml:space="preserve">  |  </w:t>
      </w:r>
      <w:hyperlink r:id="rId22">
        <w:r>
          <w:rPr>
            <w:rStyle w:val="Style"/>
            <w:color w:val="1F4E79"/>
            <w:sz w:val="18"/>
            <w:u w:val="single"/>
          </w:rPr>
          <w:t>HTTP standard</w:t>
        </w:r>
      </w:hyperlink>
      <w:r>
        <w:rPr>
          <w:sz w:val="18"/>
        </w:rPr>
        <w:t xml:space="preserve">  |  </w:t>
      </w:r>
      <w:hyperlink r:id="rId23">
        <w:r>
          <w:rPr>
            <w:rStyle w:val="Style"/>
            <w:color w:val="1F4E79"/>
            <w:sz w:val="18"/>
            <w:u w:val="single"/>
          </w:rPr>
          <w:t>CoAP standard</w:t>
        </w:r>
      </w:hyperlink>
    </w:p>
    <w:p>
      <w:pPr>
        <w:pStyle w:val="Normal"/>
        <w:rPr/>
      </w:pPr>
      <w:r>
        <w:rPr/>
      </w:r>
    </w:p>
    <w:p>
      <w:pPr>
        <w:pStyle w:val="Heading2"/>
        <w:rPr/>
      </w:pPr>
      <w:r>
        <w:rPr/>
        <w:t>6.2  MQTT broker</w:t>
      </w:r>
    </w:p>
    <w:p>
      <w:pPr>
        <w:pStyle w:val="Normal"/>
        <w:rPr/>
      </w:pPr>
      <w:r>
        <w:rPr/>
        <w:t>The broker is the message-routing program between the device and the backend. It does not replace the database used for historical records.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Eclipse Mosquitto</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 lightweight broker that can run on the same host as the backend. Fits one device and a small number of topics.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Configuration, access control and service recovery must be managed on that host.</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EMQX</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Offers a management dashboard, data integrations and clustering across servers.</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features and operational choices that this one-device prototype does not need.</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Managed MQTT service</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The provider runs the broker infrastructure, reducing local broker administration.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Depends on the internet and provider terms. Charges, limits and responsibility for stored data depend on the service.</w:t>
            </w:r>
          </w:p>
        </w:tc>
      </w:tr>
    </w:tbl>
    <w:p>
      <w:pPr>
        <w:pStyle w:val="Normal"/>
        <w:spacing w:before="140" w:after="100"/>
        <w:rPr/>
      </w:pPr>
      <w:r>
        <w:rPr>
          <w:b/>
        </w:rPr>
        <w:t xml:space="preserve">My choice: </w:t>
      </w:r>
      <w:r>
        <w:rPr>
          <w:shd w:fill="81D41A" w:val="clear"/>
        </w:rPr>
        <w:t>Use Mosquitto on the project host. It provides the required routing without adding a separate platform.</w:t>
      </w:r>
      <w:r>
        <w:rPr/>
        <w:t xml:space="preserve"> EMQX becomes more attractive if managing many devices or broker integrations becomes part of the scope. A managed service is an alternative when maintaining a host is impractical.</w:t>
      </w:r>
    </w:p>
    <w:p>
      <w:pPr>
        <w:pStyle w:val="Normal"/>
        <w:rPr/>
      </w:pPr>
      <w:r>
        <w:rPr/>
        <w:t>Allow only the intended clients to connect and publish to the relevant topics. Use encrypted connections when messages cross untrusted networks. These are configuration responsibilities; choosing MQTT alone does not secure the system.</w:t>
      </w:r>
    </w:p>
    <w:p>
      <w:pPr>
        <w:pStyle w:val="Normal"/>
        <w:spacing w:before="0" w:after="180"/>
        <w:rPr/>
      </w:pPr>
      <w:r>
        <w:rPr>
          <w:b/>
          <w:sz w:val="18"/>
        </w:rPr>
        <w:t xml:space="preserve">Sources: </w:t>
      </w:r>
      <w:hyperlink r:id="rId24">
        <w:r>
          <w:rPr>
            <w:rStyle w:val="Style"/>
            <w:color w:val="1F4E79"/>
            <w:sz w:val="18"/>
            <w:u w:val="single"/>
          </w:rPr>
          <w:t>Mosquitto</w:t>
        </w:r>
      </w:hyperlink>
      <w:r>
        <w:rPr>
          <w:sz w:val="18"/>
        </w:rPr>
        <w:t xml:space="preserve">  |  </w:t>
      </w:r>
      <w:hyperlink r:id="rId25">
        <w:r>
          <w:rPr>
            <w:rStyle w:val="Style"/>
            <w:color w:val="1F4E79"/>
            <w:sz w:val="18"/>
            <w:u w:val="single"/>
          </w:rPr>
          <w:t>Mosquitto authentication</w:t>
        </w:r>
      </w:hyperlink>
      <w:r>
        <w:rPr>
          <w:sz w:val="18"/>
        </w:rPr>
        <w:t xml:space="preserve">  |  </w:t>
      </w:r>
      <w:hyperlink r:id="rId26">
        <w:r>
          <w:rPr>
            <w:rStyle w:val="Style"/>
            <w:color w:val="1F4E79"/>
            <w:sz w:val="18"/>
            <w:u w:val="single"/>
          </w:rPr>
          <w:t>EMQX</w:t>
        </w:r>
      </w:hyperlink>
    </w:p>
    <w:p>
      <w:pPr>
        <w:pStyle w:val="Normal"/>
        <w:rPr/>
      </w:pPr>
      <w:r>
        <w:rPr/>
      </w:r>
      <w:r>
        <w:br w:type="page"/>
      </w:r>
    </w:p>
    <w:p>
      <w:pPr>
        <w:pStyle w:val="Heading1"/>
        <w:spacing w:before="0" w:after="100"/>
        <w:rPr/>
      </w:pPr>
      <w:bookmarkStart w:id="6" w:name="__RefHeading___Toc910_2140976944"/>
      <w:bookmarkEnd w:id="6"/>
      <w:r>
        <w:rPr/>
        <w:t>7  Backend and Database</w:t>
      </w:r>
    </w:p>
    <w:p>
      <w:pPr>
        <w:pStyle w:val="Heading2"/>
        <w:rPr/>
      </w:pPr>
      <w:r>
        <w:rPr/>
        <w:t>7.1  Backend application</w:t>
      </w:r>
    </w:p>
    <w:p>
      <w:pPr>
        <w:pStyle w:val="Normal"/>
        <w:rPr/>
      </w:pPr>
      <w:r>
        <w:rPr/>
        <w:t>The backend is the program that receives device messages, checks their contents and saves them. It also handles software rules needed by the remote system; essential watering control stays on the device.</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Node.js</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Handles incoming messages and database operations through an event-driven JavaScript program. MQTT.js and node-postgres cover the planned connections.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Asynchronous error handling must be designed carefully; a message arriving is not the same as a successful database write.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Python</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Clear scripting language with asynchronous I/O support. A suitable alternative for message processing and data handling.</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Would use a different set of libraries. It offers no decisive advantage for the small message-to-database service planned here.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Node-RED</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Visual flows can connect device messages, processing steps and storage with less handwritten code.</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Complex rules can become harder to follow across many nodes. Provides less practice in building the backend directly in code.</w:t>
            </w:r>
          </w:p>
        </w:tc>
      </w:tr>
    </w:tbl>
    <w:p>
      <w:pPr>
        <w:pStyle w:val="Normal"/>
        <w:spacing w:before="140" w:after="100"/>
        <w:rPr/>
      </w:pPr>
      <w:r>
        <w:rPr>
          <w:b/>
        </w:rPr>
        <w:t xml:space="preserve">My choice: </w:t>
      </w:r>
      <w:r>
        <w:rPr>
          <w:shd w:fill="81D41A" w:val="clear"/>
        </w:rPr>
        <w:t xml:space="preserve">Use Node.js for a small, explicit message-processing service. It supports the planned MQTT and PostgreSQL connections </w:t>
      </w:r>
      <w:r>
        <w:rPr/>
        <w:t>and gives me direct experience connecting an embedded device to a backend. Python is equally viable for this workload. Node-RED is a useful alternative when rapid visual assembly matters more than implementing the service myself.</w:t>
      </w:r>
    </w:p>
    <w:p>
      <w:pPr>
        <w:pStyle w:val="Normal"/>
        <w:spacing w:before="0" w:after="180"/>
        <w:rPr/>
      </w:pPr>
      <w:r>
        <w:rPr>
          <w:b/>
          <w:sz w:val="18"/>
        </w:rPr>
        <w:t xml:space="preserve">Sources: </w:t>
      </w:r>
      <w:hyperlink r:id="rId27">
        <w:r>
          <w:rPr>
            <w:rStyle w:val="Style"/>
            <w:color w:val="1F4E79"/>
            <w:sz w:val="18"/>
            <w:u w:val="single"/>
          </w:rPr>
          <w:t>Node.js</w:t>
        </w:r>
      </w:hyperlink>
      <w:r>
        <w:rPr>
          <w:sz w:val="18"/>
        </w:rPr>
        <w:t xml:space="preserve">  |  </w:t>
      </w:r>
      <w:hyperlink r:id="rId28">
        <w:r>
          <w:rPr>
            <w:rStyle w:val="Style"/>
            <w:color w:val="1F4E79"/>
            <w:sz w:val="18"/>
            <w:u w:val="single"/>
          </w:rPr>
          <w:t>MQTT.js</w:t>
        </w:r>
      </w:hyperlink>
      <w:r>
        <w:rPr>
          <w:sz w:val="18"/>
        </w:rPr>
        <w:t xml:space="preserve">  |  </w:t>
      </w:r>
      <w:hyperlink r:id="rId29">
        <w:r>
          <w:rPr>
            <w:rStyle w:val="Style"/>
            <w:color w:val="1F4E79"/>
            <w:sz w:val="18"/>
            <w:u w:val="single"/>
          </w:rPr>
          <w:t>node-postgres</w:t>
        </w:r>
      </w:hyperlink>
      <w:r>
        <w:rPr>
          <w:sz w:val="18"/>
        </w:rPr>
        <w:t xml:space="preserve">  |  </w:t>
      </w:r>
      <w:hyperlink r:id="rId30">
        <w:r>
          <w:rPr>
            <w:rStyle w:val="Style"/>
            <w:color w:val="1F4E79"/>
            <w:sz w:val="18"/>
            <w:u w:val="single"/>
          </w:rPr>
          <w:t>Python asyncio</w:t>
        </w:r>
      </w:hyperlink>
      <w:r>
        <w:rPr>
          <w:sz w:val="18"/>
        </w:rPr>
        <w:t xml:space="preserve">  |  </w:t>
      </w:r>
      <w:hyperlink r:id="rId31">
        <w:r>
          <w:rPr>
            <w:rStyle w:val="Style"/>
            <w:color w:val="1F4E79"/>
            <w:sz w:val="18"/>
            <w:u w:val="single"/>
          </w:rPr>
          <w:t>Node-RED</w:t>
        </w:r>
      </w:hyperlink>
    </w:p>
    <w:p>
      <w:pPr>
        <w:pStyle w:val="Normal"/>
        <w:rPr/>
      </w:pPr>
      <w:r>
        <w:rPr/>
      </w:r>
    </w:p>
    <w:p>
      <w:pPr>
        <w:pStyle w:val="Heading2"/>
        <w:rPr/>
      </w:pPr>
      <w:r>
        <w:rPr/>
        <w:t>7.2  Database</w:t>
      </w:r>
    </w:p>
    <w:p>
      <w:pPr>
        <w:pStyle w:val="Normal"/>
        <w:rPr/>
      </w:pPr>
      <w:r>
        <w:rPr/>
        <w:t>The database stores readings and watering events on the host computer. It must support historical queries as well as the latest values. SQL is the query language used to retrieve and organise records in relational databases.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PostgreSQL</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Stores readings, events and related records in structured tables. Separate applications can use controlled database accounts; Grafana has built-in support.</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Requires a running database service, account configuration and backups. More administration than a single-file database.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SQLite</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Stores data in a local file without a separate database server. Adequate for the modest workload of one plant.</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Best suited to storage managed by an application. Using it with the chosen Grafana setup needs an additional integration choice.</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InfluxDB</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Designed around measurements and events over time. A natural option for sensor-history queries.</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History-query limits and retention options vary by edition. Its specialised features are not essential for this small mixed set of readings and events.</w:t>
            </w:r>
          </w:p>
        </w:tc>
      </w:tr>
    </w:tbl>
    <w:p>
      <w:pPr>
        <w:pStyle w:val="Normal"/>
        <w:spacing w:before="140" w:after="100"/>
        <w:rPr/>
      </w:pPr>
      <w:r>
        <w:rPr>
          <w:b/>
        </w:rPr>
        <w:t xml:space="preserve">My choice: </w:t>
      </w:r>
      <w:r>
        <w:rPr/>
        <w:t>Use</w:t>
      </w:r>
      <w:r>
        <w:rPr>
          <w:shd w:fill="81D41A" w:val="clear"/>
        </w:rPr>
        <w:t xml:space="preserve"> PostgreSQL because the backend and Grafana can share structured records through established integrations. </w:t>
      </w:r>
      <w:r>
        <w:rPr/>
        <w:t>SQLite would be simpler if storage and display were combined in one application; one plant does not require PostgreSQL for capacity reasons. InfluxDB is worth revisiting if time-series processing becomes the main challenge.</w:t>
      </w:r>
    </w:p>
    <w:p>
      <w:pPr>
        <w:pStyle w:val="Normal"/>
        <w:rPr/>
      </w:pPr>
      <w:r>
        <w:rPr/>
        <w:t>The database is the persistent record; neither the local display nor the MQTT broker serves that purpose. Agree how much history to keep and maintain a recoverable backup. Readings missed during an outage need explicit local buffering if they must be recovered later.</w:t>
      </w:r>
    </w:p>
    <w:p>
      <w:pPr>
        <w:pStyle w:val="Normal"/>
        <w:spacing w:before="0" w:after="180"/>
        <w:rPr/>
      </w:pPr>
      <w:r>
        <w:rPr>
          <w:b/>
          <w:sz w:val="18"/>
        </w:rPr>
        <w:t xml:space="preserve">Sources: </w:t>
      </w:r>
      <w:hyperlink r:id="rId32">
        <w:r>
          <w:rPr>
            <w:rStyle w:val="Style"/>
            <w:color w:val="1F4E79"/>
            <w:sz w:val="18"/>
            <w:u w:val="single"/>
          </w:rPr>
          <w:t>PostgreSQL</w:t>
        </w:r>
      </w:hyperlink>
      <w:r>
        <w:rPr>
          <w:sz w:val="18"/>
        </w:rPr>
        <w:t xml:space="preserve">  |  </w:t>
      </w:r>
      <w:hyperlink r:id="rId33">
        <w:r>
          <w:rPr>
            <w:rStyle w:val="Style"/>
            <w:color w:val="1F4E79"/>
            <w:sz w:val="18"/>
            <w:u w:val="single"/>
          </w:rPr>
          <w:t>SQLite use cases</w:t>
        </w:r>
      </w:hyperlink>
      <w:r>
        <w:rPr>
          <w:sz w:val="18"/>
        </w:rPr>
        <w:t xml:space="preserve">  |  </w:t>
      </w:r>
      <w:hyperlink r:id="rId34">
        <w:r>
          <w:rPr>
            <w:rStyle w:val="Style"/>
            <w:color w:val="1F4E79"/>
            <w:sz w:val="18"/>
            <w:u w:val="single"/>
          </w:rPr>
          <w:t>InfluxDB 3</w:t>
        </w:r>
      </w:hyperlink>
      <w:r>
        <w:rPr>
          <w:sz w:val="18"/>
        </w:rPr>
        <w:t xml:space="preserve">  |  </w:t>
      </w:r>
      <w:hyperlink r:id="rId35">
        <w:r>
          <w:rPr>
            <w:rStyle w:val="Style"/>
            <w:color w:val="1F4E79"/>
            <w:sz w:val="18"/>
            <w:u w:val="single"/>
          </w:rPr>
          <w:t>Grafana PostgreSQL support</w:t>
        </w:r>
      </w:hyperlink>
    </w:p>
    <w:p>
      <w:pPr>
        <w:pStyle w:val="Normal"/>
        <w:rPr/>
      </w:pPr>
      <w:r>
        <w:rPr/>
      </w:r>
      <w:r>
        <w:br w:type="page"/>
      </w:r>
    </w:p>
    <w:p>
      <w:pPr>
        <w:pStyle w:val="Heading1"/>
        <w:spacing w:before="0" w:after="100"/>
        <w:rPr/>
      </w:pPr>
      <w:bookmarkStart w:id="7" w:name="__RefHeading___Toc912_2140976944"/>
      <w:bookmarkEnd w:id="7"/>
      <w:r>
        <w:rPr/>
        <w:t>8  Dashboard and Hosting</w:t>
      </w:r>
    </w:p>
    <w:p>
      <w:pPr>
        <w:pStyle w:val="Heading2"/>
        <w:rPr/>
      </w:pPr>
      <w:r>
        <w:rPr/>
        <w:t>8.1  Dashboard</w:t>
      </w:r>
    </w:p>
    <w:p>
      <w:pPr>
        <w:pStyle w:val="Normal"/>
        <w:rPr/>
      </w:pPr>
      <w:r>
        <w:rPr/>
        <w:t>The caretaker needs current readings, trends, watering history and clear warnings. Building a complete custom website is not necessary to provide these views.</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Grafana</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Ready-made panels, time-series charts and alerting. Its PostgreSQL data source can read the stored greenhouse records.</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Designed mainly for monitoring. Custom forms and remote configuration need additional design or integration.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FlowFuse Dashboard</w:t>
              <w:br/>
              <w:t>for Node-RED</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Provides configurable charts, forms and controls within Node-RED flows. Useful for an interactive control interface.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Adds Node-RED to the proposed setup, or requires replacing some Node.js backend work with flows.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Custom web application</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Full control over appearance, interactions and the caretaker’s workflow.</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Charts, accounts, data access and maintenance all require development time that could delay the core prototype.</w:t>
            </w:r>
          </w:p>
        </w:tc>
      </w:tr>
    </w:tbl>
    <w:p>
      <w:pPr>
        <w:pStyle w:val="Normal"/>
        <w:spacing w:before="140" w:after="100"/>
        <w:rPr/>
      </w:pPr>
      <w:r>
        <w:rPr>
          <w:b/>
        </w:rPr>
        <w:t xml:space="preserve">My choice: </w:t>
      </w:r>
      <w:r>
        <w:rPr/>
        <w:t xml:space="preserve">Use </w:t>
      </w:r>
      <w:r>
        <w:rPr>
          <w:shd w:fill="81D41A" w:val="clear"/>
        </w:rPr>
        <w:t>Grafana for monitoring and alerts because these are the core remote tasks. K</w:t>
      </w:r>
      <w:r>
        <w:rPr/>
        <w:t>eep its database account read-only. Remote configuration is optional and would need a separate authorised write path; a monitoring dashboard should not be assumed to provide it automatically. Choose FlowFuse Dashboard or a custom interface if user interaction later becomes the main requirement.</w:t>
      </w:r>
    </w:p>
    <w:p>
      <w:pPr>
        <w:pStyle w:val="Normal"/>
        <w:spacing w:before="0" w:after="180"/>
        <w:rPr/>
      </w:pPr>
      <w:r>
        <w:rPr>
          <w:b/>
          <w:sz w:val="18"/>
        </w:rPr>
        <w:t xml:space="preserve">Sources: </w:t>
      </w:r>
      <w:hyperlink r:id="rId36">
        <w:r>
          <w:rPr>
            <w:rStyle w:val="Style"/>
            <w:color w:val="1F4E79"/>
            <w:sz w:val="18"/>
            <w:u w:val="single"/>
          </w:rPr>
          <w:t>Grafana PostgreSQL features</w:t>
        </w:r>
      </w:hyperlink>
      <w:r>
        <w:rPr>
          <w:sz w:val="18"/>
        </w:rPr>
        <w:t xml:space="preserve">  |  </w:t>
      </w:r>
      <w:hyperlink r:id="rId37">
        <w:r>
          <w:rPr>
            <w:rStyle w:val="Style"/>
            <w:color w:val="1F4E79"/>
            <w:sz w:val="18"/>
            <w:u w:val="single"/>
          </w:rPr>
          <w:t>Grafana database permissions</w:t>
        </w:r>
      </w:hyperlink>
      <w:r>
        <w:rPr>
          <w:sz w:val="18"/>
        </w:rPr>
        <w:t xml:space="preserve">  |  </w:t>
      </w:r>
      <w:hyperlink r:id="rId38">
        <w:r>
          <w:rPr>
            <w:rStyle w:val="Style"/>
            <w:color w:val="1F4E79"/>
            <w:sz w:val="18"/>
            <w:u w:val="single"/>
          </w:rPr>
          <w:t>FlowFuse Dashboard</w:t>
        </w:r>
      </w:hyperlink>
    </w:p>
    <w:p>
      <w:pPr>
        <w:pStyle w:val="Normal"/>
        <w:rPr/>
      </w:pPr>
      <w:r>
        <w:rPr/>
      </w:r>
    </w:p>
    <w:p>
      <w:pPr>
        <w:pStyle w:val="Heading2"/>
        <w:rPr/>
      </w:pPr>
      <w:r>
        <w:rPr/>
        <w:t>8.2  Where the software runs</w:t>
      </w:r>
    </w:p>
    <w:p>
      <w:pPr>
        <w:pStyle w:val="Normal"/>
        <w:rPr/>
      </w:pPr>
      <w:r>
        <w:rPr/>
        <w:t>Mosquitto, Node.js, PostgreSQL and Grafana need a host computer. Hosting affects cost, availability and who maintains the software; watering decisions remain on the ESP32.</w:t>
      </w:r>
    </w:p>
    <w:tbl>
      <w:tblPr>
        <w:tblW w:w="9752" w:type="dxa"/>
        <w:jc w:val="center"/>
        <w:tblInd w:w="0" w:type="dxa"/>
        <w:tblLayout w:type="fixed"/>
        <w:tblCellMar>
          <w:top w:w="65" w:type="dxa"/>
          <w:start w:w="65" w:type="dxa"/>
          <w:bottom w:w="65" w:type="dxa"/>
          <w:end w:w="65" w:type="dxa"/>
        </w:tblCellMar>
        <w:tblLook w:noHBand="0" w:noVBand="1" w:firstColumn="1" w:lastRow="0" w:lastColumn="0" w:firstRow="1" w:val="04a0"/>
      </w:tblPr>
      <w:tblGrid>
        <w:gridCol w:w="1926"/>
        <w:gridCol w:w="3914"/>
        <w:gridCol w:w="3912"/>
      </w:tblGrid>
      <w:tr>
        <w:trPr>
          <w:tblHeader w:val="true"/>
          <w:cantSplit/>
        </w:trPr>
        <w:tc>
          <w:tcPr>
            <w:tcW w:w="1926"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Option</w:t>
            </w:r>
          </w:p>
        </w:tc>
        <w:tc>
          <w:tcPr>
            <w:tcW w:w="3914"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advantage</w:t>
            </w:r>
          </w:p>
        </w:tc>
        <w:tc>
          <w:tcPr>
            <w:tcW w:w="3912" w:type="dxa"/>
            <w:tcBorders>
              <w:top w:val="single" w:sz="4" w:space="0" w:color="D9D9D9"/>
              <w:start w:val="single" w:sz="4" w:space="0" w:color="D9D9D9"/>
              <w:bottom w:val="single" w:sz="4" w:space="0" w:color="D9D9D9"/>
              <w:end w:val="single" w:sz="4" w:space="0" w:color="D9D9D9"/>
            </w:tcBorders>
            <w:shd w:fill="264C66" w:val="clear"/>
            <w:vAlign w:val="center"/>
          </w:tcPr>
          <w:p>
            <w:pPr>
              <w:pStyle w:val="Normal"/>
              <w:spacing w:lineRule="auto" w:line="240" w:before="20" w:after="20"/>
              <w:rPr/>
            </w:pPr>
            <w:r>
              <w:rPr>
                <w:b/>
                <w:color w:val="FFFFFF"/>
                <w:sz w:val="20"/>
              </w:rPr>
              <w:t>Main limitation</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Existing local computer</w:t>
            </w:r>
          </w:p>
        </w:tc>
        <w:tc>
          <w:tcPr>
            <w:tcW w:w="3914"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Avoids a new computer purchase. The device and dashboard can communicate on the local network without an internet connection.</w:t>
            </w:r>
          </w:p>
        </w:tc>
        <w:tc>
          <w:tcPr>
            <w:tcW w:w="3912" w:type="dxa"/>
            <w:tcBorders>
              <w:top w:val="single" w:sz="4" w:space="0" w:color="D9D9D9"/>
              <w:start w:val="single" w:sz="4" w:space="0" w:color="D9D9D9"/>
              <w:bottom w:val="single" w:sz="4" w:space="0" w:color="D9D9D9"/>
              <w:end w:val="single" w:sz="4" w:space="0" w:color="D9D9D9"/>
            </w:tcBorders>
            <w:shd w:fill="81D41A" w:val="clear"/>
            <w:vAlign w:val="center"/>
          </w:tcPr>
          <w:p>
            <w:pPr>
              <w:pStyle w:val="Normal"/>
              <w:spacing w:lineRule="auto" w:line="240" w:before="20" w:after="20"/>
              <w:rPr/>
            </w:pPr>
            <w:r>
              <w:rPr>
                <w:b w:val="false"/>
                <w:sz w:val="20"/>
              </w:rPr>
              <w:t>Must remain powered and connected. Sleep, restarts or shared use can interrupt records and dashboard access.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Dedicated local computer</w:t>
            </w:r>
          </w:p>
        </w:tc>
        <w:tc>
          <w:tcPr>
            <w:tcW w:w="3914"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Can stay available independently of a personal laptop and keep the services in one place.</w:t>
            </w:r>
          </w:p>
        </w:tc>
        <w:tc>
          <w:tcPr>
            <w:tcW w:w="3912" w:type="dxa"/>
            <w:tcBorders>
              <w:top w:val="single" w:sz="4" w:space="0" w:color="D9D9D9"/>
              <w:start w:val="single" w:sz="4" w:space="0" w:color="D9D9D9"/>
              <w:bottom w:val="single" w:sz="4" w:space="0" w:color="D9D9D9"/>
              <w:end w:val="single" w:sz="4" w:space="0" w:color="D9D9D9"/>
            </w:tcBorders>
            <w:shd w:fill="F0F3F5" w:val="clear"/>
            <w:vAlign w:val="center"/>
          </w:tcPr>
          <w:p>
            <w:pPr>
              <w:pStyle w:val="Normal"/>
              <w:spacing w:lineRule="auto" w:line="240" w:before="20" w:after="20"/>
              <w:rPr/>
            </w:pPr>
            <w:r>
              <w:rPr>
                <w:b w:val="false"/>
                <w:sz w:val="20"/>
              </w:rPr>
              <w:t>Requires purchasing hardware and providing power, storage, updates and backups.</w:t>
            </w:r>
          </w:p>
        </w:tc>
      </w:tr>
      <w:tr>
        <w:trPr>
          <w:cantSplit/>
        </w:trPr>
        <w:tc>
          <w:tcPr>
            <w:tcW w:w="192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Rented cloud server</w:t>
            </w:r>
          </w:p>
        </w:tc>
        <w:tc>
          <w:tcPr>
            <w:tcW w:w="3914"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Can be reached from outside the local network and avoids keeping a server at the plant’s location.</w:t>
            </w:r>
          </w:p>
        </w:tc>
        <w:tc>
          <w:tcPr>
            <w:tcW w:w="39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lineRule="auto" w:line="240" w:before="20" w:after="20"/>
              <w:rPr/>
            </w:pPr>
            <w:r>
              <w:rPr>
                <w:b w:val="false"/>
                <w:sz w:val="20"/>
              </w:rPr>
              <w:t>Adds recurring charges and requires internet access for uploads. Server administration and access protection still need an owner.</w:t>
            </w:r>
          </w:p>
        </w:tc>
      </w:tr>
    </w:tbl>
    <w:p>
      <w:pPr>
        <w:pStyle w:val="Normal"/>
        <w:spacing w:before="140" w:after="100"/>
        <w:rPr/>
      </w:pPr>
      <w:r>
        <w:rPr>
          <w:b/>
        </w:rPr>
        <w:t xml:space="preserve">My choice: </w:t>
      </w:r>
      <w:r>
        <w:rPr>
          <w:shd w:fill="81D41A" w:val="clear"/>
        </w:rPr>
        <w:t>Start with a suitable existing local computer. Buy a dedicated machine only if shared use or availability makes the existing one unsuitable.</w:t>
      </w:r>
      <w:r>
        <w:rPr/>
        <w:t xml:space="preserve"> Cloud hosting is reasonable when off-site access justifies the cost and internet dependence. Confirm the host’s capacity with the chosen software rather than selecting it by an unsupported hardware estimate.</w:t>
      </w:r>
    </w:p>
    <w:p>
      <w:pPr>
        <w:pStyle w:val="Normal"/>
        <w:rPr>
          <w:shd w:fill="E8F1F5" w:val="clear"/>
        </w:rPr>
      </w:pPr>
      <w:r>
        <w:rPr/>
        <w:t>In the selected architecture, the ESP32 sends readings through Mosquitto to Node.js. Node.js writes them to PostgreSQL, and Grafana reads the stored data for the caretaker. Local control and display operation are designed to remain available during host or network outages; verification results are reported separately.</w:t>
      </w:r>
    </w:p>
    <w:p>
      <w:pPr>
        <w:pStyle w:val="Normal"/>
        <w:spacing w:before="180" w:after="100"/>
        <w:rPr>
          <w:sz w:val="18"/>
        </w:rPr>
      </w:pPr>
      <w:r>
        <w:rPr>
          <w:sz w:val="18"/>
        </w:rPr>
      </w:r>
    </w:p>
    <w:sectPr>
      <w:footerReference w:type="even" r:id="rId39"/>
      <w:footerReference w:type="default" r:id="rId40"/>
      <w:footerReference w:type="first" r:id="rId41"/>
      <w:type w:val="nextPage"/>
      <w:pgSz w:w="11906" w:h="16838"/>
      <w:pgMar w:left="1077" w:right="1077" w:gutter="0" w:header="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100"/>
      <w:jc w:val="start"/>
    </w:pPr>
    <w:rPr>
      <w:rFonts w:ascii="Liberation Serif" w:hAnsi="Liberation Serif"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lineRule="auto" w:line="240" w:before="0" w:after="100"/>
    </w:pPr>
    <w:rPr>
      <w:rFonts w:ascii="Liberation Serif" w:hAnsi="Liberation Serif"/>
      <w:sz w:val="22"/>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160" w:after="100"/>
      <w:contextualSpacing/>
    </w:pPr>
    <w:rPr>
      <w:rFonts w:ascii="Calibri" w:hAnsi="Calibri" w:eastAsia="" w:cs="" w:asciiTheme="majorHAnsi" w:cstheme="majorBidi" w:eastAsiaTheme="majorEastAsia" w:hAnsiTheme="majorHAnsi"/>
      <w:b/>
      <w:color w:val="000000"/>
      <w:spacing w:val="5"/>
      <w:kern w:val="2"/>
      <w:sz w:val="54"/>
      <w:szCs w:val="52"/>
    </w:rPr>
  </w:style>
  <w:style w:type="paragraph" w:styleId="Subtitle">
    <w:name w:val="Subtitle"/>
    <w:basedOn w:val="Normal"/>
    <w:next w:val="Normal"/>
    <w:link w:val="SubtitleChar"/>
    <w:uiPriority w:val="11"/>
    <w:qFormat/>
    <w:rsid w:val="00fc693f"/>
    <w:pPr>
      <w:spacing w:before="160" w:after="100"/>
    </w:pPr>
    <w:rPr>
      <w:rFonts w:ascii="Calibri" w:hAnsi="Calibri" w:eastAsia="" w:cs="" w:asciiTheme="majorHAnsi" w:cstheme="majorBidi" w:eastAsiaTheme="majorEastAsia" w:hAnsiTheme="majorHAnsi"/>
      <w:b w:val="false"/>
      <w:i/>
      <w:iCs/>
      <w:color w:val="000000"/>
      <w:spacing w:val="15"/>
      <w:sz w:val="30"/>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9752"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spressif.com/sites/default/files/documentation/esp32-wroom-32d_esp32-wroom-32u_datasheet_en.pdf" TargetMode="External"/><Relationship Id="rId3" Type="http://schemas.openxmlformats.org/officeDocument/2006/relationships/hyperlink" Target="https://docs.arduino.cc/hardware/uno-rev3/" TargetMode="External"/><Relationship Id="rId4" Type="http://schemas.openxmlformats.org/officeDocument/2006/relationships/hyperlink" Target="https://www.raspberrypi.com/products/raspberry-pi-pico/" TargetMode="External"/><Relationship Id="rId5" Type="http://schemas.openxmlformats.org/officeDocument/2006/relationships/hyperlink" Target="https://docs.espressif.com/projects/esp-idf/en/stable/esp32/get-started/index.html" TargetMode="External"/><Relationship Id="rId6" Type="http://schemas.openxmlformats.org/officeDocument/2006/relationships/hyperlink" Target="https://docs.espressif.com/projects/arduino-esp32/en/latest/" TargetMode="External"/><Relationship Id="rId7" Type="http://schemas.openxmlformats.org/officeDocument/2006/relationships/hyperlink" Target="https://micropython.org/" TargetMode="External"/><Relationship Id="rId8" Type="http://schemas.openxmlformats.org/officeDocument/2006/relationships/hyperlink" Target="https://docs.m5stack.com/en/unit/Unit_Watering" TargetMode="External"/><Relationship Id="rId9" Type="http://schemas.openxmlformats.org/officeDocument/2006/relationships/hyperlink" Target="https://wiki.dfrobot.com/sen0193/" TargetMode="External"/><Relationship Id="rId10" Type="http://schemas.openxmlformats.org/officeDocument/2006/relationships/hyperlink" Target="https://www.ifm.com/us/en/us/overview/level/technology-overview/technology-overview" TargetMode="External"/><Relationship Id="rId11" Type="http://schemas.openxmlformats.org/officeDocument/2006/relationships/hyperlink" Target="https://www.ifm.com/na/en/shared/products/level/level-sensors" TargetMode="External"/><Relationship Id="rId12" Type="http://schemas.openxmlformats.org/officeDocument/2006/relationships/hyperlink" Target="https://learn.adafruit.com/dht/overview" TargetMode="External"/><Relationship Id="rId13" Type="http://schemas.openxmlformats.org/officeDocument/2006/relationships/hyperlink" Target="https://www.bosch-sensortec.com/en/products/environmental-sensors/humidity-sensors-bme280" TargetMode="External"/><Relationship Id="rId14" Type="http://schemas.openxmlformats.org/officeDocument/2006/relationships/hyperlink" Target="https://learn.adafruit.com/photocells/overview" TargetMode="External"/><Relationship Id="rId15" Type="http://schemas.openxmlformats.org/officeDocument/2006/relationships/hyperlink" Target="https://learn.adafruit.com/adafruit-bh1750-ambient-light-sensor/overview" TargetMode="External"/><Relationship Id="rId16" Type="http://schemas.openxmlformats.org/officeDocument/2006/relationships/hyperlink" Target="https://docs.m5stack.com/en/unit/Unit_Watering" TargetMode="External"/><Relationship Id="rId17" Type="http://schemas.openxmlformats.org/officeDocument/2006/relationships/hyperlink" Target="https://www.adafruit.com/product/3910" TargetMode="External"/><Relationship Id="rId18" Type="http://schemas.openxmlformats.org/officeDocument/2006/relationships/hyperlink" Target="https://learn.adafruit.com/monochrome-oled-breakouts/overview" TargetMode="External"/><Relationship Id="rId19" Type="http://schemas.openxmlformats.org/officeDocument/2006/relationships/hyperlink" Target="https://learn.adafruit.com/character-lcds/overview" TargetMode="External"/><Relationship Id="rId20" Type="http://schemas.openxmlformats.org/officeDocument/2006/relationships/hyperlink" Target="https://www.nxp.com/docs/en/user-guide/UM10204.pdf" TargetMode="External"/><Relationship Id="rId21" Type="http://schemas.openxmlformats.org/officeDocument/2006/relationships/hyperlink" Target="https://docs.oasis-open.org/mqtt/mqtt/v5.0/mqtt-v5.0.html" TargetMode="External"/><Relationship Id="rId22" Type="http://schemas.openxmlformats.org/officeDocument/2006/relationships/hyperlink" Target="https://httpwg.org/specs/rfc9110.html" TargetMode="External"/><Relationship Id="rId23" Type="http://schemas.openxmlformats.org/officeDocument/2006/relationships/hyperlink" Target="https://www.rfc-editor.org/rfc/rfc7252" TargetMode="External"/><Relationship Id="rId24" Type="http://schemas.openxmlformats.org/officeDocument/2006/relationships/hyperlink" Target="https://mosquitto.org/" TargetMode="External"/><Relationship Id="rId25" Type="http://schemas.openxmlformats.org/officeDocument/2006/relationships/hyperlink" Target="https://mosquitto.org/documentation/authentication-methods/" TargetMode="External"/><Relationship Id="rId26" Type="http://schemas.openxmlformats.org/officeDocument/2006/relationships/hyperlink" Target="https://docs.emqx.com/en/emqx/latest/" TargetMode="External"/><Relationship Id="rId27" Type="http://schemas.openxmlformats.org/officeDocument/2006/relationships/hyperlink" Target="https://nodejs.org/en/about" TargetMode="External"/><Relationship Id="rId28" Type="http://schemas.openxmlformats.org/officeDocument/2006/relationships/hyperlink" Target="https://github.com/mqttjs/MQTT.js" TargetMode="External"/><Relationship Id="rId29" Type="http://schemas.openxmlformats.org/officeDocument/2006/relationships/hyperlink" Target="https://node-postgres.com/" TargetMode="External"/><Relationship Id="rId30" Type="http://schemas.openxmlformats.org/officeDocument/2006/relationships/hyperlink" Target="https://docs.python.org/3/library/asyncio.html" TargetMode="External"/><Relationship Id="rId31" Type="http://schemas.openxmlformats.org/officeDocument/2006/relationships/hyperlink" Target="https://nodered.org/about/" TargetMode="External"/><Relationship Id="rId32" Type="http://schemas.openxmlformats.org/officeDocument/2006/relationships/hyperlink" Target="https://www.postgresql.org/about/" TargetMode="External"/><Relationship Id="rId33" Type="http://schemas.openxmlformats.org/officeDocument/2006/relationships/hyperlink" Target="https://www.sqlite.org/whentouse.html" TargetMode="External"/><Relationship Id="rId34" Type="http://schemas.openxmlformats.org/officeDocument/2006/relationships/hyperlink" Target="https://docs.influxdata.com/influxdb3/core/" TargetMode="External"/><Relationship Id="rId35" Type="http://schemas.openxmlformats.org/officeDocument/2006/relationships/hyperlink" Target="https://grafana.com/docs/grafana/latest/datasources/postgres/" TargetMode="External"/><Relationship Id="rId36" Type="http://schemas.openxmlformats.org/officeDocument/2006/relationships/hyperlink" Target="https://grafana.com/docs/grafana/latest/datasources/postgres/" TargetMode="External"/><Relationship Id="rId37" Type="http://schemas.openxmlformats.org/officeDocument/2006/relationships/hyperlink" Target="https://grafana.com/docs/grafana/latest/datasources/postgres/configure/" TargetMode="External"/><Relationship Id="rId38" Type="http://schemas.openxmlformats.org/officeDocument/2006/relationships/hyperlink" Target="https://dashboard.flowfuse.com/"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LibreOffice/26.2.6.3$Linux_X86_64 LibreOffice_project/620$Build-3</Application>
  <AppVersion>15.0000</AppVersion>
  <Pages>8</Pages>
  <Words>3193</Words>
  <Characters>17978</Characters>
  <CharactersWithSpaces>20978</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Kaloyan Milev</dc:creator>
  <dc:description>generated by python-docx</dc:description>
  <dc:language>en-US</dc:language>
  <cp:lastModifiedBy/>
  <cp:lastPrinted>2026-10-29T10:15:51Z</cp:lastPrinted>
  <dcterms:modified xsi:type="dcterms:W3CDTF">2026-10-29T10:15:57Z</dcterms:modified>
  <cp:revision>9</cp:revision>
  <dc:subject>Hardware and software alternatives for the one plant prototype</dc:subject>
  <dc:title>Greenhouse Management Technical Details and Technology Selection</dc:title>
</cp:coreProperties>
</file>

<file path=docProps/custom.xml><?xml version="1.0" encoding="utf-8"?>
<Properties xmlns="http://schemas.openxmlformats.org/officeDocument/2006/custom-properties" xmlns:vt="http://schemas.openxmlformats.org/officeDocument/2006/docPropsVTypes"/>
</file>