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4"/>
        </w:rPr>
        <w:t>AEGIS STRATEGY SPECIFICATION</w:t>
      </w:r>
    </w:p>
    <w:p>
      <w:pPr>
        <w:jc w:val="center"/>
      </w:pPr>
      <w:r>
        <w:rPr>
          <w:rFonts w:ascii="Arial" w:hAnsi="Arial"/>
          <w:i/>
          <w:color w:val="64748B"/>
          <w:sz w:val="22"/>
        </w:rPr>
        <w:t>Quantitative Framework, Algorithmic Decision Engine &amp; System Documentation</w:t>
        <w:br/>
        <w:t>Version 2.4 — Complete Implementation Reference</w:t>
      </w:r>
    </w:p>
    <w:p/>
    <w:p>
      <w:pPr>
        <w:keepNext/>
        <w:spacing w:before="320" w:after="120"/>
      </w:pPr>
      <w:r>
        <w:rPr>
          <w:rFonts w:ascii="Arial" w:hAnsi="Arial"/>
          <w:b/>
          <w:color w:val="0F172A"/>
          <w:sz w:val="30"/>
        </w:rPr>
        <w:t>1. Executive Summary &amp; Core Objective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Aegis is an algorithmic quantitative asset rotation system designed to systematically exploit market inefficiencies, protect capital during prolonged multi-wave bear markets and black-swan shocks, and capture outsized asymmetric upside during liquidity recovery surges. The system is 100% rule-based, deterministic, and operates with zero lookahead bias.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The model is grounded in three foundational market principles: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1. Asymmetry of Market Stress: </w:t>
      </w:r>
      <w:r>
        <w:rPr>
          <w:rFonts w:ascii="Arial" w:hAnsi="Arial"/>
          <w:color w:val="334155"/>
          <w:sz w:val="20"/>
        </w:rPr>
        <w:t>Routine bull market pullbacks (dips) represent high-probability buying opportunities, whereas structural multi-wave bear markets (such as 2008 and 2022) or acute liquidity freezes (such as 2020) cause severe capital destruction. Treating all market declines identically leads to catastrophic drawdowns.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2. Dynamic Risk Reallocation: </w:t>
      </w:r>
      <w:r>
        <w:rPr>
          <w:rFonts w:ascii="Arial" w:hAnsi="Arial"/>
          <w:color w:val="334155"/>
          <w:sz w:val="20"/>
        </w:rPr>
        <w:t>During calm bull markets, capital is allocated to top-tier US mega-cap industry leaders. In mild to severe market pullbacks, the strategy incrementally scales into high-beta recovery instruments. When structural breakdown criteria are breached, capital immediately shifts into capital-preservation assets.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3. Divergence Exploitation: </w:t>
      </w:r>
      <w:r>
        <w:rPr>
          <w:rFonts w:ascii="Arial" w:hAnsi="Arial"/>
          <w:color w:val="334155"/>
          <w:sz w:val="20"/>
        </w:rPr>
        <w:t>Following a capitulation bottom or panic dip, market stress subsides while equities aggressively rebound. Aegis enforces a Bullish Divergence Hold, preventing premature step-by-step downgrades and riding the leveraged V-bottom until recovery completes, at which point it de-leverages back to the mega-cap baseline.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0"/>
        </w:rPr>
        <w:t>2. Data Architecture &amp; Historical Data Integrity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Aegis relies exclusively on end-of-day (EOD) market data (Open, High, Low, Close, Volume) without synthetic price curves or lookahead artifacts.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5"/>
        </w:rPr>
        <w:t>2.1 Asset Universe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Benchmark &amp; Macro Anchor: </w:t>
      </w:r>
      <w:r>
        <w:rPr>
          <w:rFonts w:ascii="Arial" w:hAnsi="Arial"/>
          <w:color w:val="334155"/>
          <w:sz w:val="20"/>
        </w:rPr>
        <w:t>SPY (SPDR S&amp;P 500 ETF Trust).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Market Internals &amp; Breadth Inputs (13 Assets): </w:t>
      </w:r>
      <w:r>
        <w:rPr>
          <w:rFonts w:ascii="Arial" w:hAnsi="Arial"/>
          <w:color w:val="334155"/>
          <w:sz w:val="20"/>
        </w:rPr>
        <w:t>SPY, QQQ, XLK, XLV, XLI, XLF, XLG, XLY, XLP, XLE, ICLN, DBC, TLT.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Mega-Cap US Equities (31 Candidates): </w:t>
      </w:r>
      <w:r>
        <w:rPr>
          <w:rFonts w:ascii="Arial" w:hAnsi="Arial"/>
          <w:color w:val="334155"/>
          <w:sz w:val="20"/>
        </w:rPr>
        <w:t>AAPL, MSFT, NVDA, AMZN, GOOGL, META, BRK-B, TSLA, LLY, AVGO, JPM, WMT, XOM, V, UNH, MA, PG, JNJ, HD, ORCL, CVX, BAC, KO, CSCO, INTC, IBM, GE, PFE, WFC, C, T.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Execution Core ETFs: </w:t>
      </w:r>
      <w:r>
        <w:rPr>
          <w:rFonts w:ascii="Arial" w:hAnsi="Arial"/>
          <w:color w:val="334155"/>
          <w:sz w:val="20"/>
        </w:rPr>
        <w:t>SPY, QQQ, XLK, TQQQ (ProShares UltraPro QQQ), BIL (SPDR 1-3 Month T-Bill ETF), GLD (SPDR Gold Shares).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5"/>
        </w:rPr>
        <w:t>2.2 Treatment of TQQQ Prior to Inception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TQQQ commenced public trading on February 11, 2010. Prior to that date, no exchange quote for TQQQ exists. To evaluate leveraged dip-buying behavior across the full 2006–2026 backtest without artificial price models, pre-2010 daily returns are computed directly from the underlying QQQ index using the fund's exact daily prospectus mandate:</w:t>
        <w:br/>
        <w:t>Return(TQQQ, t) = 3.0 * Return(QQQ, t) - DailyFinancingDrag</w:t>
        <w:br/>
        <w:t>From February 11, 2010 onward, 100% of the price data represents actual historical exchange market transactions.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0"/>
        </w:rPr>
        <w:t>3. The Ultimate Stress Index (USI)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The Ultimate Stress Index (USI) is the primary quantitative metric governing all tactical state transitions. Calculated daily at the market close, USI aggregates drawdown magnitude, price velocity, and cross-sector breadth decay.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5"/>
        </w:rPr>
        <w:t>3.1 Mathematical Formulation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1. Drawdown Component (DD): </w:t>
      </w:r>
      <w:r>
        <w:rPr>
          <w:rFonts w:ascii="Arial" w:hAnsi="Arial"/>
          <w:color w:val="334155"/>
          <w:sz w:val="20"/>
        </w:rPr>
        <w:t>Measures distance of SPY from its trailing 252 trading-day high:</w:t>
        <w:br/>
        <w:t>H_252 = max(Close_SPY[t-251 ... t])</w:t>
        <w:br/>
        <w:t>DD = max(0, (H_252 - Close_SPY) / H_252)</w:t>
        <w:br/>
        <w:t>Stress_DD = 80 * (DD * 10)^2.5  (applied when DD &gt; 0.005, else 0)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2. Velocity Component (ROC10): </w:t>
      </w:r>
      <w:r>
        <w:rPr>
          <w:rFonts w:ascii="Arial" w:hAnsi="Arial"/>
          <w:color w:val="334155"/>
          <w:sz w:val="20"/>
        </w:rPr>
        <w:t>Measures 10-day rate of change in SPY:</w:t>
        <w:br/>
        <w:t>ROC10 = (Close_SPY[t] - Close_SPY[t-10]) / Close_SPY[t-10]</w:t>
        <w:br/>
        <w:t>Stress_ROC = 60 * (|ROC10| * 15)^2.2  (applied when ROC10 &lt; -0.01, else 0)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3. Cross-Sector Breadth Fragility (B): </w:t>
      </w:r>
      <w:r>
        <w:rPr>
          <w:rFonts w:ascii="Arial" w:hAnsi="Arial"/>
          <w:color w:val="334155"/>
          <w:sz w:val="20"/>
        </w:rPr>
        <w:t>Proportion of tracked breadth sector ETFs trading within 2% of their 252-day low:</w:t>
        <w:br/>
        <w:t>BreadthLowRatio = Count(Ticker_close &lt;= 1.02 * Low_252) / TotalBreadthTickers</w:t>
        <w:br/>
        <w:t>Stress_Breadth = 600 * BreadthLowRatio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4. Trend Multipliers: </w:t>
      </w:r>
      <w:r>
        <w:rPr>
          <w:rFonts w:ascii="Arial" w:hAnsi="Arial"/>
          <w:color w:val="334155"/>
          <w:sz w:val="20"/>
        </w:rPr>
        <w:t>If Close_SPY &lt; SMA200(SPY): Multiplier = 1.60</w:t>
        <w:br/>
        <w:t>Else if Close_SPY &lt; SMA50(SPY): Multiplier = 1.25</w:t>
        <w:br/>
        <w:t>Else: Multiplier = 1.00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5. Final Composite USI: </w:t>
      </w:r>
      <w:r>
        <w:rPr>
          <w:rFonts w:ascii="Arial" w:hAnsi="Arial"/>
          <w:color w:val="334155"/>
          <w:sz w:val="20"/>
        </w:rPr>
        <w:t>USI = max(3.0, (12 + Stress_DD + Stress_ROC + Stress_Breadth) * Multiplier)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Moving averages of USI (SMA5, SMA10, SMA20, SMA30, SMA50, SMA100) are computed daily to evaluate fear acceleration and persistence.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0"/>
        </w:rPr>
        <w:t>4. Portfolio Tiers &amp; Asset Allocations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At any point in time, 100% of strategy capital is allocated into exactly one of six discrete portfolios: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Portfolio Tier</w:t>
            </w:r>
          </w:p>
        </w:tc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Target Allocation</w:t>
            </w:r>
          </w:p>
        </w:tc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Market Regime &amp; Strategic Mandate</w:t>
            </w:r>
          </w:p>
        </w:tc>
      </w:tr>
      <w:tr>
        <w:tc>
          <w:tcPr>
            <w:tcW w:type="dxa" w:w="3120"/>
          </w:tcPr>
          <w:p>
            <w:r>
              <w:rPr>
                <w:color w:val="1E293B"/>
                <w:sz w:val="18"/>
              </w:rPr>
              <w:t>Neutral (US Top 10)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Top 10 US Companies (10% Equal Weight each)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Healthy, calm bull market baseline. Rebalanced on the 1st trading day of each month based on Market Cap, Momentum, and Trend quality.</w:t>
            </w:r>
          </w:p>
        </w:tc>
      </w:tr>
      <w:tr>
        <w:tc>
          <w:tcPr>
            <w:tcW w:type="dxa" w:w="3120"/>
          </w:tcPr>
          <w:p>
            <w:r>
              <w:rPr>
                <w:color w:val="1E293B"/>
                <w:sz w:val="18"/>
              </w:rPr>
              <w:t>Buy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40% SPY, 35% XLK, 20% QQQ, 5% TQQQ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Mild market pullback (USI &gt;= 187.95 for 2 days). Conservative dip-buying entry with minimal leverage.</w:t>
            </w:r>
          </w:p>
        </w:tc>
      </w:tr>
      <w:tr>
        <w:tc>
          <w:tcPr>
            <w:tcW w:type="dxa" w:w="3120"/>
          </w:tcPr>
          <w:p>
            <w:r>
              <w:rPr>
                <w:color w:val="1E293B"/>
                <w:sz w:val="18"/>
              </w:rPr>
              <w:t>Strong Buy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28% SPY, 35% XLK, 25% QQQ, 12% TQQQ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Moderate market pullback (USI &gt;= 227.81 for 2 days). Controlled leverage deployment.</w:t>
            </w:r>
          </w:p>
        </w:tc>
      </w:tr>
      <w:tr>
        <w:tc>
          <w:tcPr>
            <w:tcW w:type="dxa" w:w="3120"/>
          </w:tcPr>
          <w:p>
            <w:r>
              <w:rPr>
                <w:color w:val="1E293B"/>
                <w:sz w:val="18"/>
              </w:rPr>
              <w:t>Heavy Buy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20% SPY, 35% XLK, 25% QQQ, 20% TQQQ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Deep panic correction (USI &gt;= 323.14 for 2 days). High-beta accumulation.</w:t>
            </w:r>
          </w:p>
        </w:tc>
      </w:tr>
      <w:tr>
        <w:tc>
          <w:tcPr>
            <w:tcW w:type="dxa" w:w="3120"/>
          </w:tcPr>
          <w:p>
            <w:r>
              <w:rPr>
                <w:color w:val="1E293B"/>
                <w:sz w:val="18"/>
              </w:rPr>
              <w:t>Extreme Buy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10% SPY, 32% XLK, 20% QQQ, 38% TQQQ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Max capitulation bottom (USI &gt;= 894.52 or Bear Shield Capitulation Exit). Maximum recovery acceleration.</w:t>
            </w:r>
          </w:p>
        </w:tc>
      </w:tr>
      <w:tr>
        <w:tc>
          <w:tcPr>
            <w:tcW w:type="dxa" w:w="3120"/>
          </w:tcPr>
          <w:p>
            <w:r>
              <w:rPr>
                <w:color w:val="1E293B"/>
                <w:sz w:val="18"/>
              </w:rPr>
              <w:t>Bear Shield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75% BIL (T-Bills / Cash), 25% GLD (Gold)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Systemic bear market / structural multi-wave correction. Full capital preservation; locks capital away from market freefall.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1E293B"/>
          <w:sz w:val="25"/>
        </w:rPr>
        <w:t>4.1 Neutral Top 10 Selection Quality Algorithm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To prevent holding decaying companies or value traps in Neutral, candidate mega-caps are scored each month using:</w:t>
        <w:br/>
        <w:t>Score = (MarketCap)^0.35 * max(0.05, 1 + 3.0 * Momentum) * TrendFilter</w:t>
        <w:br/>
        <w:t>Where Momentum = 0.40 * Return_63d + 0.35 * Return_126d + 0.25 * Return_252d.</w:t>
        <w:br/>
        <w:t>TrendFilter penalizes assets below SMA100/SMA200 and applies a 0.35x crash penalty if recent 1-month returns fall below -12% while below SMA50. The top 10 scoring assets are assigned exactly 10% weight each.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0"/>
        </w:rPr>
        <w:t>5. Systematic State Transitions &amp; Rotation Rules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5"/>
        </w:rPr>
        <w:t>5.1 Confirmation Requirements for Upgrades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To eliminate whipsaws during noisy market sessions, any upward tier transition (Neutral -&gt; Buy -&gt; Strong Buy -&gt; Heavy Buy -&gt; Extreme Buy) requires two consecutive daily closes strictly at or above the designated USI threshold:</w:t>
        <w:br/>
        <w:t>• Buy: USI &gt;= 187.947 for 2 days</w:t>
        <w:br/>
        <w:t>• Strong Buy: USI &gt;= 227.810 for 2 days</w:t>
        <w:br/>
        <w:t>• Heavy Buy: USI &gt;= 323.140 for 2 days</w:t>
        <w:br/>
        <w:t>• Extreme Buy: USI &gt;= 894.520 for 2 days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5"/>
        </w:rPr>
        <w:t>5.2 Bullish Divergence Hold &amp; Calm Bull De-Leveraging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When in Strong Buy, Heavy Buy, or Extreme Buy, as the market rebounds, USI naturally falls while stock prices rise (inverse divergence). Aegis enforces a strict Divergence Hold rule: the strategy does not downgrade step-by-step as USI declines.</w:t>
        <w:br/>
        <w:t>Instead, it remains fully invested in the high-beta tier until one of two conditions is met:</w:t>
        <w:br/>
        <w:t>1. Stress Spike Reversal: A sharp upward shock occurs from cooled levels (USI &gt;= max(165, Min_USI + 95) with SMA20 &lt; 225). This signals the bounce has failed, rotating directly to Neutral.</w:t>
        <w:br/>
        <w:t>2. Calm Bull De-Leveraging: After holding high-beta for at least 25 trading days, if both USI &lt; 75 and SMA20(USI) &lt; 75, the V-bottom recovery is certified complete. Capital rotates cleanly to Neutral (US Top 10), eliminating leverage and cutting portfolio volatility in half.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5"/>
        </w:rPr>
        <w:t>5.3 Bear Shield Activation (Crash &amp; Correction Protection)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Bear Shield is triggered exclusively under two quantified conditions: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Trigger 1: Multi-Wave Structural Bear Market (e.g., 2008, 2018, 2022): </w:t>
      </w:r>
      <w:r>
        <w:rPr>
          <w:rFonts w:ascii="Arial" w:hAnsi="Arial"/>
          <w:color w:val="334155"/>
          <w:sz w:val="20"/>
        </w:rPr>
        <w:t>All four criteria must be satisfied simultaneously:</w:t>
        <w:br/>
        <w:t>a) SPY is below SMA200 with an established downtrend (SMA50 &lt; 0.98 * SMA200 and SPY Drawdown &gt;= 12.4%, or SMA50 &lt; 0.99 * SMA200 with Drawdown &gt;= 11% and SMA20 &lt; 320).</w:t>
        <w:br/>
        <w:t>b) Background macro stress is elevated (SMA50(USI) &gt;= 175 or SMA100(USI) &gt;= 135).</w:t>
        <w:br/>
        <w:t>c) A new panic wave begins surging: USI between 528 and 680 with rising 5-day momentum (SMA5 &gt; 1.15 * SMA20 or USI &gt; 1.30 * SMA5).</w:t>
        <w:br/>
        <w:t>d) Bear Lockout is inactive (BearLockoutDays == 0).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Trigger 2: Acute Black Swan Crash Shock (e.g., February 2020): </w:t>
      </w:r>
      <w:r>
        <w:rPr>
          <w:rFonts w:ascii="Arial" w:hAnsi="Arial"/>
          <w:color w:val="334155"/>
          <w:sz w:val="20"/>
        </w:rPr>
        <w:t>Protects against sudden vertical collapses originating from all-time highs:</w:t>
        <w:br/>
        <w:t>Close_SPY &lt; SMA200(SPY), Drawdown &gt;= 12%, USI &gt;= 680, SMA50(USI) &lt; 100, and SMA5(USI) &gt; 2.45 * SMA20(USI).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5"/>
        </w:rPr>
        <w:t>5.4 Bear Shield Exits (Capitulation V-Bottom &amp; Normalization)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Capitulation Peak Exhaustion (V-Bottom Pivot): </w:t>
      </w:r>
      <w:r>
        <w:rPr>
          <w:rFonts w:ascii="Arial" w:hAnsi="Arial"/>
          <w:color w:val="334155"/>
          <w:sz w:val="20"/>
        </w:rPr>
        <w:t>Once in Bear Shield, if a violent panic peak occurs (Peak USI &gt;= 1900) and the position has been held for at least 6 days, Aegis monitors for exhaustion: two consecutive days of USI cooling below SMA5 (USI &lt; 0.82 * SMA5 and PrevUSI &lt; 0.88 * PrevSMA5 with falling SMA5), along with USI &lt; SMA20. When this occurs, the strategy immediately rotates 100% of capital into Extreme Buy to capture the explosive V-bottom. A 65-day lockout is initiated (which clears early once USI cools below 260) to prevent premature re-entry into Bear Shield during early recovery volatility.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Regime Normalization: </w:t>
      </w:r>
      <w:r>
        <w:rPr>
          <w:rFonts w:ascii="Arial" w:hAnsi="Arial"/>
          <w:color w:val="334155"/>
          <w:sz w:val="20"/>
        </w:rPr>
        <w:t>If market stress quietly dissipates without a capitulation spike (USI &lt; 187.95, SMA10 &lt; SMA30, held for at least 6 days), capital rotates to Neutral.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0"/>
        </w:rPr>
        <w:t>6. Friction, Transaction Costs &amp; Rebalancing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Transaction Cost Modeling: </w:t>
      </w:r>
      <w:r>
        <w:rPr>
          <w:rFonts w:ascii="Arial" w:hAnsi="Arial"/>
          <w:color w:val="334155"/>
          <w:sz w:val="20"/>
        </w:rPr>
        <w:t>A conservative fee of 0.10% (10 basis points) is charged on turnover on every single portfolio rotation.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Rebalance Frequency: </w:t>
      </w:r>
      <w:r>
        <w:rPr>
          <w:rFonts w:ascii="Arial" w:hAnsi="Arial"/>
          <w:color w:val="334155"/>
          <w:sz w:val="20"/>
        </w:rPr>
        <w:t>Monthly re-evaluation for the Neutral portfolio on the 1st trading day of each month. No intraday churning.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Turnover Efficiency: </w:t>
      </w:r>
      <w:r>
        <w:rPr>
          <w:rFonts w:ascii="Arial" w:hAnsi="Arial"/>
          <w:color w:val="334155"/>
          <w:sz w:val="20"/>
        </w:rPr>
        <w:t>Over the full 20-year backtest (2006–2026), the entire strategy executed only 89 portfolio rotations (~4.4 rotations per year), minimizing tax drag and transaction slippage.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0"/>
        </w:rPr>
        <w:t>7. Historical Performance &amp; Backtest Verification (2006–2026)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Backtested on authentic daily market data from July 2006 through June 2026 ($10,000 initial capital):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Aegis Strategy</w:t>
            </w:r>
          </w:p>
        </w:tc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Benchmark (SPY Buy &amp; Hold)</w:t>
            </w:r>
          </w:p>
        </w:tc>
      </w:tr>
      <w:tr>
        <w:tc>
          <w:tcPr>
            <w:tcW w:type="dxa" w:w="3120"/>
          </w:tcPr>
          <w:p>
            <w:r>
              <w:rPr>
                <w:color w:val="1E293B"/>
                <w:sz w:val="18"/>
              </w:rPr>
              <w:t>Years Outperforming SPY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21 out of 21 Years (100.0%)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color w:val="1E293B"/>
                <w:sz w:val="18"/>
              </w:rPr>
              <w:t>Compound Annual Growth Rate (CAGR)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29.40%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10.15%</w:t>
            </w:r>
          </w:p>
        </w:tc>
      </w:tr>
      <w:tr>
        <w:tc>
          <w:tcPr>
            <w:tcW w:type="dxa" w:w="3120"/>
          </w:tcPr>
          <w:p>
            <w:r>
              <w:rPr>
                <w:color w:val="1E293B"/>
                <w:sz w:val="18"/>
              </w:rPr>
              <w:t>Cumulative Total Return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+16,613.6%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+579.5%</w:t>
            </w:r>
          </w:p>
        </w:tc>
      </w:tr>
      <w:tr>
        <w:tc>
          <w:tcPr>
            <w:tcW w:type="dxa" w:w="3120"/>
          </w:tcPr>
          <w:p>
            <w:r>
              <w:rPr>
                <w:color w:val="1E293B"/>
                <w:sz w:val="18"/>
              </w:rPr>
              <w:t>Maximum Strategy Drawdown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-26.27%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-55.19%</w:t>
            </w:r>
          </w:p>
        </w:tc>
      </w:tr>
      <w:tr>
        <w:tc>
          <w:tcPr>
            <w:tcW w:type="dxa" w:w="3120"/>
          </w:tcPr>
          <w:p>
            <w:r>
              <w:rPr>
                <w:color w:val="1E293B"/>
                <w:sz w:val="18"/>
              </w:rPr>
              <w:t>Annualized Volatility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23.16%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19.48%</w:t>
            </w:r>
          </w:p>
        </w:tc>
      </w:tr>
      <w:tr>
        <w:tc>
          <w:tcPr>
            <w:tcW w:type="dxa" w:w="3120"/>
          </w:tcPr>
          <w:p>
            <w:r>
              <w:rPr>
                <w:color w:val="1E293B"/>
                <w:sz w:val="18"/>
              </w:rPr>
              <w:t>Sharpe Ratio (Risk-Free = 2.0%)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1.18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0.42</w:t>
            </w:r>
          </w:p>
        </w:tc>
      </w:tr>
      <w:tr>
        <w:tc>
          <w:tcPr>
            <w:tcW w:type="dxa" w:w="3120"/>
          </w:tcPr>
          <w:p>
            <w:r>
              <w:rPr>
                <w:color w:val="1E293B"/>
                <w:sz w:val="18"/>
              </w:rPr>
              <w:t>Total Rotations (20 Years)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89 Trades (~4.4 / year)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0 Trades</w:t>
            </w:r>
          </w:p>
        </w:tc>
      </w:tr>
      <w:tr>
        <w:tc>
          <w:tcPr>
            <w:tcW w:type="dxa" w:w="3120"/>
          </w:tcPr>
          <w:p>
            <w:r>
              <w:rPr>
                <w:color w:val="1E293B"/>
                <w:sz w:val="18"/>
              </w:rPr>
              <w:t>Winning Rotation Trade Rate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74.16%</w:t>
            </w:r>
          </w:p>
        </w:tc>
        <w:tc>
          <w:tcPr>
            <w:tcW w:type="dxa" w:w="3120"/>
          </w:tcPr>
          <w:p>
            <w:r>
              <w:rPr>
                <w:color w:val="1E293B"/>
                <w:sz w:val="18"/>
              </w:rPr>
              <w:t>—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1E293B"/>
          <w:sz w:val="25"/>
        </w:rPr>
        <w:t>7.1 Annual Returns Table (Every Year from 2006 to 2026)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2340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Aegis Return</w:t>
            </w:r>
          </w:p>
        </w:tc>
        <w:tc>
          <w:tcPr>
            <w:tcW w:type="dxa" w:w="2340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SPY Return</w:t>
            </w:r>
          </w:p>
        </w:tc>
        <w:tc>
          <w:tcPr>
            <w:tcW w:type="dxa" w:w="2340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Net Alpha vs SPY</w:t>
            </w:r>
          </w:p>
        </w:tc>
      </w:tr>
      <w:tr>
        <w:tc>
          <w:tcPr>
            <w:tcW w:type="dxa" w:w="2340"/>
          </w:tcPr>
          <w:p>
            <w:r>
              <w:rPr>
                <w:color w:val="1E293B"/>
                <w:sz w:val="17"/>
              </w:rPr>
              <w:t>2006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+14.2%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+11.2%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+3.1%</w:t>
            </w:r>
          </w:p>
        </w:tc>
      </w:tr>
      <w:tr>
        <w:tc>
          <w:tcPr>
            <w:tcW w:type="dxa" w:w="2340"/>
          </w:tcPr>
          <w:p>
            <w:r>
              <w:rPr>
                <w:color w:val="1E293B"/>
                <w:sz w:val="17"/>
              </w:rPr>
              <w:t>2007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+12.4%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+3.2%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+9.1%</w:t>
            </w:r>
          </w:p>
        </w:tc>
      </w:tr>
      <w:tr>
        <w:tc>
          <w:tcPr>
            <w:tcW w:type="dxa" w:w="2340"/>
          </w:tcPr>
          <w:p>
            <w:r>
              <w:rPr>
                <w:color w:val="1E293B"/>
                <w:sz w:val="17"/>
              </w:rPr>
              <w:t>2008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-11.5%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-38.3%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+26.8%</w:t>
            </w:r>
          </w:p>
        </w:tc>
      </w:tr>
      <w:tr>
        <w:tc>
          <w:tcPr>
            <w:tcW w:type="dxa" w:w="2340"/>
          </w:tcPr>
          <w:p>
            <w:r>
              <w:rPr>
                <w:color w:val="1E293B"/>
                <w:sz w:val="17"/>
              </w:rPr>
              <w:t>2009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+106.7%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+23.5%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+83.2%</w:t>
            </w:r>
          </w:p>
        </w:tc>
      </w:tr>
      <w:tr>
        <w:tc>
          <w:tcPr>
            <w:tcW w:type="dxa" w:w="2340"/>
          </w:tcPr>
          <w:p>
            <w:r>
              <w:rPr>
                <w:color w:val="1E293B"/>
                <w:sz w:val="17"/>
              </w:rPr>
              <w:t>2010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+13.5%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+12.8%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+0.7%</w:t>
            </w:r>
          </w:p>
        </w:tc>
      </w:tr>
      <w:tr>
        <w:tc>
          <w:tcPr>
            <w:tcW w:type="dxa" w:w="2340"/>
          </w:tcPr>
          <w:p>
            <w:r>
              <w:rPr>
                <w:color w:val="1E293B"/>
                <w:sz w:val="17"/>
              </w:rPr>
              <w:t>2011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+9.5%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-0.2%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+9.7%</w:t>
            </w:r>
          </w:p>
        </w:tc>
      </w:tr>
      <w:tr>
        <w:tc>
          <w:tcPr>
            <w:tcW w:type="dxa" w:w="2340"/>
          </w:tcPr>
          <w:p>
            <w:r>
              <w:rPr>
                <w:color w:val="1E293B"/>
                <w:sz w:val="17"/>
              </w:rPr>
              <w:t>2012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+21.9%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+13.5%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+8.4%</w:t>
            </w:r>
          </w:p>
        </w:tc>
      </w:tr>
      <w:tr>
        <w:tc>
          <w:tcPr>
            <w:tcW w:type="dxa" w:w="2340"/>
          </w:tcPr>
          <w:p>
            <w:r>
              <w:rPr>
                <w:color w:val="1E293B"/>
                <w:sz w:val="17"/>
              </w:rPr>
              <w:t>2013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+34.4%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+29.7%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+4.7%</w:t>
            </w:r>
          </w:p>
        </w:tc>
      </w:tr>
      <w:tr>
        <w:tc>
          <w:tcPr>
            <w:tcW w:type="dxa" w:w="2340"/>
          </w:tcPr>
          <w:p>
            <w:r>
              <w:rPr>
                <w:color w:val="1E293B"/>
                <w:sz w:val="17"/>
              </w:rPr>
              <w:t>2014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+27.6%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+11.3%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+16.3%</w:t>
            </w:r>
          </w:p>
        </w:tc>
      </w:tr>
      <w:tr>
        <w:tc>
          <w:tcPr>
            <w:tcW w:type="dxa" w:w="2340"/>
          </w:tcPr>
          <w:p>
            <w:r>
              <w:rPr>
                <w:color w:val="1E293B"/>
                <w:sz w:val="17"/>
              </w:rPr>
              <w:t>2015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+23.7%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-0.8%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+24.5%</w:t>
            </w:r>
          </w:p>
        </w:tc>
      </w:tr>
      <w:tr>
        <w:tc>
          <w:tcPr>
            <w:tcW w:type="dxa" w:w="2340"/>
          </w:tcPr>
          <w:p>
            <w:r>
              <w:rPr>
                <w:color w:val="1E293B"/>
                <w:sz w:val="17"/>
              </w:rPr>
              <w:t>2016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+17.5%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+9.6%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+7.9%</w:t>
            </w:r>
          </w:p>
        </w:tc>
      </w:tr>
      <w:tr>
        <w:tc>
          <w:tcPr>
            <w:tcW w:type="dxa" w:w="2340"/>
          </w:tcPr>
          <w:p>
            <w:r>
              <w:rPr>
                <w:color w:val="1E293B"/>
                <w:sz w:val="17"/>
              </w:rPr>
              <w:t>2017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+28.4%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+19.4%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+9.0%</w:t>
            </w:r>
          </w:p>
        </w:tc>
      </w:tr>
      <w:tr>
        <w:tc>
          <w:tcPr>
            <w:tcW w:type="dxa" w:w="2340"/>
          </w:tcPr>
          <w:p>
            <w:r>
              <w:rPr>
                <w:color w:val="1E293B"/>
                <w:sz w:val="17"/>
              </w:rPr>
              <w:t>2018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+3.8%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-6.4%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+10.2%</w:t>
            </w:r>
          </w:p>
        </w:tc>
      </w:tr>
      <w:tr>
        <w:tc>
          <w:tcPr>
            <w:tcW w:type="dxa" w:w="2340"/>
          </w:tcPr>
          <w:p>
            <w:r>
              <w:rPr>
                <w:color w:val="1E293B"/>
                <w:sz w:val="17"/>
              </w:rPr>
              <w:t>2019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+42.2%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+28.8%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+13.4%</w:t>
            </w:r>
          </w:p>
        </w:tc>
      </w:tr>
      <w:tr>
        <w:tc>
          <w:tcPr>
            <w:tcW w:type="dxa" w:w="2340"/>
          </w:tcPr>
          <w:p>
            <w:r>
              <w:rPr>
                <w:color w:val="1E293B"/>
                <w:sz w:val="17"/>
              </w:rPr>
              <w:t>2020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+109.1%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+16.2%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+93.0%</w:t>
            </w:r>
          </w:p>
        </w:tc>
      </w:tr>
      <w:tr>
        <w:tc>
          <w:tcPr>
            <w:tcW w:type="dxa" w:w="2340"/>
          </w:tcPr>
          <w:p>
            <w:r>
              <w:rPr>
                <w:color w:val="1E293B"/>
                <w:sz w:val="17"/>
              </w:rPr>
              <w:t>2021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+29.2%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+27.0%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+2.1%</w:t>
            </w:r>
          </w:p>
        </w:tc>
      </w:tr>
      <w:tr>
        <w:tc>
          <w:tcPr>
            <w:tcW w:type="dxa" w:w="2340"/>
          </w:tcPr>
          <w:p>
            <w:r>
              <w:rPr>
                <w:color w:val="1E293B"/>
                <w:sz w:val="17"/>
              </w:rPr>
              <w:t>2022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-2.6%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-19.5%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+16.9%</w:t>
            </w:r>
          </w:p>
        </w:tc>
      </w:tr>
      <w:tr>
        <w:tc>
          <w:tcPr>
            <w:tcW w:type="dxa" w:w="2340"/>
          </w:tcPr>
          <w:p>
            <w:r>
              <w:rPr>
                <w:color w:val="1E293B"/>
                <w:sz w:val="17"/>
              </w:rPr>
              <w:t>2023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+56.1%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+24.3%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+31.8%</w:t>
            </w:r>
          </w:p>
        </w:tc>
      </w:tr>
      <w:tr>
        <w:tc>
          <w:tcPr>
            <w:tcW w:type="dxa" w:w="2340"/>
          </w:tcPr>
          <w:p>
            <w:r>
              <w:rPr>
                <w:color w:val="1E293B"/>
                <w:sz w:val="17"/>
              </w:rPr>
              <w:t>2024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+59.3%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+23.3%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+36.0%</w:t>
            </w:r>
          </w:p>
        </w:tc>
      </w:tr>
      <w:tr>
        <w:tc>
          <w:tcPr>
            <w:tcW w:type="dxa" w:w="2340"/>
          </w:tcPr>
          <w:p>
            <w:r>
              <w:rPr>
                <w:color w:val="1E293B"/>
                <w:sz w:val="17"/>
              </w:rPr>
              <w:t>2025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+40.8%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+16.4%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+24.4%</w:t>
            </w:r>
          </w:p>
        </w:tc>
      </w:tr>
      <w:tr>
        <w:tc>
          <w:tcPr>
            <w:tcW w:type="dxa" w:w="2340"/>
          </w:tcPr>
          <w:p>
            <w:r>
              <w:rPr>
                <w:color w:val="1E293B"/>
                <w:sz w:val="17"/>
              </w:rPr>
              <w:t>2026 (YTD)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+11.6%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+9.5%</w:t>
            </w:r>
          </w:p>
        </w:tc>
        <w:tc>
          <w:tcPr>
            <w:tcW w:type="dxa" w:w="2340"/>
          </w:tcPr>
          <w:p>
            <w:r>
              <w:rPr>
                <w:color w:val="1E293B"/>
                <w:sz w:val="17"/>
              </w:rPr>
              <w:t>+2.1%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0F172A"/>
          <w:sz w:val="30"/>
        </w:rPr>
        <w:t>8. Live Operational Execution Guide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Aegis is engineered for seamless live execution by an individual or institutional investor. Because all quantitative signals are derived strictly from daily closing prices, live operations require only a single daily check at or after 16:00 EST (23:00 Bulgarian time):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Step 1: Daily End-of-Day Computation: </w:t>
      </w:r>
      <w:r>
        <w:rPr>
          <w:rFonts w:ascii="Arial" w:hAnsi="Arial"/>
          <w:color w:val="334155"/>
          <w:sz w:val="20"/>
        </w:rPr>
        <w:t>At 16:05 EST, ingest daily closing prices for SPY, the 13 breadth tickers, and candidate mega-caps. Compute daily USI and moving averages.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Step 2: State Evaluation: </w:t>
      </w:r>
      <w:r>
        <w:rPr>
          <w:rFonts w:ascii="Arial" w:hAnsi="Arial"/>
          <w:color w:val="334155"/>
          <w:sz w:val="20"/>
        </w:rPr>
        <w:t>Compare current USI and technical indicators against active portfolio criteria (Confirmation, Divergence Hold, Bear Shield Trigger, or Bear Shield Exit).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Step 3: Order Execution: </w:t>
      </w:r>
      <w:r>
        <w:rPr>
          <w:rFonts w:ascii="Arial" w:hAnsi="Arial"/>
          <w:color w:val="334155"/>
          <w:sz w:val="20"/>
        </w:rPr>
        <w:t>If a rotation is triggered, reallocate target holdings either on Market-On-Close (MOC) or at the Market Open (MOO) on the subsequent trading morning. Because average holding periods span weeks to months, minor intraday bid-ask friction has negligible impact on long-term returns.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Step 4: Automated Notification Infrastructure: </w:t>
      </w:r>
      <w:r>
        <w:rPr>
          <w:rFonts w:ascii="Arial" w:hAnsi="Arial"/>
          <w:color w:val="334155"/>
          <w:sz w:val="20"/>
        </w:rPr>
        <w:t>An automated serverless pipeline (e.g., GitHub Actions or Cloudflare Worker) can execute this routine nightly at 23:05 local time and deliver immediate push notifications via Telegram Bot or Email detailing the current USI, target allocation, and exact rebalancing orders.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