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COMMERCIAL SERVICES AGREEMENT (VERSION 1.0)</w:t>
      </w:r>
    </w:p>
    <w:p>
      <w:r>
        <w:t xml:space="preserve">1. Services Scope: Provider shall deliver technical consulting and implementation services.</w:t>
      </w:r>
    </w:p>
    <w:p>
      <w:r>
        <w:t xml:space="preserve">2. Payment Terms: Invoices payable within thirty (30) days from receipt.</w:t>
      </w:r>
    </w:p>
    <w:p>
      <w:r>
        <w:t xml:space="preserve">3. Term: 12-month term with automatic annual renewal.</w:t>
      </w:r>
    </w:p>
    <w:p>
      <w:r>
        <w:t xml:space="preserve">4. Limitation of Liability: Total liability of either party shall not exceed AED 100,000.</w:t>
      </w:r>
    </w:p>
    <w:p>
      <w:r>
        <w:t xml:space="preserve">5. Termination: Either party may terminate for convenience with sixty (60) days prior written notice.</w:t>
      </w:r>
    </w:p>
    <w:p>
      <w:r>
        <w:t xml:space="preserve">6. Governing Law: This contract is governed by Dubai International Financial Centre (DIFC) laws.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2026-10-01T16:41:29.766Z</dcterms:created>
  <dcterms:modified xsi:type="dcterms:W3CDTF">2026-10-01T16:41:29.766Z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