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ACCORD DE CONFIDENTIALITÉ ET DE NON-DIVULGATION</w:t>
      </w:r>
    </w:p>
    <w:p>
      <w:pPr>
        <w:spacing w:after="140"/>
      </w:pPr>
      <w:r>
        <w:rPr>
          <w:b/>
          <w:bCs/>
          <w:sz w:val="22"/>
          <w:szCs w:val="22"/>
        </w:rPr>
        <w:t xml:space="preserve">1. Objet du Contrat et Définitions</w:t>
      </w:r>
    </w:p>
    <w:p>
      <w:pPr>
        <w:spacing w:after="140"/>
      </w:pPr>
      <w:r>
        <w:rPr>
          <w:b w:val="false"/>
          <w:bCs w:val="false"/>
          <w:sz w:val="22"/>
          <w:szCs w:val="22"/>
        </w:rPr>
        <w:t xml:space="preserve">Le présent Accord de Confidentialité est conclu le 15 janvier 2024 entre :</w:t>
      </w:r>
    </w:p>
    <w:p>
      <w:pPr>
        <w:spacing w:after="140"/>
      </w:pPr>
      <w:r>
        <w:rPr>
          <w:b w:val="false"/>
          <w:bCs w:val="false"/>
          <w:sz w:val="22"/>
          <w:szCs w:val="22"/>
        </w:rPr>
        <w:t xml:space="preserve">La société Lumina Solutions SAS, société par actions simplifiée au capital de 100.000 euros, immatriculée au RCS de Paris sous le numéro 812 345 678, sise 25 Rue de la Paix, 75002 Paris, France, représentée par M. Alexandre Laurent, d'une part ;</w:t>
      </w:r>
    </w:p>
    <w:p>
      <w:pPr>
        <w:spacing w:after="140"/>
      </w:pPr>
      <w:r>
        <w:rPr>
          <w:b w:val="false"/>
          <w:bCs w:val="false"/>
          <w:sz w:val="22"/>
          <w:szCs w:val="22"/>
        </w:rPr>
        <w:t xml:space="preserve">Et la société Horizon Technologies SA, société anonyme au capital de 250.000 euros, immatriculée au RCS de Lyon sous le numéro 745 678 912, sise 14 Quai Victor Augagneur, 69003 Lyon, France, représentée par Mme Sophie Dubois, d'autre part.</w:t>
      </w:r>
    </w:p>
    <w:p>
      <w:pPr>
        <w:spacing w:after="140"/>
      </w:pPr>
      <w:r>
        <w:rPr>
          <w:b/>
          <w:bCs/>
          <w:sz w:val="22"/>
          <w:szCs w:val="22"/>
        </w:rPr>
        <w:t xml:space="preserve">1.1 Par 'Informations Confidentielles', on entend l'ensemble des informations techniques, financières, juridiques et commerciales divulguées par l'une des parties à l'autre.</w:t>
      </w:r>
    </w:p>
    <w:p>
      <w:pPr>
        <w:spacing w:after="140"/>
      </w:pPr>
      <w:r>
        <w:rPr>
          <w:b/>
          <w:bCs/>
          <w:sz w:val="22"/>
          <w:szCs w:val="22"/>
        </w:rPr>
        <w:t xml:space="preserve">1.2 La Partie Réceptrice s'engage à utiliser les Informations Confidentielles exclusivement dans le cadre de l'évaluation du projet de partenariat stratégique.</w:t>
      </w:r>
    </w:p>
    <w:p>
      <w:r>
        <w:br w:type="page"/>
      </w:r>
    </w:p>
    <w:p>
      <w:pPr>
        <w:pStyle w:val="Heading1"/>
        <w:spacing w:after="200"/>
      </w:pPr>
      <w:r>
        <w:t xml:space="preserve">Page 2 : Obligations de Sécurité et Durée</w:t>
      </w:r>
    </w:p>
    <w:p>
      <w:pPr>
        <w:spacing w:after="140"/>
      </w:pPr>
      <w:r>
        <w:rPr>
          <w:b/>
          <w:bCs/>
          <w:sz w:val="22"/>
          <w:szCs w:val="22"/>
        </w:rPr>
        <w:t xml:space="preserve">2. Degré de Diligence et Mesures de Sécurité</w:t>
      </w:r>
    </w:p>
    <w:p>
      <w:pPr>
        <w:spacing w:after="140"/>
      </w:pPr>
      <w:r>
        <w:rPr>
          <w:b/>
          <w:bCs/>
          <w:sz w:val="22"/>
          <w:szCs w:val="22"/>
        </w:rPr>
        <w:t xml:space="preserve">2.1 La Partie Réceptrice s'engage à appliquer aux Informations Confidentielles les mêmes mesures de protection et de diligence raisonnable qu'elle applique à ses propres données les plus sensibles, et en tout état de cause au moins un degré de soin raisonnable.</w:t>
      </w:r>
    </w:p>
    <w:p>
      <w:pPr>
        <w:spacing w:after="140"/>
      </w:pPr>
      <w:r>
        <w:rPr>
          <w:b/>
          <w:bCs/>
          <w:sz w:val="22"/>
          <w:szCs w:val="22"/>
        </w:rPr>
        <w:t xml:space="preserve">2.2 L'accès aux Informations Confidentielles est strictement réservé aux salariés, consultants et dirigeants ayant un besoin direct d'en connaître (need-to-know).</w:t>
      </w:r>
    </w:p>
    <w:p>
      <w:pPr>
        <w:spacing w:after="140"/>
      </w:pPr>
      <w:r>
        <w:rPr>
          <w:b/>
          <w:bCs/>
          <w:sz w:val="22"/>
          <w:szCs w:val="22"/>
        </w:rPr>
        <w:t xml:space="preserve">3. Durée des Engagements</w:t>
      </w:r>
    </w:p>
    <w:p>
      <w:pPr>
        <w:spacing w:after="140"/>
      </w:pPr>
      <w:r>
        <w:rPr>
          <w:b w:val="false"/>
          <w:bCs w:val="false"/>
          <w:sz w:val="22"/>
          <w:szCs w:val="22"/>
        </w:rPr>
        <w:t xml:space="preserve">Le présent Accord entre en vigueur à la date de signature pour une durée initiale de trois (3) ans. Les obligations de confidentialité relatives aux secrets de fabrique et aux données techniques survivront pour une durée indéterminée ou jusqu'à leur entrée dans le domaine public.</w:t>
      </w:r>
    </w:p>
    <w:p>
      <w:r>
        <w:br w:type="page"/>
      </w:r>
    </w:p>
    <w:p>
      <w:pPr>
        <w:pStyle w:val="Heading1"/>
        <w:spacing w:after="200"/>
      </w:pPr>
      <w:r>
        <w:t xml:space="preserve">Page 3 : Sanctions, Droit Applicable et Juridiction</w:t>
      </w:r>
    </w:p>
    <w:p>
      <w:pPr>
        <w:spacing w:after="140"/>
      </w:pPr>
      <w:r>
        <w:rPr>
          <w:b/>
          <w:bCs/>
          <w:sz w:val="22"/>
          <w:szCs w:val="22"/>
        </w:rPr>
        <w:t xml:space="preserve">4. Violation et Pénalités Contractuelles</w:t>
      </w:r>
    </w:p>
    <w:p>
      <w:pPr>
        <w:spacing w:after="140"/>
      </w:pPr>
      <w:r>
        <w:rPr>
          <w:b w:val="false"/>
          <w:bCs w:val="false"/>
          <w:sz w:val="22"/>
          <w:szCs w:val="22"/>
        </w:rPr>
        <w:t xml:space="preserve">En cas de manquement avéré aux obligations de non-divulgation, la Partie Défaillante sera redevable d'une indemnité forfaitaire minimale de 150.000 euros (cent cinquante mille euros), sans préjudice de tout autre dommage et intérêt qui pourrait être réclamé devant les juridictions compétentes.</w:t>
      </w:r>
    </w:p>
    <w:p>
      <w:pPr>
        <w:spacing w:after="140"/>
      </w:pPr>
      <w:r>
        <w:rPr>
          <w:b/>
          <w:bCs/>
          <w:sz w:val="22"/>
          <w:szCs w:val="22"/>
        </w:rPr>
        <w:t xml:space="preserve">5. Droit Applicable et Règlement des Différends</w:t>
      </w:r>
    </w:p>
    <w:p>
      <w:pPr>
        <w:spacing w:after="140"/>
      </w:pPr>
      <w:r>
        <w:rPr>
          <w:b/>
          <w:bCs/>
          <w:sz w:val="22"/>
          <w:szCs w:val="22"/>
        </w:rPr>
        <w:t xml:space="preserve">5.1 Le présent Accord est régi et interprété conformément au droit français (Code civil français).</w:t>
      </w:r>
    </w:p>
    <w:p>
      <w:pPr>
        <w:spacing w:after="140"/>
      </w:pPr>
      <w:r>
        <w:rPr>
          <w:b/>
          <w:bCs/>
          <w:sz w:val="22"/>
          <w:szCs w:val="22"/>
        </w:rPr>
        <w:t xml:space="preserve">5.2 Tout litige relatif à la validité, l'interprétation ou l'exécution du présent contrat sera soumis à la compétence exclusive du Tribunal de Commerce de Paris, nonobstant pluralité de défendeurs ou appel en garantie.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2026-10-01T17:41:57.405Z</dcterms:created>
  <dcterms:modified xsi:type="dcterms:W3CDTF">2026-10-01T17:41:57.405Z</dcterms:modified>
</cp:coreProperties>
</file>

<file path=docProps/custom.xml><?xml version="1.0" encoding="utf-8"?>
<Properties xmlns="http://schemas.openxmlformats.org/officeDocument/2006/custom-properties" xmlns:vt="http://schemas.openxmlformats.org/officeDocument/2006/docPropsVTypes"/>
</file>