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DATA PROCESSING ADDENDUM (GDPR ARTICLE 28 COMPLIANT)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This Data Processing Addendum ('DPA') governs the processing of personal data by CloudBridge Technologies Ltd ('Processor') on behalf of Horizon Consumer Goods Europe B.V. ('Controller').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1. Subject Matter and Scope: Processor processes EU Personal Data to provide cloud analytical services as specified in the Principal Services Agreement.</w:t>
      </w:r>
    </w:p>
    <w:p>
      <w:r>
        <w:br w:type="page"/>
      </w:r>
    </w:p>
    <w:p>
      <w:pPr>
        <w:pStyle w:val="Heading1"/>
        <w:spacing w:after="200"/>
      </w:pPr>
      <w:r>
        <w:t xml:space="preserve">Page 2: Nature and Purpose of Processing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2. Duration: Processing shall continue for the duration of the Principal Agreement plus retention periods mandated by statutory audit obligations.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3. Categories of Data Subjects: Controller customers, employees, suppliers, and website visitors.</w:t>
      </w:r>
    </w:p>
    <w:p>
      <w:r>
        <w:br w:type="page"/>
      </w:r>
    </w:p>
    <w:p>
      <w:pPr>
        <w:pStyle w:val="Heading1"/>
        <w:spacing w:after="200"/>
      </w:pPr>
      <w:r>
        <w:t xml:space="preserve">Page 3: Controller and Processor Obligations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4. Documented Instructions: Processor shall process personal data solely on documented instructions from Controller, including regarding international data transfers.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5. Confidentiality: Processor ensures that all personnel authorized to process personal data have committed themselves to confidentiality.</w:t>
      </w:r>
    </w:p>
    <w:p>
      <w:r>
        <w:br w:type="page"/>
      </w:r>
    </w:p>
    <w:p>
      <w:pPr>
        <w:pStyle w:val="Heading1"/>
        <w:spacing w:after="200"/>
      </w:pPr>
      <w:r>
        <w:t xml:space="preserve">Page 4: Technical and Organizational Measures (TOMs)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6. Security Standards: Processor implements AES-256 encryption at rest, TLS 1.3 in transit, role-based access control (RBAC), and annual SOC 2 Type II audits.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7. Resilience: Processor tests disaster recovery and business continuity plans semi-annually.</w:t>
      </w:r>
    </w:p>
    <w:p>
      <w:r>
        <w:br w:type="page"/>
      </w:r>
    </w:p>
    <w:p>
      <w:pPr>
        <w:pStyle w:val="Heading1"/>
        <w:spacing w:after="200"/>
      </w:pPr>
      <w:r>
        <w:t xml:space="preserve">Page 5: Sub-processors and Third-Party Vendors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8. Sub-processor Engagement: Controller grants general written authorization for Processor to engage infrastructure sub-processors listed on its website.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9. Objection: Processor shall provide thirty (30) days advance notice before adding new sub-processors, allowing Controller to object on reasonable data protection grounds.</w:t>
      </w:r>
    </w:p>
    <w:p>
      <w:r>
        <w:br w:type="page"/>
      </w:r>
    </w:p>
    <w:p>
      <w:pPr>
        <w:pStyle w:val="Heading1"/>
        <w:spacing w:after="200"/>
      </w:pPr>
      <w:r>
        <w:t xml:space="preserve">Page 6: Data Subject Rights and Support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10. Assistance with Requests: Taking into account the nature of processing, Processor shall assist Controller by appropriate technical measures to fulfill data subject requests (access, rectification, erasure, portability).</w:t>
      </w:r>
    </w:p>
    <w:p>
      <w:r>
        <w:br w:type="page"/>
      </w:r>
    </w:p>
    <w:p>
      <w:pPr>
        <w:pStyle w:val="Heading1"/>
        <w:spacing w:after="200"/>
      </w:pPr>
      <w:r>
        <w:t xml:space="preserve">Page 7: Personal Data Breach Notification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11. Security Breach Notice: In the event of a confirmed Personal Data Breach, Processor shall notify Controller without undue delay and in any event within forty-eight (48) hours of becoming aware.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12. Notice Contents: The notice shall describe the nature of breach, approximate data subjects impacted, and proposed mitigation actions.</w:t>
      </w:r>
    </w:p>
    <w:p>
      <w:r>
        <w:br w:type="page"/>
      </w:r>
    </w:p>
    <w:p>
      <w:pPr>
        <w:pStyle w:val="Heading1"/>
        <w:spacing w:after="200"/>
      </w:pPr>
      <w:r>
        <w:t xml:space="preserve">Page 8: Audits and Compliance Verification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13. Audit Rights: Processor shall make available to Controller all information necessary to demonstrate compliance with GDPR Article 28 and allow for reasonable audits conducted by an independent auditor.</w:t>
      </w:r>
    </w:p>
    <w:p>
      <w:r>
        <w:br w:type="page"/>
      </w:r>
    </w:p>
    <w:p>
      <w:pPr>
        <w:pStyle w:val="Heading1"/>
        <w:spacing w:after="200"/>
      </w:pPr>
      <w:r>
        <w:t xml:space="preserve">Page 9: International Transfers and Standard Contractual Clauses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14. Cross-Border Transfers: Any transfer outside the EEA shall be governed by the European Commission Standard Contractual Clauses (SCCs Module 2 Controller-to-Processor).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15. Supplementary Measures: Processor implements technical supplementary measures ensuring government access requests are lawfully contested.</w:t>
      </w:r>
    </w:p>
    <w:p>
      <w:r>
        <w:br w:type="page"/>
      </w:r>
    </w:p>
    <w:p>
      <w:pPr>
        <w:pStyle w:val="Heading1"/>
        <w:spacing w:after="200"/>
      </w:pPr>
      <w:r>
        <w:t xml:space="preserve">Page 10: Liability, Termination, and Governing Law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16. Liability Cap: The total aggregate liability arising out of this DPA shall be capped at 2,000,000 EUR (two million euros).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17. Return or Deletion: Upon termination, Processor shall securely delete or return all Controller personal data within thirty (30) days.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18. Governing Law: This DPA is governed by the laws of the Netherlands and the competent courts of Amsterdam.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2026-10-01T17:41:57.479Z</dcterms:created>
  <dcterms:modified xsi:type="dcterms:W3CDTF">2026-10-01T17:41:57.479Z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