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STRATEGIC JOINT VENTURE AND CO-DEVELOPMENT AGREEMENT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This Joint Venture Agreement is entered into between Vertex AI Holdings Ltd and Quantum Dynamics Group Corp.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1. Recitals and Strategic Purpose: The parties establish an unincorporated joint venture to build quantum-resistant AI infrastructure.</w:t>
      </w:r>
    </w:p>
    <w:p>
      <w:r>
        <w:br w:type="page"/>
      </w:r>
    </w:p>
    <w:p>
      <w:pPr>
        <w:pStyle w:val="Heading1"/>
        <w:spacing w:after="200"/>
      </w:pPr>
      <w:r>
        <w:t xml:space="preserve">Page 2: Capital Contributions and Financing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2. Capital Commitments: Vertex contributes $5,000,000 cash; Quantum contributes proprietary compiler IP valued at $5,000,000.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3. Additional Calls: Capital calls require 75% supermajority approval of the Joint Steering Committee.</w:t>
      </w:r>
    </w:p>
    <w:p>
      <w:r>
        <w:br w:type="page"/>
      </w:r>
    </w:p>
    <w:p>
      <w:pPr>
        <w:pStyle w:val="Heading1"/>
        <w:spacing w:after="200"/>
      </w:pPr>
      <w:r>
        <w:t xml:space="preserve">Page 3: Governance and Management Committee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4. Steering Committee: Composed of three (3) representatives from Vertex and three (3) representatives from Quantum.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5. Quorum: Quorum requires attendance of at least two members from each parent entity.</w:t>
      </w:r>
    </w:p>
    <w:p>
      <w:r>
        <w:br w:type="page"/>
      </w:r>
    </w:p>
    <w:p>
      <w:pPr>
        <w:pStyle w:val="Heading1"/>
        <w:spacing w:after="200"/>
      </w:pPr>
      <w:r>
        <w:t xml:space="preserve">Page 4: Intellectual Property Ownership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6. Background IP: Each party retains sole ownership of its pre-existing background IP.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7. Foreground IP: All newly developed models and patents shall be jointly owned with equal cross-licensing rights.</w:t>
      </w:r>
    </w:p>
    <w:p>
      <w:r>
        <w:br w:type="page"/>
      </w:r>
    </w:p>
    <w:p>
      <w:pPr>
        <w:pStyle w:val="Heading1"/>
        <w:spacing w:after="200"/>
      </w:pPr>
      <w:r>
        <w:t xml:space="preserve">Page 5: Commercial Revenue and Profit Allocation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8. Profit Distribution: Net operating profits shall be distributed 50/50 on a semi-annual basis following independent audit.</w:t>
      </w:r>
    </w:p>
    <w:p>
      <w:r>
        <w:br w:type="page"/>
      </w:r>
    </w:p>
    <w:p>
      <w:pPr>
        <w:pStyle w:val="Heading1"/>
        <w:spacing w:after="200"/>
      </w:pPr>
      <w:r>
        <w:t xml:space="preserve">Page 6: Representations and Warranties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9. Mutual Warranties: Each party represents it has full corporate authority to enter into this joint venture.</w:t>
      </w:r>
    </w:p>
    <w:p>
      <w:r>
        <w:br w:type="page"/>
      </w:r>
    </w:p>
    <w:p>
      <w:pPr>
        <w:pStyle w:val="Heading1"/>
        <w:spacing w:after="200"/>
      </w:pPr>
      <w:r>
        <w:t xml:space="preserve">Page 7: Confidentiality and Data Protection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10. Joint Secrets: All algorithms, training pipelines, and financial models are classified as Joint Confidential Property.</w:t>
      </w:r>
    </w:p>
    <w:p>
      <w:r>
        <w:br w:type="page"/>
      </w:r>
    </w:p>
    <w:p>
      <w:pPr>
        <w:pStyle w:val="Heading1"/>
        <w:spacing w:after="200"/>
      </w:pPr>
      <w:r>
        <w:t xml:space="preserve">Page 8: Non-Competition Covenant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11. Exclusivity: Neither party shall develop competing quantum neural hardware independently during the five-year JV term.</w:t>
      </w:r>
    </w:p>
    <w:p>
      <w:r>
        <w:br w:type="page"/>
      </w:r>
    </w:p>
    <w:p>
      <w:pPr>
        <w:pStyle w:val="Heading1"/>
        <w:spacing w:after="200"/>
      </w:pPr>
      <w:r>
        <w:t xml:space="preserve">Page 9: Deadlock Resolution Procedures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12. Deadlock Escalation: If the Steering Committee cannot agree, the matter is escalated to the CEOs within fourteen (14) days.</w:t>
      </w:r>
    </w:p>
    <w:p>
      <w:r>
        <w:br w:type="page"/>
      </w:r>
    </w:p>
    <w:p>
      <w:pPr>
        <w:pStyle w:val="Heading1"/>
        <w:spacing w:after="200"/>
      </w:pPr>
      <w:r>
        <w:t xml:space="preserve">Page 10: Term and Orderly Dissolution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13. Term: Initial term of five (5) years with mutual written renewal options.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14. Dissolution: Assets liquidated and net cash distributed pro-rata after settling all trade creditors.</w:t>
      </w:r>
    </w:p>
    <w:p>
      <w:r>
        <w:br w:type="page"/>
      </w:r>
    </w:p>
    <w:p>
      <w:pPr>
        <w:pStyle w:val="Heading1"/>
        <w:spacing w:after="200"/>
      </w:pPr>
      <w:r>
        <w:t xml:space="preserve">Page 11: Limitation of Liability and Indemnities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15. Liability Ceiling: Aggregate liability between partners shall not exceed $10,000,000, except for gross negligence or IP theft.</w:t>
      </w:r>
    </w:p>
    <w:p>
      <w:r>
        <w:br w:type="page"/>
      </w:r>
    </w:p>
    <w:p>
      <w:pPr>
        <w:pStyle w:val="Heading1"/>
        <w:spacing w:after="200"/>
      </w:pPr>
      <w:r>
        <w:t xml:space="preserve">Page 12: Governing Law and LCIA Arbitration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16. Governing Law: English Law shall govern all aspects of this Agreement.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17. Arbitration: London Court of International Arbitration (LCIA) seated in London, UK.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Executed by authorized signatories of Vertex and Quantum.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2026-10-01T17:41:57.490Z</dcterms:created>
  <dcterms:modified xsi:type="dcterms:W3CDTF">2026-10-01T17:41:57.490Z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