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COMMERCIAL PREMISES LEASE AGREEMENT (DIFC GATE PRECINCT)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This Commercial Lease Agreement is executed on June 1, 2024 between: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Landlord: DIFC Properties Holdings Ltd, Gate Village Building 3, DIFC, Dubai, UAE.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Tenant: Apex Capital Partners ME Limited, licensed financial services firm in DIFC.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Premises: Office Suite 701, Level 7, Precinct Building 4, DIFC, comprising approximately 4,500 square feet.</w:t>
      </w:r>
    </w:p>
    <w:p>
      <w:r>
        <w:br w:type="page"/>
      </w:r>
    </w:p>
    <w:p>
      <w:pPr>
        <w:pStyle w:val="Heading1"/>
        <w:spacing w:after="200"/>
      </w:pPr>
      <w:r>
        <w:t xml:space="preserve">Page 2: Term and Possession Covenants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2.1 Lease Term: The initial term shall be five (5) years, commencing July 1, 2024 and ending June 30, 2029.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2.2 Tenant Option to Renew: Tenant shall have one option to renew the Lease for an additional three (3) year term upon six (6) months advance notice.</w:t>
      </w:r>
    </w:p>
    <w:p>
      <w:r>
        <w:br w:type="page"/>
      </w:r>
    </w:p>
    <w:p>
      <w:pPr>
        <w:pStyle w:val="Heading1"/>
        <w:spacing w:after="200"/>
      </w:pPr>
      <w:r>
        <w:t xml:space="preserve">Page 3: Rent and Payment Schedules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3.1 Annual Basic Rent: The annual rent shall be AED 850,000 payable in four (4) equal quarterly installments of AED 212,500 in advance.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3.2 Escalation: Annual rent shall increase by 3.5% annually commencing in year two of the Term.</w:t>
      </w:r>
    </w:p>
    <w:p>
      <w:r>
        <w:br w:type="page"/>
      </w:r>
    </w:p>
    <w:p>
      <w:pPr>
        <w:pStyle w:val="Heading1"/>
        <w:spacing w:after="200"/>
      </w:pPr>
      <w:r>
        <w:t xml:space="preserve">Page 4: Security Deposit and Guarantees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4.1 Security Deposit: Tenant shall deposit with Landlord the sum of AED 212,500 (equivalent to three months rent) as security for full performance.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4.2 Refund: The deposit shall be returned within thirty (30) days following surrender of premises in broom-clean condition.</w:t>
      </w:r>
    </w:p>
    <w:p>
      <w:r>
        <w:br w:type="page"/>
      </w:r>
    </w:p>
    <w:p>
      <w:pPr>
        <w:pStyle w:val="Heading1"/>
        <w:spacing w:after="200"/>
      </w:pPr>
      <w:r>
        <w:t xml:space="preserve">Page 5: Permitted Use and Alterations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5.1 Permitted Use: Premises shall be used solely for licensed professional financial and asset management services.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5.2 Fit-out Works: Any structural or mechanical alterations require Landlord's prior written consent and DIFC Authority permits.</w:t>
      </w:r>
    </w:p>
    <w:p>
      <w:r>
        <w:br w:type="page"/>
      </w:r>
    </w:p>
    <w:p>
      <w:pPr>
        <w:pStyle w:val="Heading1"/>
        <w:spacing w:after="200"/>
      </w:pPr>
      <w:r>
        <w:t xml:space="preserve">Page 6: Maintenance and Utility Services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6.1 Landlord shall maintain building structural elements, chilled water air-conditioning, elevators, and common area amenities.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6.2 Tenant shall be responsible for internal electrical, communication, and interior janitorial services.</w:t>
      </w:r>
    </w:p>
    <w:p>
      <w:r>
        <w:br w:type="page"/>
      </w:r>
    </w:p>
    <w:p>
      <w:pPr>
        <w:pStyle w:val="Heading1"/>
        <w:spacing w:after="200"/>
      </w:pPr>
      <w:r>
        <w:t xml:space="preserve">Page 7: Insurance and Indemnity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7.1 Tenant shall procure comprehensive general public liability insurance of not less than AED 10,000,000 per occurrence.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7.2 Landlord shall maintain all-risk property casualty insurance covering the core building structure.</w:t>
      </w:r>
    </w:p>
    <w:p>
      <w:r>
        <w:br w:type="page"/>
      </w:r>
    </w:p>
    <w:p>
      <w:pPr>
        <w:pStyle w:val="Heading1"/>
        <w:spacing w:after="200"/>
      </w:pPr>
      <w:r>
        <w:t xml:space="preserve">Page 8: Governing Law and Dispute Resolution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8.1 This Lease is governed exclusively by the laws and regulations of the Dubai International Financial Centre (DIFC).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8.2 Any dispute arising hereunder shall be submitted to the exclusive jurisdiction of the DIFC Small Claims Tribunal or DIFC Courts.</w:t>
      </w:r>
    </w:p>
    <w:p>
      <w:pPr>
        <w:spacing w:after="140"/>
      </w:pPr>
      <w:r>
        <w:rPr>
          <w:b w:val="false"/>
          <w:bCs w:val="false"/>
          <w:sz w:val="22"/>
          <w:szCs w:val="22"/>
        </w:rPr>
        <w:t xml:space="preserve">Executed in duplicate on the date first written above.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2026-10-01T17:41:57.471Z</dcterms:created>
  <dcterms:modified xsi:type="dcterms:W3CDTF">2026-10-01T17:41:57.471Z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