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AI GOVERNANCE DECISION REPORT</w:t>
      </w:r>
    </w:p>
    <w:p>
      <w:pPr>
        <w:jc w:val="center"/>
      </w:pPr>
      <w:r>
        <w:rPr>
          <w:i/>
          <w:color w:val="606060"/>
          <w:sz w:val="18"/>
        </w:rPr>
        <w:t>Automated pre-execution assessment - generated by the Governance Gateway with no manual intervention</w:t>
      </w:r>
    </w:p>
    <w:p>
      <w:pPr>
        <w:pBdr>
          <w:bottom w:val="single" w:sz="12" w:color="1F3A5F"/>
        </w:pBdr>
      </w:pPr>
    </w:p>
    <w:tbl>
      <w:tblPr>
        <w:tblStyle w:val="TableGrid"/>
        <w:tblW w:type="auto" w:w="0"/>
        <w:jc w:val="left"/>
        <w:tblLook w:firstColumn="1" w:firstRow="1" w:lastColumn="0" w:lastRow="0" w:noHBand="0" w:noVBand="1" w:val="04A0"/>
      </w:tblPr>
      <w:tblGrid>
        <w:gridCol w:w="4320"/>
        <w:gridCol w:w="4320"/>
      </w:tblGrid>
      <w:tr>
        <w:tc>
          <w:tcPr>
            <w:tcW w:type="dxa" w:w="4320"/>
            <w:shd w:val="clear" w:fill="EAF0F6"/>
          </w:tcPr>
          <w:p>
            <w:r/>
            <w:r>
              <w:rPr>
                <w:b/>
                <w:sz w:val="20"/>
              </w:rPr>
              <w:t>Report ID</w:t>
            </w:r>
          </w:p>
        </w:tc>
        <w:tc>
          <w:tcPr>
            <w:tcW w:type="dxa" w:w="4320"/>
          </w:tcPr>
          <w:p>
            <w:r/>
            <w:r>
              <w:rPr>
                <w:b w:val="0"/>
                <w:sz w:val="20"/>
              </w:rPr>
              <w:t>GOV-20260808-FC9FC8</w:t>
            </w:r>
          </w:p>
        </w:tc>
      </w:tr>
      <w:tr>
        <w:tc>
          <w:tcPr>
            <w:tcW w:type="dxa" w:w="4320"/>
            <w:shd w:val="clear" w:fill="EAF0F6"/>
          </w:tcPr>
          <w:p>
            <w:r/>
            <w:r>
              <w:rPr>
                <w:b/>
                <w:sz w:val="20"/>
              </w:rPr>
              <w:t>Classification</w:t>
            </w:r>
          </w:p>
        </w:tc>
        <w:tc>
          <w:tcPr>
            <w:tcW w:type="dxa" w:w="4320"/>
          </w:tcPr>
          <w:p>
            <w:r/>
            <w:r>
              <w:rPr>
                <w:b w:val="0"/>
                <w:sz w:val="20"/>
              </w:rPr>
              <w:t>Confidential - Internal</w:t>
            </w:r>
          </w:p>
        </w:tc>
      </w:tr>
      <w:tr>
        <w:tc>
          <w:tcPr>
            <w:tcW w:type="dxa" w:w="4320"/>
            <w:shd w:val="clear" w:fill="EAF0F6"/>
          </w:tcPr>
          <w:p>
            <w:r/>
            <w:r>
              <w:rPr>
                <w:b/>
                <w:sz w:val="20"/>
              </w:rPr>
              <w:t>Generated (UTC)</w:t>
            </w:r>
          </w:p>
        </w:tc>
        <w:tc>
          <w:tcPr>
            <w:tcW w:type="dxa" w:w="4320"/>
          </w:tcPr>
          <w:p>
            <w:r/>
            <w:r>
              <w:rPr>
                <w:b w:val="0"/>
                <w:sz w:val="20"/>
              </w:rPr>
              <w:t>2026-08-08 16:18:35</w:t>
            </w:r>
          </w:p>
        </w:tc>
      </w:tr>
      <w:tr>
        <w:tc>
          <w:tcPr>
            <w:tcW w:type="dxa" w:w="4320"/>
            <w:shd w:val="clear" w:fill="EAF0F6"/>
          </w:tcPr>
          <w:p>
            <w:r/>
            <w:r>
              <w:rPr>
                <w:b/>
                <w:sz w:val="20"/>
              </w:rPr>
              <w:t>Generated by</w:t>
            </w:r>
          </w:p>
        </w:tc>
        <w:tc>
          <w:tcPr>
            <w:tcW w:type="dxa" w:w="4320"/>
          </w:tcPr>
          <w:p>
            <w:r/>
            <w:r>
              <w:rPr>
                <w:b w:val="0"/>
                <w:sz w:val="20"/>
              </w:rPr>
              <w:t>Governance Gateway v1.0 (automated)</w:t>
            </w:r>
          </w:p>
        </w:tc>
      </w:tr>
      <w:tr>
        <w:tc>
          <w:tcPr>
            <w:tcW w:type="dxa" w:w="4320"/>
            <w:shd w:val="clear" w:fill="EAF0F6"/>
          </w:tcPr>
          <w:p>
            <w:r/>
            <w:r>
              <w:rPr>
                <w:b/>
                <w:sz w:val="20"/>
              </w:rPr>
              <w:t>Assessment frameworks</w:t>
            </w:r>
          </w:p>
        </w:tc>
        <w:tc>
          <w:tcPr>
            <w:tcW w:type="dxa" w:w="4320"/>
          </w:tcPr>
          <w:p>
            <w:r/>
            <w:r>
              <w:rPr>
                <w:b w:val="0"/>
                <w:sz w:val="20"/>
              </w:rPr>
              <w:t>EU AI Act | GDPR | ISO/IEC 42001 | NIST AI RMF</w:t>
            </w:r>
          </w:p>
        </w:tc>
      </w:tr>
      <w:tr>
        <w:tc>
          <w:tcPr>
            <w:tcW w:type="dxa" w:w="3456"/>
            <w:shd w:val="clear" w:fill="EAF0F6"/>
          </w:tcPr>
          <w:p>
            <w:r/>
            <w:r>
              <w:rPr>
                <w:b/>
                <w:sz w:val="20"/>
              </w:rPr>
              <w:t>Record integrity (SHA-256)</w:t>
            </w:r>
          </w:p>
        </w:tc>
        <w:tc>
          <w:tcPr>
            <w:tcW w:type="dxa" w:w="4320"/>
          </w:tcPr>
          <w:p>
            <w:r/>
            <w:r>
              <w:rPr>
                <w:b w:val="0"/>
                <w:sz w:val="20"/>
              </w:rPr>
              <w:t>fc9fc88a6710206b</w:t>
            </w:r>
          </w:p>
        </w:tc>
      </w:tr>
    </w:tbl>
    <w:p/>
    <w:p>
      <w:r>
        <w:rPr>
          <w:b/>
          <w:color w:val="B57100"/>
          <w:sz w:val="30"/>
        </w:rPr>
        <w:t>DECISION:  ESCALATED - HUMAN REVIEW REQUIRED</w:t>
      </w:r>
    </w:p>
    <w:p>
      <w:pPr>
        <w:pStyle w:val="Heading1"/>
      </w:pPr>
      <w:r>
        <w:rPr>
          <w:color w:val="1F3A5F"/>
        </w:rPr>
        <w:t>1.  Executive Summary</w:t>
      </w:r>
    </w:p>
    <w:p>
      <w:r>
        <w:t>The Governance Gateway assessed a request by agent 'a7' to perform the action 'delete' on behalf of user 'u1'. Following automated intent analysis, risk classification, regulatory retrieval and four control checks, the request has been escalated for mandatory human review before it may proceed. The assessed residual risk is 55/100 (limited tier). This report constitutes the auditable compliance record for that decision and is retained in accordance with record-keeping obligations under EU AI Act Article 12.</w:t>
      </w:r>
    </w:p>
    <w:p>
      <w:pPr>
        <w:pStyle w:val="Heading1"/>
      </w:pPr>
      <w:r>
        <w:rPr>
          <w:color w:val="1F3A5F"/>
        </w:rPr>
        <w:t>2.  Request Under Assessment</w:t>
      </w:r>
    </w:p>
    <w:tbl>
      <w:tblPr>
        <w:tblStyle w:val="TableGrid"/>
        <w:tblW w:type="auto" w:w="0"/>
        <w:jc w:val="left"/>
        <w:tblLook w:firstColumn="1" w:firstRow="1" w:lastColumn="0" w:lastRow="0" w:noHBand="0" w:noVBand="1" w:val="04A0"/>
      </w:tblPr>
      <w:tblGrid>
        <w:gridCol w:w="4320"/>
        <w:gridCol w:w="4320"/>
      </w:tblGrid>
      <w:tr>
        <w:tc>
          <w:tcPr>
            <w:tcW w:type="dxa" w:w="4320"/>
            <w:shd w:val="clear" w:fill="EAF0F6"/>
          </w:tcPr>
          <w:p>
            <w:r/>
            <w:r>
              <w:rPr>
                <w:b/>
                <w:sz w:val="20"/>
              </w:rPr>
              <w:t>Agent</w:t>
            </w:r>
          </w:p>
        </w:tc>
        <w:tc>
          <w:tcPr>
            <w:tcW w:type="dxa" w:w="4320"/>
          </w:tcPr>
          <w:p>
            <w:r/>
            <w:r>
              <w:rPr>
                <w:b w:val="0"/>
                <w:sz w:val="20"/>
              </w:rPr>
              <w:t>a7</w:t>
            </w:r>
          </w:p>
        </w:tc>
      </w:tr>
      <w:tr>
        <w:tc>
          <w:tcPr>
            <w:tcW w:type="dxa" w:w="4320"/>
            <w:shd w:val="clear" w:fill="EAF0F6"/>
          </w:tcPr>
          <w:p>
            <w:r/>
            <w:r>
              <w:rPr>
                <w:b/>
                <w:sz w:val="20"/>
              </w:rPr>
              <w:t>User</w:t>
            </w:r>
          </w:p>
        </w:tc>
        <w:tc>
          <w:tcPr>
            <w:tcW w:type="dxa" w:w="4320"/>
          </w:tcPr>
          <w:p>
            <w:r/>
            <w:r>
              <w:rPr>
                <w:b w:val="0"/>
                <w:sz w:val="20"/>
              </w:rPr>
              <w:t>u1</w:t>
            </w:r>
          </w:p>
        </w:tc>
      </w:tr>
      <w:tr>
        <w:tc>
          <w:tcPr>
            <w:tcW w:type="dxa" w:w="4320"/>
            <w:shd w:val="clear" w:fill="EAF0F6"/>
          </w:tcPr>
          <w:p>
            <w:r/>
            <w:r>
              <w:rPr>
                <w:b/>
                <w:sz w:val="20"/>
              </w:rPr>
              <w:t>Requested action</w:t>
            </w:r>
          </w:p>
        </w:tc>
        <w:tc>
          <w:tcPr>
            <w:tcW w:type="dxa" w:w="4320"/>
          </w:tcPr>
          <w:p>
            <w:r/>
            <w:r>
              <w:rPr>
                <w:b w:val="0"/>
                <w:sz w:val="20"/>
              </w:rPr>
              <w:t>delete</w:t>
            </w:r>
          </w:p>
        </w:tc>
      </w:tr>
      <w:tr>
        <w:tc>
          <w:tcPr>
            <w:tcW w:type="dxa" w:w="4320"/>
            <w:shd w:val="clear" w:fill="EAF0F6"/>
          </w:tcPr>
          <w:p>
            <w:r/>
            <w:r>
              <w:rPr>
                <w:b/>
                <w:sz w:val="20"/>
              </w:rPr>
              <w:t>Tool invoked</w:t>
            </w:r>
          </w:p>
        </w:tc>
        <w:tc>
          <w:tcPr>
            <w:tcW w:type="dxa" w:w="4320"/>
          </w:tcPr>
          <w:p>
            <w:r/>
            <w:r>
              <w:rPr>
                <w:b w:val="0"/>
                <w:sz w:val="20"/>
              </w:rPr>
              <w:t>database</w:t>
            </w:r>
          </w:p>
        </w:tc>
      </w:tr>
      <w:tr>
        <w:tc>
          <w:tcPr>
            <w:tcW w:type="dxa" w:w="4320"/>
            <w:shd w:val="clear" w:fill="EAF0F6"/>
          </w:tcPr>
          <w:p>
            <w:r/>
            <w:r>
              <w:rPr>
                <w:b/>
                <w:sz w:val="20"/>
              </w:rPr>
              <w:t>Model confidence</w:t>
            </w:r>
          </w:p>
        </w:tc>
        <w:tc>
          <w:tcPr>
            <w:tcW w:type="dxa" w:w="4320"/>
          </w:tcPr>
          <w:p>
            <w:r/>
            <w:r>
              <w:rPr>
                <w:b w:val="0"/>
                <w:sz w:val="20"/>
              </w:rPr>
              <w:t>1</w:t>
            </w:r>
          </w:p>
        </w:tc>
      </w:tr>
      <w:tr>
        <w:tc>
          <w:tcPr>
            <w:tcW w:type="dxa" w:w="4320"/>
            <w:shd w:val="clear" w:fill="EAF0F6"/>
          </w:tcPr>
          <w:p>
            <w:r/>
            <w:r>
              <w:rPr>
                <w:b/>
                <w:sz w:val="20"/>
              </w:rPr>
              <w:t>AI disclosed to user</w:t>
            </w:r>
          </w:p>
        </w:tc>
        <w:tc>
          <w:tcPr>
            <w:tcW w:type="dxa" w:w="4320"/>
          </w:tcPr>
          <w:p>
            <w:r/>
            <w:r>
              <w:rPr>
                <w:b w:val="0"/>
                <w:sz w:val="20"/>
              </w:rPr>
              <w:t>No</w:t>
            </w:r>
          </w:p>
        </w:tc>
      </w:tr>
      <w:tr>
        <w:tc>
          <w:tcPr>
            <w:tcW w:type="dxa" w:w="4320"/>
            <w:shd w:val="clear" w:fill="EAF0F6"/>
          </w:tcPr>
          <w:p>
            <w:r/>
            <w:r>
              <w:rPr>
                <w:b/>
                <w:sz w:val="20"/>
              </w:rPr>
              <w:t>Human-in-the-loop</w:t>
            </w:r>
          </w:p>
        </w:tc>
        <w:tc>
          <w:tcPr>
            <w:tcW w:type="dxa" w:w="4320"/>
          </w:tcPr>
          <w:p>
            <w:r/>
            <w:r>
              <w:rPr>
                <w:b w:val="0"/>
                <w:sz w:val="20"/>
              </w:rPr>
              <w:t>No</w:t>
            </w:r>
          </w:p>
        </w:tc>
      </w:tr>
      <w:tr>
        <w:tc>
          <w:tcPr>
            <w:tcW w:type="dxa" w:w="4320"/>
            <w:shd w:val="clear" w:fill="EAF0F6"/>
          </w:tcPr>
          <w:p>
            <w:r/>
            <w:r>
              <w:rPr>
                <w:b/>
                <w:sz w:val="20"/>
              </w:rPr>
              <w:t>Classified intent</w:t>
            </w:r>
          </w:p>
        </w:tc>
        <w:tc>
          <w:tcPr>
            <w:tcW w:type="dxa" w:w="4320"/>
          </w:tcPr>
          <w:p>
            <w:r/>
            <w:r>
              <w:rPr>
                <w:b w:val="0"/>
                <w:sz w:val="20"/>
              </w:rPr>
              <w:t>deletion</w:t>
            </w:r>
          </w:p>
        </w:tc>
      </w:tr>
      <w:tr>
        <w:tc>
          <w:tcPr>
            <w:tcW w:type="dxa" w:w="4320"/>
            <w:shd w:val="clear" w:fill="EAF0F6"/>
          </w:tcPr>
          <w:p>
            <w:r/>
            <w:r>
              <w:rPr>
                <w:b/>
                <w:sz w:val="20"/>
              </w:rPr>
              <w:t>Category</w:t>
            </w:r>
          </w:p>
        </w:tc>
        <w:tc>
          <w:tcPr>
            <w:tcW w:type="dxa" w:w="4320"/>
          </w:tcPr>
          <w:p>
            <w:r/>
            <w:r>
              <w:rPr>
                <w:b w:val="0"/>
                <w:sz w:val="20"/>
              </w:rPr>
              <w:t>general</w:t>
            </w:r>
          </w:p>
        </w:tc>
      </w:tr>
      <w:tr>
        <w:tc>
          <w:tcPr>
            <w:tcW w:type="dxa" w:w="3456"/>
            <w:shd w:val="clear" w:fill="EAF0F6"/>
          </w:tcPr>
          <w:p>
            <w:r/>
            <w:r>
              <w:rPr>
                <w:b/>
                <w:sz w:val="20"/>
              </w:rPr>
              <w:t>Stated purpose</w:t>
            </w:r>
          </w:p>
        </w:tc>
        <w:tc>
          <w:tcPr>
            <w:tcW w:type="dxa" w:w="4320"/>
          </w:tcPr>
          <w:p>
            <w:r/>
            <w:r>
              <w:rPr>
                <w:b w:val="0"/>
                <w:sz w:val="20"/>
              </w:rPr>
              <w:t>data_management</w:t>
            </w:r>
          </w:p>
        </w:tc>
      </w:tr>
    </w:tbl>
    <w:p/>
    <w:p>
      <w:r>
        <w:rPr>
          <w:b/>
        </w:rPr>
        <w:t xml:space="preserve">Original request text:  </w:t>
      </w:r>
      <w:r>
        <w:rPr>
          <w:i/>
        </w:rPr>
        <w:t>“delete the raw_products table”</w:t>
      </w:r>
    </w:p>
    <w:p>
      <w:pPr>
        <w:pStyle w:val="Heading1"/>
      </w:pPr>
      <w:r>
        <w:rPr>
          <w:color w:val="1F3A5F"/>
        </w:rPr>
        <w:t>3.  Risk Assessment</w:t>
      </w:r>
    </w:p>
    <w:p>
      <w:r>
        <w:t>The request was scored 55/100 and classified as limited-risk under the EU AI Act risk tiering model (unacceptable / high / limited / minimal). Scoring combines the intent category, the impact of the requested action, and model confidence.</w:t>
      </w:r>
    </w:p>
    <w:p>
      <w:pPr>
        <w:pStyle w:val="IntenseQuote"/>
      </w:pPr>
      <w:r>
        <w:t>Contributing factors:</w:t>
      </w:r>
    </w:p>
    <w:p>
      <w:pPr>
        <w:pStyle w:val="ListBullet"/>
      </w:pPr>
      <w:r>
        <w:t>category general</w:t>
      </w:r>
    </w:p>
    <w:p>
      <w:pPr>
        <w:pStyle w:val="ListBullet"/>
      </w:pPr>
      <w:r>
        <w:t>action delete</w:t>
      </w:r>
    </w:p>
    <w:p>
      <w:pPr>
        <w:pStyle w:val="ListBullet"/>
      </w:pPr>
      <w:r>
        <w:t>confidence 1</w:t>
      </w:r>
    </w:p>
    <w:p>
      <w:pPr>
        <w:pStyle w:val="ListBullet"/>
      </w:pPr>
      <w:r>
        <w:t>high-impact action 'delete' raised residual risk to the limited tier</w:t>
      </w:r>
    </w:p>
    <w:p>
      <w:pPr>
        <w:pStyle w:val="Heading1"/>
      </w:pPr>
      <w:r>
        <w:rPr>
          <w:color w:val="1F3A5F"/>
        </w:rPr>
        <w:t>4.  Control Checks</w:t>
      </w:r>
    </w:p>
    <w:p>
      <w:r>
        <w:t>Four independent controls were evaluated. Deterministic controls apply fixed rules; the compliance control is grounded in retrieved regulatory obligations.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20"/>
              </w:rPr>
              <w:t>Control</w:t>
            </w:r>
          </w:p>
        </w:tc>
        <w:tc>
          <w:tcPr>
            <w:tcW w:type="dxa" w:w="2160"/>
            <w:shd w:val="clear" w:fill="1F3A5F"/>
          </w:tcPr>
          <w:p>
            <w:r/>
            <w:r>
              <w:rPr>
                <w:b/>
                <w:color w:val="FFFFFF"/>
                <w:sz w:val="20"/>
              </w:rPr>
              <w:t>Result</w:t>
            </w:r>
          </w:p>
        </w:tc>
        <w:tc>
          <w:tcPr>
            <w:tcW w:type="dxa" w:w="2160"/>
            <w:shd w:val="clear" w:fill="1F3A5F"/>
          </w:tcPr>
          <w:p>
            <w:r/>
            <w:r>
              <w:rPr>
                <w:b/>
                <w:color w:val="FFFFFF"/>
                <w:sz w:val="20"/>
              </w:rPr>
              <w:t>Mapped obligation</w:t>
            </w:r>
          </w:p>
        </w:tc>
        <w:tc>
          <w:tcPr>
            <w:tcW w:type="dxa" w:w="2160"/>
            <w:shd w:val="clear" w:fill="1F3A5F"/>
          </w:tcPr>
          <w:p>
            <w:r/>
            <w:r>
              <w:rPr>
                <w:b/>
                <w:color w:val="FFFFFF"/>
                <w:sz w:val="20"/>
              </w:rPr>
              <w:t>Evidence / detail</w:t>
            </w:r>
          </w:p>
        </w:tc>
      </w:tr>
      <w:tr>
        <w:tc>
          <w:tcPr>
            <w:tcW w:type="dxa" w:w="2160"/>
          </w:tcPr>
          <w:p>
            <w:r/>
            <w:r>
              <w:rPr>
                <w:b/>
                <w:sz w:val="20"/>
              </w:rPr>
              <w:t>Regulatory Compliance</w:t>
            </w:r>
          </w:p>
        </w:tc>
        <w:tc>
          <w:tcPr>
            <w:tcW w:type="dxa" w:w="2160"/>
          </w:tcPr>
          <w:p>
            <w:r/>
            <w:r>
              <w:rPr>
                <w:b/>
                <w:color w:val="1B7F37"/>
                <w:sz w:val="20"/>
              </w:rPr>
              <w:t>PASS</w:t>
            </w:r>
          </w:p>
        </w:tc>
        <w:tc>
          <w:tcPr>
            <w:tcW w:type="dxa" w:w="2160"/>
          </w:tcPr>
          <w:p>
            <w:r/>
            <w:r>
              <w:rPr>
                <w:b w:val="0"/>
                <w:sz w:val="20"/>
              </w:rPr>
              <w:t>EU AI Act Art. 9-15 / GDPR Art. 5</w:t>
            </w:r>
          </w:p>
        </w:tc>
        <w:tc>
          <w:tcPr>
            <w:tcW w:type="dxa" w:w="2160"/>
          </w:tcPr>
          <w:p>
            <w:r/>
            <w:r>
              <w:rPr>
                <w:b w:val="0"/>
                <w:sz w:val="20"/>
              </w:rPr>
              <w:t>All 4 policy obligation(s) met.</w:t>
            </w:r>
          </w:p>
        </w:tc>
      </w:tr>
      <w:tr>
        <w:tc>
          <w:tcPr>
            <w:tcW w:type="dxa" w:w="2160"/>
          </w:tcPr>
          <w:p>
            <w:r/>
            <w:r>
              <w:rPr>
                <w:b/>
                <w:sz w:val="20"/>
              </w:rPr>
              <w:t>Security &amp; Integrity</w:t>
            </w:r>
          </w:p>
        </w:tc>
        <w:tc>
          <w:tcPr>
            <w:tcW w:type="dxa" w:w="2160"/>
          </w:tcPr>
          <w:p>
            <w:r/>
            <w:r>
              <w:rPr>
                <w:b/>
                <w:color w:val="1B7F37"/>
                <w:sz w:val="20"/>
              </w:rPr>
              <w:t>PASS</w:t>
            </w:r>
          </w:p>
        </w:tc>
        <w:tc>
          <w:tcPr>
            <w:tcW w:type="dxa" w:w="2160"/>
          </w:tcPr>
          <w:p>
            <w:r/>
            <w:r>
              <w:rPr>
                <w:b w:val="0"/>
                <w:sz w:val="20"/>
              </w:rPr>
              <w:t>EU AI Act Art. 15</w:t>
            </w:r>
          </w:p>
        </w:tc>
        <w:tc>
          <w:tcPr>
            <w:tcW w:type="dxa" w:w="2160"/>
          </w:tcPr>
          <w:p>
            <w:r/>
            <w:r>
              <w:rPr>
                <w:b w:val="0"/>
                <w:sz w:val="20"/>
              </w:rPr>
              <w:t>No security flags raised.</w:t>
            </w:r>
          </w:p>
        </w:tc>
      </w:tr>
      <w:tr>
        <w:tc>
          <w:tcPr>
            <w:tcW w:type="dxa" w:w="2160"/>
          </w:tcPr>
          <w:p>
            <w:r/>
            <w:r>
              <w:rPr>
                <w:b/>
                <w:sz w:val="20"/>
              </w:rPr>
              <w:t>Data Privacy</w:t>
            </w:r>
          </w:p>
        </w:tc>
        <w:tc>
          <w:tcPr>
            <w:tcW w:type="dxa" w:w="2160"/>
          </w:tcPr>
          <w:p>
            <w:r/>
            <w:r>
              <w:rPr>
                <w:b/>
                <w:color w:val="1B7F37"/>
                <w:sz w:val="20"/>
              </w:rPr>
              <w:t>PASS</w:t>
            </w:r>
          </w:p>
        </w:tc>
        <w:tc>
          <w:tcPr>
            <w:tcW w:type="dxa" w:w="2160"/>
          </w:tcPr>
          <w:p>
            <w:r/>
            <w:r>
              <w:rPr>
                <w:b w:val="0"/>
                <w:sz w:val="20"/>
              </w:rPr>
              <w:t>GDPR Art. 5, 9, 32</w:t>
            </w:r>
          </w:p>
        </w:tc>
        <w:tc>
          <w:tcPr>
            <w:tcW w:type="dxa" w:w="2160"/>
          </w:tcPr>
          <w:p>
            <w:r/>
            <w:r>
              <w:rPr>
                <w:b w:val="0"/>
                <w:sz w:val="20"/>
              </w:rPr>
              <w:t>No personal data detected.</w:t>
            </w:r>
          </w:p>
        </w:tc>
      </w:tr>
      <w:tr>
        <w:tc>
          <w:tcPr>
            <w:tcW w:type="dxa" w:w="2160"/>
          </w:tcPr>
          <w:p>
            <w:r/>
            <w:r>
              <w:rPr>
                <w:b/>
                <w:sz w:val="20"/>
              </w:rPr>
              <w:t>Authorisation &amp; Oversight</w:t>
            </w:r>
          </w:p>
        </w:tc>
        <w:tc>
          <w:tcPr>
            <w:tcW w:type="dxa" w:w="2160"/>
          </w:tcPr>
          <w:p>
            <w:r/>
            <w:r>
              <w:rPr>
                <w:b/>
                <w:color w:val="B3261E"/>
                <w:sz w:val="20"/>
              </w:rPr>
              <w:t>FAIL</w:t>
            </w:r>
          </w:p>
        </w:tc>
        <w:tc>
          <w:tcPr>
            <w:tcW w:type="dxa" w:w="2160"/>
          </w:tcPr>
          <w:p>
            <w:r/>
            <w:r>
              <w:rPr>
                <w:b w:val="0"/>
                <w:sz w:val="20"/>
              </w:rPr>
              <w:t>EU AI Act Art. 14</w:t>
            </w:r>
          </w:p>
        </w:tc>
        <w:tc>
          <w:tcPr>
            <w:tcW w:type="dxa" w:w="2160"/>
          </w:tcPr>
          <w:p>
            <w:r/>
            <w:r>
              <w:rPr>
                <w:b w:val="0"/>
                <w:sz w:val="20"/>
              </w:rPr>
              <w:t>action 'delete' requires human oversight (EU AI Act Art. 14); AI interaction not disclosed to user (EU AI Act Art. 50)</w:t>
            </w:r>
          </w:p>
        </w:tc>
      </w:tr>
    </w:tbl>
    <w:p>
      <w:pPr>
        <w:pStyle w:val="Heading1"/>
      </w:pPr>
      <w:r>
        <w:rPr>
          <w:color w:val="1F3A5F"/>
        </w:rPr>
        <w:t>5.  Regulatory Compliance Assessment</w:t>
      </w:r>
    </w:p>
    <w:p>
      <w:r>
        <w:t>All 4 policy obligation(s) met.</w:t>
      </w:r>
    </w:p>
    <w:p>
      <w:pPr>
        <w:pStyle w:val="Heading1"/>
      </w:pPr>
      <w:r>
        <w:rPr>
          <w:color w:val="1F3A5F"/>
        </w:rPr>
        <w:t>6.  Regulatory Obligations Cited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E6B9E"/>
          </w:tcPr>
          <w:p>
            <w:r/>
            <w:r>
              <w:rPr>
                <w:b/>
                <w:color w:val="FFFFFF"/>
                <w:sz w:val="20"/>
              </w:rPr>
              <w:t>Reference</w:t>
            </w:r>
          </w:p>
        </w:tc>
        <w:tc>
          <w:tcPr>
            <w:tcW w:type="dxa" w:w="2880"/>
            <w:shd w:val="clear" w:fill="2E6B9E"/>
          </w:tcPr>
          <w:p>
            <w:r/>
            <w:r>
              <w:rPr>
                <w:b/>
                <w:color w:val="FFFFFF"/>
                <w:sz w:val="20"/>
              </w:rPr>
              <w:t>Framework</w:t>
            </w:r>
          </w:p>
        </w:tc>
        <w:tc>
          <w:tcPr>
            <w:tcW w:type="dxa" w:w="2880"/>
            <w:shd w:val="clear" w:fill="2E6B9E"/>
          </w:tcPr>
          <w:p>
            <w:r/>
            <w:r>
              <w:rPr>
                <w:b/>
                <w:color w:val="FFFFFF"/>
                <w:sz w:val="20"/>
              </w:rPr>
              <w:t>Obligation</w:t>
            </w:r>
          </w:p>
        </w:tc>
      </w:tr>
      <w:tr>
        <w:tc>
          <w:tcPr>
            <w:tcW w:type="dxa" w:w="2880"/>
          </w:tcPr>
          <w:p>
            <w:r/>
            <w:r>
              <w:rPr>
                <w:b/>
                <w:sz w:val="20"/>
              </w:rPr>
              <w:t>Article 5(1)(c)</w:t>
            </w:r>
          </w:p>
        </w:tc>
        <w:tc>
          <w:tcPr>
            <w:tcW w:type="dxa" w:w="2880"/>
          </w:tcPr>
          <w:p>
            <w:r/>
            <w:r>
              <w:rPr>
                <w:b w:val="0"/>
                <w:sz w:val="20"/>
              </w:rPr>
              <w:t>-</w:t>
            </w:r>
          </w:p>
        </w:tc>
        <w:tc>
          <w:tcPr>
            <w:tcW w:type="dxa" w:w="2880"/>
          </w:tcPr>
          <w:p>
            <w:r/>
            <w:r>
              <w:rPr>
                <w:b w:val="0"/>
                <w:sz w:val="20"/>
              </w:rPr>
              <w:t>See governing framework text.</w:t>
            </w:r>
          </w:p>
        </w:tc>
      </w:tr>
      <w:tr>
        <w:tc>
          <w:tcPr>
            <w:tcW w:type="dxa" w:w="2880"/>
          </w:tcPr>
          <w:p>
            <w:r/>
            <w:r>
              <w:rPr>
                <w:b/>
                <w:sz w:val="20"/>
              </w:rPr>
              <w:t>Article 5(1)(a)</w:t>
            </w:r>
          </w:p>
        </w:tc>
        <w:tc>
          <w:tcPr>
            <w:tcW w:type="dxa" w:w="2880"/>
          </w:tcPr>
          <w:p>
            <w:r/>
            <w:r>
              <w:rPr>
                <w:b w:val="0"/>
                <w:sz w:val="20"/>
              </w:rPr>
              <w:t>-</w:t>
            </w:r>
          </w:p>
        </w:tc>
        <w:tc>
          <w:tcPr>
            <w:tcW w:type="dxa" w:w="2880"/>
          </w:tcPr>
          <w:p>
            <w:r/>
            <w:r>
              <w:rPr>
                <w:b w:val="0"/>
                <w:sz w:val="20"/>
              </w:rPr>
              <w:t>See governing framework text.</w:t>
            </w:r>
          </w:p>
        </w:tc>
      </w:tr>
      <w:tr>
        <w:tc>
          <w:tcPr>
            <w:tcW w:type="dxa" w:w="2880"/>
          </w:tcPr>
          <w:p>
            <w:r/>
            <w:r>
              <w:rPr>
                <w:b/>
                <w:sz w:val="20"/>
              </w:rPr>
              <w:t>Article 5(1)(e)</w:t>
            </w:r>
          </w:p>
        </w:tc>
        <w:tc>
          <w:tcPr>
            <w:tcW w:type="dxa" w:w="2880"/>
          </w:tcPr>
          <w:p>
            <w:r/>
            <w:r>
              <w:rPr>
                <w:b w:val="0"/>
                <w:sz w:val="20"/>
              </w:rPr>
              <w:t>-</w:t>
            </w:r>
          </w:p>
        </w:tc>
        <w:tc>
          <w:tcPr>
            <w:tcW w:type="dxa" w:w="2880"/>
          </w:tcPr>
          <w:p>
            <w:r/>
            <w:r>
              <w:rPr>
                <w:b w:val="0"/>
                <w:sz w:val="20"/>
              </w:rPr>
              <w:t>See governing framework text.</w:t>
            </w:r>
          </w:p>
        </w:tc>
      </w:tr>
      <w:tr>
        <w:tc>
          <w:tcPr>
            <w:tcW w:type="dxa" w:w="2880"/>
          </w:tcPr>
          <w:p>
            <w:r/>
            <w:r>
              <w:rPr>
                <w:b/>
                <w:sz w:val="20"/>
              </w:rPr>
              <w:t>Article 22</w:t>
            </w:r>
          </w:p>
        </w:tc>
        <w:tc>
          <w:tcPr>
            <w:tcW w:type="dxa" w:w="2880"/>
          </w:tcPr>
          <w:p>
            <w:r/>
            <w:r>
              <w:rPr>
                <w:b w:val="0"/>
                <w:sz w:val="20"/>
              </w:rPr>
              <w:t>GDPR</w:t>
            </w:r>
          </w:p>
        </w:tc>
        <w:tc>
          <w:tcPr>
            <w:tcW w:type="dxa" w:w="2880"/>
          </w:tcPr>
          <w:p>
            <w:r/>
            <w:r>
              <w:rPr>
                <w:b w:val="0"/>
                <w:sz w:val="20"/>
              </w:rPr>
              <w:t>Right not to be subject to solely automated decisions.</w:t>
            </w:r>
          </w:p>
        </w:tc>
      </w:tr>
      <w:tr>
        <w:tc>
          <w:tcPr>
            <w:tcW w:type="dxa" w:w="2880"/>
          </w:tcPr>
          <w:p>
            <w:r/>
            <w:r>
              <w:rPr>
                <w:b/>
                <w:sz w:val="20"/>
              </w:rPr>
              <w:t>Article 14</w:t>
            </w:r>
          </w:p>
        </w:tc>
        <w:tc>
          <w:tcPr>
            <w:tcW w:type="dxa" w:w="2880"/>
          </w:tcPr>
          <w:p>
            <w:r/>
            <w:r>
              <w:rPr>
                <w:b w:val="0"/>
                <w:sz w:val="20"/>
              </w:rPr>
              <w:t>EU AI Act</w:t>
            </w:r>
          </w:p>
        </w:tc>
        <w:tc>
          <w:tcPr>
            <w:tcW w:type="dxa" w:w="2880"/>
          </w:tcPr>
          <w:p>
            <w:r/>
            <w:r>
              <w:rPr>
                <w:b w:val="0"/>
                <w:sz w:val="20"/>
              </w:rPr>
              <w:t>Human oversight of high-risk AI systems.</w:t>
            </w:r>
          </w:p>
        </w:tc>
      </w:tr>
      <w:tr>
        <w:tc>
          <w:tcPr>
            <w:tcW w:type="dxa" w:w="2880"/>
          </w:tcPr>
          <w:p>
            <w:r/>
            <w:r>
              <w:rPr>
                <w:b/>
                <w:sz w:val="20"/>
              </w:rPr>
              <w:t>Article 50</w:t>
            </w:r>
          </w:p>
        </w:tc>
        <w:tc>
          <w:tcPr>
            <w:tcW w:type="dxa" w:w="2880"/>
          </w:tcPr>
          <w:p>
            <w:r/>
            <w:r>
              <w:rPr>
                <w:b w:val="0"/>
                <w:sz w:val="20"/>
              </w:rPr>
              <w:t>EU AI Act</w:t>
            </w:r>
          </w:p>
        </w:tc>
        <w:tc>
          <w:tcPr>
            <w:tcW w:type="dxa" w:w="2880"/>
          </w:tcPr>
          <w:p>
            <w:r/>
            <w:r>
              <w:rPr>
                <w:b w:val="0"/>
                <w:sz w:val="20"/>
              </w:rPr>
              <w:t>Transparency obligations towards natural persons.</w:t>
            </w:r>
          </w:p>
        </w:tc>
      </w:tr>
    </w:tbl>
    <w:p>
      <w:pPr>
        <w:pStyle w:val="Heading1"/>
      </w:pPr>
      <w:r>
        <w:rPr>
          <w:color w:val="1F3A5F"/>
        </w:rPr>
        <w:t>7.  Findings and Rationale</w:t>
      </w:r>
    </w:p>
    <w:p>
      <w:pPr>
        <w:pStyle w:val="ListBullet"/>
      </w:pPr>
      <w:r>
        <w:t>action 'delete' requires human oversight (EU AI Act Art. 14)</w:t>
      </w:r>
    </w:p>
    <w:p>
      <w:pPr>
        <w:pStyle w:val="ListBullet"/>
      </w:pPr>
      <w:r>
        <w:t>AI interaction not disclosed to user (EU AI Act Art. 50)</w:t>
      </w:r>
    </w:p>
    <w:p>
      <w:pPr>
        <w:pStyle w:val="Heading1"/>
      </w:pPr>
      <w:r>
        <w:rPr>
          <w:color w:val="1F3A5F"/>
        </w:rPr>
        <w:t>8.  Recommended Action</w:t>
      </w:r>
    </w:p>
    <w:p>
      <w:r>
        <w:t>Hold execution pending human authorisation. Route to a designated reviewer, who must record an explicit approve/deny decision before the action may proceed.</w:t>
      </w:r>
    </w:p>
    <w:p>
      <w:pPr>
        <w:pStyle w:val="Heading1"/>
      </w:pPr>
      <w:r>
        <w:rPr>
          <w:color w:val="1F3A5F"/>
        </w:rPr>
        <w:t>9.  Plain-Language Explanation</w:t>
      </w:r>
    </w:p>
    <w:p>
      <w:r>
        <w:t>The decision is to require human review. This is because the action of deleting something requires human oversight, as stated in Article 14 of the EU AI Act, and the interaction with AI was not properly disclosed to the user, which is a requirement under Article 50 of the EU AI Act.</w:t>
      </w:r>
    </w:p>
    <w:p>
      <w:pPr>
        <w:pStyle w:val="Heading1"/>
      </w:pPr>
      <w:r>
        <w:rPr>
          <w:color w:val="1F3A5F"/>
        </w:rPr>
        <w:t>10.  Audit Trail and Provenance</w:t>
      </w:r>
    </w:p>
    <w:tbl>
      <w:tblPr>
        <w:tblStyle w:val="TableGrid"/>
        <w:tblW w:type="auto" w:w="0"/>
        <w:jc w:val="left"/>
        <w:tblLook w:firstColumn="1" w:firstRow="1" w:lastColumn="0" w:lastRow="0" w:noHBand="0" w:noVBand="1" w:val="04A0"/>
      </w:tblPr>
      <w:tblGrid>
        <w:gridCol w:w="4320"/>
        <w:gridCol w:w="4320"/>
      </w:tblGrid>
      <w:tr>
        <w:tc>
          <w:tcPr>
            <w:tcW w:type="dxa" w:w="4320"/>
            <w:shd w:val="clear" w:fill="EAF0F6"/>
          </w:tcPr>
          <w:p>
            <w:r/>
            <w:r>
              <w:rPr>
                <w:b/>
                <w:sz w:val="20"/>
              </w:rPr>
              <w:t>Decision timestamp (UTC)</w:t>
            </w:r>
          </w:p>
        </w:tc>
        <w:tc>
          <w:tcPr>
            <w:tcW w:type="dxa" w:w="4320"/>
          </w:tcPr>
          <w:p>
            <w:r/>
            <w:r>
              <w:rPr>
                <w:b w:val="0"/>
                <w:sz w:val="20"/>
              </w:rPr>
              <w:t>2026-08-08T16:18:34.727Z</w:t>
            </w:r>
          </w:p>
        </w:tc>
      </w:tr>
      <w:tr>
        <w:tc>
          <w:tcPr>
            <w:tcW w:type="dxa" w:w="4320"/>
            <w:shd w:val="clear" w:fill="EAF0F6"/>
          </w:tcPr>
          <w:p>
            <w:r/>
            <w:r>
              <w:rPr>
                <w:b/>
                <w:sz w:val="20"/>
              </w:rPr>
              <w:t>Pipeline</w:t>
            </w:r>
          </w:p>
        </w:tc>
        <w:tc>
          <w:tcPr>
            <w:tcW w:type="dxa" w:w="4320"/>
          </w:tcPr>
          <w:p>
            <w:r/>
            <w:r>
              <w:rPr>
                <w:b w:val="0"/>
                <w:sz w:val="20"/>
              </w:rPr>
              <w:t>Intent -&gt; Risk -&gt; Policy retrieval -&gt; Compliance -&gt; Security -&gt; Privacy -&gt; Permission -&gt; Decision</w:t>
            </w:r>
          </w:p>
        </w:tc>
      </w:tr>
      <w:tr>
        <w:tc>
          <w:tcPr>
            <w:tcW w:type="dxa" w:w="4320"/>
            <w:shd w:val="clear" w:fill="EAF0F6"/>
          </w:tcPr>
          <w:p>
            <w:r/>
            <w:r>
              <w:rPr>
                <w:b/>
                <w:sz w:val="20"/>
              </w:rPr>
              <w:t>Retrieval source</w:t>
            </w:r>
          </w:p>
        </w:tc>
        <w:tc>
          <w:tcPr>
            <w:tcW w:type="dxa" w:w="4320"/>
          </w:tcPr>
          <w:p>
            <w:r/>
            <w:r>
              <w:rPr>
                <w:b w:val="0"/>
                <w:sz w:val="20"/>
              </w:rPr>
              <w:t>Hybrid RAG knowledge base (governance_kb)</w:t>
            </w:r>
          </w:p>
        </w:tc>
      </w:tr>
      <w:tr>
        <w:tc>
          <w:tcPr>
            <w:tcW w:type="dxa" w:w="4320"/>
            <w:shd w:val="clear" w:fill="EAF0F6"/>
          </w:tcPr>
          <w:p>
            <w:r/>
            <w:r>
              <w:rPr>
                <w:b/>
                <w:sz w:val="20"/>
              </w:rPr>
              <w:t>Record integrity (SHA-256, truncated)</w:t>
            </w:r>
          </w:p>
        </w:tc>
        <w:tc>
          <w:tcPr>
            <w:tcW w:type="dxa" w:w="4320"/>
          </w:tcPr>
          <w:p>
            <w:r/>
            <w:r>
              <w:rPr>
                <w:b w:val="0"/>
                <w:sz w:val="20"/>
              </w:rPr>
              <w:t>fc9fc88a6710206b</w:t>
            </w:r>
          </w:p>
        </w:tc>
      </w:tr>
      <w:tr>
        <w:tc>
          <w:tcPr>
            <w:tcW w:type="dxa" w:w="3456"/>
            <w:shd w:val="clear" w:fill="EAF0F6"/>
          </w:tcPr>
          <w:p>
            <w:r/>
            <w:r>
              <w:rPr>
                <w:b/>
                <w:sz w:val="20"/>
              </w:rPr>
              <w:t>Retention basis</w:t>
            </w:r>
          </w:p>
        </w:tc>
        <w:tc>
          <w:tcPr>
            <w:tcW w:type="dxa" w:w="4320"/>
          </w:tcPr>
          <w:p>
            <w:r/>
            <w:r>
              <w:rPr>
                <w:b w:val="0"/>
                <w:sz w:val="20"/>
              </w:rPr>
              <w:t>EU AI Act Art. 12 (record-keeping)</w:t>
            </w:r>
          </w:p>
        </w:tc>
      </w:tr>
    </w:tbl>
    <w:p>
      <w:pPr>
        <w:pStyle w:val="Heading1"/>
      </w:pPr>
      <w:r>
        <w:rPr>
          <w:color w:val="1F3A5F"/>
        </w:rPr>
        <w:t>11.  Human Reviewer Sign-Off</w:t>
      </w:r>
    </w:p>
    <w:p>
      <w:r>
        <w:t>To be completed by the designated reviewer where the decision requires human authorisation.</w:t>
      </w:r>
    </w:p>
    <w:tbl>
      <w:tblPr>
        <w:tblStyle w:val="TableGrid"/>
        <w:tblW w:type="auto" w:w="0"/>
        <w:tblLook w:firstColumn="1" w:firstRow="1" w:lastColumn="0" w:lastRow="0" w:noHBand="0" w:noVBand="1" w:val="04A0"/>
      </w:tblPr>
      <w:tblGrid>
        <w:gridCol w:w="3456"/>
        <w:gridCol w:w="4320"/>
      </w:tblGrid>
      <w:tr>
        <w:tc>
          <w:tcPr>
            <w:tcW w:type="dxa" w:w="4320"/>
            <w:shd w:val="clear" w:fill="EAF0F6"/>
          </w:tcPr>
          <w:p>
            <w:r/>
            <w:r>
              <w:rPr>
                <w:b/>
                <w:sz w:val="20"/>
              </w:rPr>
              <w:t>Reviewer name</w:t>
            </w:r>
          </w:p>
        </w:tc>
        <w:tc>
          <w:tcPr>
            <w:tcW w:type="dxa" w:w="4320"/>
          </w:tcPr>
          <w:p>
            <w:r/>
            <w:r>
              <w:rPr>
                <w:b w:val="0"/>
                <w:sz w:val="20"/>
              </w:rPr>
            </w:r>
          </w:p>
        </w:tc>
      </w:tr>
      <w:tr>
        <w:tc>
          <w:tcPr>
            <w:tcW w:type="dxa" w:w="4320"/>
            <w:shd w:val="clear" w:fill="EAF0F6"/>
          </w:tcPr>
          <w:p>
            <w:r/>
            <w:r>
              <w:rPr>
                <w:b/>
                <w:sz w:val="20"/>
              </w:rPr>
              <w:t>Role</w:t>
            </w:r>
          </w:p>
        </w:tc>
        <w:tc>
          <w:tcPr>
            <w:tcW w:type="dxa" w:w="4320"/>
          </w:tcPr>
          <w:p>
            <w:r/>
            <w:r>
              <w:rPr>
                <w:b w:val="0"/>
                <w:sz w:val="20"/>
              </w:rPr>
            </w:r>
          </w:p>
        </w:tc>
      </w:tr>
      <w:tr>
        <w:tc>
          <w:tcPr>
            <w:tcW w:type="dxa" w:w="4320"/>
            <w:shd w:val="clear" w:fill="EAF0F6"/>
          </w:tcPr>
          <w:p>
            <w:r/>
            <w:r>
              <w:rPr>
                <w:b/>
                <w:sz w:val="20"/>
              </w:rPr>
              <w:t>Decision upheld (Yes/No)</w:t>
            </w:r>
          </w:p>
        </w:tc>
        <w:tc>
          <w:tcPr>
            <w:tcW w:type="dxa" w:w="4320"/>
          </w:tcPr>
          <w:p>
            <w:r/>
            <w:r>
              <w:rPr>
                <w:b w:val="0"/>
                <w:sz w:val="20"/>
              </w:rPr>
            </w:r>
          </w:p>
        </w:tc>
      </w:tr>
      <w:tr>
        <w:tc>
          <w:tcPr>
            <w:tcW w:type="dxa" w:w="4320"/>
            <w:shd w:val="clear" w:fill="EAF0F6"/>
          </w:tcPr>
          <w:p>
            <w:r/>
            <w:r>
              <w:rPr>
                <w:b/>
                <w:sz w:val="20"/>
              </w:rPr>
              <w:t>Comments</w:t>
            </w:r>
          </w:p>
        </w:tc>
        <w:tc>
          <w:tcPr>
            <w:tcW w:type="dxa" w:w="4320"/>
          </w:tcPr>
          <w:p>
            <w:r/>
            <w:r>
              <w:rPr>
                <w:b w:val="0"/>
                <w:sz w:val="20"/>
              </w:rPr>
            </w:r>
          </w:p>
        </w:tc>
      </w:tr>
      <w:tr>
        <w:tc>
          <w:tcPr>
            <w:tcW w:type="dxa" w:w="4320"/>
            <w:shd w:val="clear" w:fill="EAF0F6"/>
          </w:tcPr>
          <w:p>
            <w:r/>
            <w:r>
              <w:rPr>
                <w:b/>
                <w:sz w:val="20"/>
              </w:rPr>
              <w:t>Signature</w:t>
            </w:r>
          </w:p>
        </w:tc>
        <w:tc>
          <w:tcPr>
            <w:tcW w:type="dxa" w:w="4320"/>
          </w:tcPr>
          <w:p>
            <w:r/>
            <w:r>
              <w:rPr>
                <w:b w:val="0"/>
                <w:sz w:val="20"/>
              </w:rPr>
            </w:r>
          </w:p>
        </w:tc>
      </w:tr>
      <w:tr>
        <w:tc>
          <w:tcPr>
            <w:tcW w:type="dxa" w:w="4320"/>
            <w:shd w:val="clear" w:fill="EAF0F6"/>
          </w:tcPr>
          <w:p>
            <w:r/>
            <w:r>
              <w:rPr>
                <w:b/>
                <w:sz w:val="20"/>
              </w:rPr>
              <w:t>Date</w:t>
            </w:r>
          </w:p>
        </w:tc>
        <w:tc>
          <w:tcPr>
            <w:tcW w:type="dxa" w:w="4320"/>
          </w:tcPr>
          <w:p>
            <w:r/>
            <w:r>
              <w:rPr>
                <w:b w:val="0"/>
                <w:sz w:val="20"/>
              </w:rPr>
            </w:r>
          </w:p>
        </w:tc>
      </w:tr>
    </w:tbl>
    <w:p/>
    <w:p>
      <w:r>
        <w:rPr>
          <w:i/>
          <w:color w:val="606060"/>
          <w:sz w:val="16"/>
        </w:rPr>
        <w:t>Disclaimer: This report is an automated compliance artefact produced by the Governance Gateway. Article and clause references are indicative and should be read against the governing legal texts. It does not constitute legal advice.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CONFIDENTIAL - INTERNAL GOVERNANCE RECORD   |   GOV-20260808-FC9FC8   |   Page </w:t>
    </w:r>
    <w:fldSimple w:instr="PAGE">
      <w:r>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