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Data Source: Amsterdam availability data scraped from AirBnB on December 24th. Question: What are the popular neighborhoods in Amsterdam?</w:t>
      </w:r>
    </w:p>
    <w:p w:rsidR="00000000" w:rsidDel="00000000" w:rsidP="00000000" w:rsidRDefault="00000000" w:rsidRPr="00000000">
      <w:pPr>
        <w:numPr>
          <w:ilvl w:val="1"/>
          <w:numId w:val="1"/>
        </w:numPr>
        <w:ind w:left="1440" w:hanging="360"/>
        <w:rPr>
          <w:sz w:val="24"/>
          <w:szCs w:val="24"/>
          <w:u w:val="none"/>
        </w:rPr>
      </w:pPr>
      <w:r w:rsidDel="00000000" w:rsidR="00000000" w:rsidRPr="00000000">
        <w:rPr>
          <w:sz w:val="24"/>
          <w:szCs w:val="24"/>
          <w:rtl w:val="0"/>
        </w:rPr>
        <w:t xml:space="preserve">The December 24th AirBnB data reflect the behavior of Amsterdam AirBnB hosts and guests during a major holiday. It would not be appropriate to generalize about the popularity of neighborhoods based on Christmastime rentals. There are several possibilities: hosts in certain neighborhoods may decide to remain home during the holiday to celebrate with local family members, while hosts in other neighborhoods, perhaps representing different demographic groups, may disproportionately leave town for vacation, leading to a spike in the availability of rentals. If Amsterdam has particular holiday-related attractions in certain parts of the city, like the Christmas markets that are common in Northern Europe, those areas might be unusually popular over Christmas.</w:t>
      </w:r>
    </w:p>
    <w:p w:rsidR="00000000" w:rsidDel="00000000" w:rsidP="00000000" w:rsidRDefault="00000000" w:rsidRPr="00000000">
      <w:pPr>
        <w:numPr>
          <w:ilvl w:val="1"/>
          <w:numId w:val="1"/>
        </w:numPr>
        <w:ind w:left="1440" w:hanging="360"/>
        <w:rPr>
          <w:sz w:val="24"/>
          <w:szCs w:val="24"/>
          <w:u w:val="none"/>
        </w:rPr>
      </w:pPr>
      <w:r w:rsidDel="00000000" w:rsidR="00000000" w:rsidRPr="00000000">
        <w:rPr>
          <w:sz w:val="24"/>
          <w:szCs w:val="24"/>
          <w:rtl w:val="0"/>
        </w:rPr>
        <w:t xml:space="preserve">The analysis should be adjusted, using a different dataset that avoids the exceptional circumstances of the holiday season.</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Data Source: Mental health services use on September 12, 2001 in San Francisco, CA and New York City, NY. Question: How do patterns of mental health service use vary between cities?</w:t>
      </w:r>
    </w:p>
    <w:p w:rsidR="00000000" w:rsidDel="00000000" w:rsidP="00000000" w:rsidRDefault="00000000" w:rsidRPr="00000000">
      <w:pPr>
        <w:numPr>
          <w:ilvl w:val="1"/>
          <w:numId w:val="1"/>
        </w:numPr>
        <w:ind w:left="1440" w:hanging="360"/>
        <w:rPr>
          <w:sz w:val="24"/>
          <w:szCs w:val="24"/>
          <w:u w:val="none"/>
        </w:rPr>
      </w:pPr>
      <w:r w:rsidDel="00000000" w:rsidR="00000000" w:rsidRPr="00000000">
        <w:rPr>
          <w:sz w:val="24"/>
          <w:szCs w:val="24"/>
          <w:rtl w:val="0"/>
        </w:rPr>
        <w:t xml:space="preserve">Mental health service use on September 12, 2001 provides information about how the sample group behaves during a crisis. Since New Yorkers directly experienced a catastrophic terrorist attack on September 11th, their behavior may differ from that of San Francisco residents, who, while affected, did not experience the crisis in their own city. It would be inappropriate to generalize about the two cities based on data from September 12, 2001.</w:t>
      </w:r>
    </w:p>
    <w:p w:rsidR="00000000" w:rsidDel="00000000" w:rsidP="00000000" w:rsidRDefault="00000000" w:rsidRPr="00000000">
      <w:pPr>
        <w:numPr>
          <w:ilvl w:val="1"/>
          <w:numId w:val="1"/>
        </w:numPr>
        <w:ind w:left="1440" w:hanging="360"/>
        <w:rPr>
          <w:sz w:val="24"/>
          <w:szCs w:val="24"/>
          <w:u w:val="none"/>
        </w:rPr>
      </w:pPr>
      <w:r w:rsidDel="00000000" w:rsidR="00000000" w:rsidRPr="00000000">
        <w:rPr>
          <w:sz w:val="24"/>
          <w:szCs w:val="24"/>
          <w:rtl w:val="0"/>
        </w:rPr>
        <w:t xml:space="preserve">This dataset could be used to answer a different question, e.g., How do patterns of mental health service use during a crisis differ between a population that directly experiences the crisis and a population that is far from the crisis? </w:t>
      </w:r>
    </w:p>
    <w:p w:rsidR="00000000" w:rsidDel="00000000" w:rsidP="00000000" w:rsidRDefault="00000000" w:rsidRPr="00000000">
      <w:pPr>
        <w:numPr>
          <w:ilvl w:val="1"/>
          <w:numId w:val="1"/>
        </w:numPr>
        <w:ind w:left="1440" w:hanging="360"/>
        <w:rPr>
          <w:sz w:val="24"/>
          <w:szCs w:val="24"/>
          <w:u w:val="none"/>
        </w:rPr>
      </w:pPr>
      <w:r w:rsidDel="00000000" w:rsidR="00000000" w:rsidRPr="00000000">
        <w:rPr>
          <w:sz w:val="24"/>
          <w:szCs w:val="24"/>
          <w:rtl w:val="0"/>
        </w:rPr>
        <w:t xml:space="preserve">Alternatively, the original question could be addressed using a dataset collected at a different time.</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Data Source: </w:t>
      </w:r>
      <w:hyperlink r:id="rId5">
        <w:r w:rsidDel="00000000" w:rsidR="00000000" w:rsidRPr="00000000">
          <w:rPr>
            <w:color w:val="1155cc"/>
            <w:sz w:val="24"/>
            <w:szCs w:val="24"/>
            <w:u w:val="single"/>
            <w:rtl w:val="0"/>
          </w:rPr>
          <w:t xml:space="preserve">Armenian Pub Survey</w:t>
        </w:r>
      </w:hyperlink>
      <w:r w:rsidDel="00000000" w:rsidR="00000000" w:rsidRPr="00000000">
        <w:rPr>
          <w:sz w:val="24"/>
          <w:szCs w:val="24"/>
          <w:rtl w:val="0"/>
        </w:rPr>
        <w:t xml:space="preserve">. Question: What are the most common reasons Armenians visit local pubs?</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The Armenian Pub Survey appeared to sample only college students, so it is biased toward students, who are typically younger and have different lifestyles, spending habits, and leisure time than working adults. The survey therefore does not reflect the behavior of Armenians in general. Furthermore, the survey appears to have been administered in English, so it is biased toward the subset of Armenians who understand English. </w:t>
      </w:r>
    </w:p>
    <w:p w:rsidR="00000000" w:rsidDel="00000000" w:rsidP="00000000" w:rsidRDefault="00000000" w:rsidRPr="00000000">
      <w:pPr>
        <w:numPr>
          <w:ilvl w:val="1"/>
          <w:numId w:val="1"/>
        </w:numPr>
        <w:ind w:left="1440" w:hanging="360"/>
        <w:rPr>
          <w:sz w:val="24"/>
          <w:szCs w:val="24"/>
          <w:u w:val="none"/>
        </w:rPr>
      </w:pPr>
      <w:r w:rsidDel="00000000" w:rsidR="00000000" w:rsidRPr="00000000">
        <w:rPr>
          <w:sz w:val="24"/>
          <w:szCs w:val="24"/>
          <w:rtl w:val="0"/>
        </w:rPr>
        <w:t xml:space="preserve">The question could be reframed: What are the most common reasons that  English-speaking college students in Armenia visit local pubs?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erikhambardzumyan/pubs" TargetMode="External"/></Relationships>
</file>