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B365D"/>
          <w:sz w:val="56"/>
          <w:szCs w:val="56"/>
        </w:rPr>
        <w:t xml:space="preserve">FuelSphere</w:t>
      </w:r>
    </w:p>
    <w:p>
      <w:pPr>
        <w:spacing w:after="400"/>
        <w:jc w:val="center"/>
      </w:pPr>
      <w:r>
        <w:rPr>
          <w:rFonts w:ascii="Arial" w:cs="Arial" w:eastAsia="Arial" w:hAnsi="Arial"/>
          <w:i/>
          <w:iCs/>
          <w:color w:val="666666"/>
          <w:sz w:val="28"/>
          <w:szCs w:val="28"/>
        </w:rPr>
        <w:t xml:space="preserve">Airline Fuel Lifecycle Management Solution</w:t>
      </w:r>
    </w:p>
    <w:p>
      <w:pPr>
        <w:spacing w:after="200"/>
        <w:jc w:val="center"/>
      </w:pPr>
      <w:r>
        <w:rPr>
          <w:rFonts w:ascii="Arial" w:cs="Arial" w:eastAsia="Arial" w:hAnsi="Arial"/>
          <w:b/>
          <w:bCs/>
          <w:color w:val="1B365D"/>
          <w:sz w:val="40"/>
          <w:szCs w:val="40"/>
        </w:rPr>
        <w:t xml:space="preserve">Invoice Verification Module</w:t>
      </w:r>
    </w:p>
    <w:p>
      <w:pPr>
        <w:spacing w:after="600"/>
        <w:jc w:val="center"/>
      </w:pPr>
      <w:r>
        <w:rPr>
          <w:rFonts w:ascii="Arial" w:cs="Arial" w:eastAsia="Arial" w:hAnsi="Arial"/>
          <w:color w:val="444444"/>
          <w:sz w:val="32"/>
          <w:szCs w:val="32"/>
        </w:rPr>
        <w:t xml:space="preserve">High-Level Design Document</w:t>
      </w:r>
    </w:p>
    <w:p>
      <w:pPr>
        <w:spacing w:after="100"/>
        <w:jc w:val="center"/>
      </w:pPr>
      <w:r>
        <w:rPr>
          <w:rFonts w:ascii="Arial" w:cs="Arial" w:eastAsia="Arial" w:hAnsi="Arial"/>
          <w:b/>
          <w:bCs/>
          <w:sz w:val="24"/>
          <w:szCs w:val="24"/>
        </w:rPr>
        <w:t xml:space="preserve">Document ID: FDD-06-HLD</w:t>
      </w:r>
    </w:p>
    <w:p>
      <w:pPr>
        <w:spacing w:after="400"/>
        <w:jc w:val="center"/>
      </w:pPr>
      <w:r>
        <w:rPr>
          <w:rFonts w:ascii="Arial" w:cs="Arial" w:eastAsia="Arial" w:hAnsi="Arial"/>
          <w:sz w:val="24"/>
          <w:szCs w:val="24"/>
        </w:rPr>
        <w:t xml:space="preserve">Version 1.0</w:t>
      </w:r>
    </w:p>
    <w:p>
      <w:pPr>
        <w:spacing w:after="100"/>
        <w:jc w:val="center"/>
      </w:pPr>
      <w:r>
        <w:rPr>
          <w:rFonts w:ascii="Arial" w:cs="Arial" w:eastAsia="Arial" w:hAnsi="Arial"/>
          <w:sz w:val="22"/>
          <w:szCs w:val="22"/>
        </w:rPr>
        <w:t xml:space="preserve">Prepared by: Diligent Global</w:t>
      </w:r>
    </w:p>
    <w:p>
      <w:r>
        <w:br w:type="page"/>
      </w:r>
    </w:p>
    <w:p>
      <w:pPr>
        <w:pStyle w:val="Heading1"/>
      </w:pPr>
      <w:r>
        <w:rPr>
          <w:rFonts w:ascii="Arial" w:cs="Arial" w:eastAsia="Arial" w:hAnsi="Arial"/>
        </w:rPr>
        <w:t xml:space="preserve">Table of Contents</w:t>
      </w:r>
    </w:p>
    <w:p>
      <w:pPr>
        <w:spacing w:after="200"/>
      </w:pPr>
      <w:r>
        <w:rPr>
          <w:rFonts w:ascii="Arial" w:cs="Arial" w:eastAsia="Arial" w:hAnsi="Arial"/>
          <w:i/>
          <w:iCs/>
          <w:color w:val="666666"/>
          <w:sz w:val="20"/>
          <w:szCs w:val="20"/>
        </w:rPr>
        <w:t xml:space="preserve">[Auto-generated Table of Contents]</w:t>
      </w:r>
    </w:p>
    <w:p>
      <w:r>
        <w:br w:type="page"/>
      </w:r>
    </w:p>
    <w:p>
      <w:pPr>
        <w:pStyle w:val="Heading1"/>
      </w:pPr>
      <w:r>
        <w:rPr>
          <w:rFonts w:ascii="Arial" w:cs="Arial" w:eastAsia="Arial" w:hAnsi="Arial"/>
        </w:rPr>
        <w:t xml:space="preserve">1. Document Semantics</w:t>
      </w:r>
    </w:p>
    <w:p>
      <w:pPr>
        <w:pStyle w:val="Heading2"/>
      </w:pPr>
      <w:r>
        <w:rPr>
          <w:rFonts w:ascii="Arial" w:cs="Arial" w:eastAsia="Arial" w:hAnsi="Arial"/>
        </w:rPr>
        <w:t xml:space="preserve">1.1. Document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FDD-06-HLD</w:t>
            </w:r>
          </w:p>
        </w:tc>
      </w:tr>
      <w:tr>
        <w:tc>
          <w:tcPr>
            <w:tcW w:type="dxa" w:w="3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b/>
                <w:bCs/>
                <w:sz w:val="20"/>
                <w:szCs w:val="20"/>
              </w:rPr>
              <w:t xml:space="preserve">Document Title</w:t>
            </w:r>
          </w:p>
        </w:tc>
        <w:tc>
          <w:tcPr>
            <w:tcW w:type="dxa" w:w="6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FuelSphere Invoice Verification Module - High-Level Design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b/>
                <w:bCs/>
                <w:sz w:val="20"/>
                <w:szCs w:val="20"/>
              </w:rPr>
              <w:t xml:space="preserve">Document Prepared by</w:t>
            </w:r>
          </w:p>
        </w:tc>
        <w:tc>
          <w:tcPr>
            <w:tcW w:type="dxa" w:w="6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[Author Name]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Business Process Owner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[Client Business Owner]</w:t>
            </w:r>
          </w:p>
        </w:tc>
      </w:tr>
      <w:tr>
        <w:tc>
          <w:tcPr>
            <w:tcW w:type="dxa" w:w="3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b/>
                <w:bCs/>
                <w:sz w:val="20"/>
                <w:szCs w:val="20"/>
              </w:rPr>
              <w:t xml:space="preserve">Responsible Team</w:t>
            </w:r>
          </w:p>
        </w:tc>
        <w:tc>
          <w:tcPr>
            <w:tcW w:type="dxa" w:w="6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Diligent Global - FuelSphere Development Team</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Reviewer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[Reviewer Name]</w:t>
            </w:r>
          </w:p>
        </w:tc>
      </w:tr>
      <w:tr>
        <w:tc>
          <w:tcPr>
            <w:tcW w:type="dxa" w:w="3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b/>
                <w:bCs/>
                <w:sz w:val="20"/>
                <w:szCs w:val="20"/>
              </w:rPr>
              <w:t xml:space="preserve">Approver</w:t>
            </w:r>
          </w:p>
        </w:tc>
        <w:tc>
          <w:tcPr>
            <w:tcW w:type="dxa" w:w="6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[Approver Name]</w:t>
            </w:r>
          </w:p>
        </w:tc>
      </w:tr>
    </w:tbl>
    <w:p>
      <w:pPr>
        <w:spacing w:after="300"/>
      </w:pPr>
    </w:p>
    <w:p>
      <w:pPr>
        <w:pStyle w:val="Heading2"/>
      </w:pPr>
      <w:r>
        <w:rPr>
          <w:rFonts w:ascii="Arial" w:cs="Arial" w:eastAsia="Arial" w:hAnsi="Arial"/>
        </w:rPr>
        <w:t xml:space="preserve">1.2. Amendment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860"/>
      </w:tblGrid>
      <w:tr>
        <w:tc>
          <w:tcPr>
            <w:tcW w:type="dxa" w:w="1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Revision No</w:t>
            </w:r>
          </w:p>
        </w:tc>
        <w:tc>
          <w:tcPr>
            <w:tcW w:type="dxa" w:w="18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Revision Date</w:t>
            </w:r>
          </w:p>
        </w:tc>
        <w:tc>
          <w:tcPr>
            <w:tcW w:type="dxa" w:w="2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Author(s)</w:t>
            </w:r>
          </w:p>
        </w:tc>
        <w:tc>
          <w:tcPr>
            <w:tcW w:type="dxa" w:w="38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Comments/Major Changes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Kalpesh Chavda</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Initial Release - Invoice Verification Module HLD</w:t>
            </w:r>
          </w:p>
        </w:tc>
      </w:tr>
    </w:tbl>
    <w:p>
      <w:pPr>
        <w:spacing w:after="300"/>
      </w:pPr>
    </w:p>
    <w:p>
      <w:pPr>
        <w:pStyle w:val="Heading2"/>
      </w:pPr>
      <w:r>
        <w:rPr>
          <w:rFonts w:ascii="Arial" w:cs="Arial" w:eastAsia="Arial" w:hAnsi="Arial"/>
        </w:rPr>
        <w:t xml:space="preserve">1.3. RACI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400"/>
        <w:gridCol w:w="960"/>
      </w:tblGrid>
      <w:tr>
        <w:tc>
          <w:tcPr>
            <w:tcW w:type="dxa" w:w="28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4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Solution Architect</w:t>
            </w:r>
          </w:p>
        </w:tc>
        <w:tc>
          <w:tcPr>
            <w:tcW w:type="dxa" w:w="14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Business Analyst</w:t>
            </w:r>
          </w:p>
        </w:tc>
        <w:tc>
          <w:tcPr>
            <w:tcW w:type="dxa" w:w="14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Finance Controller</w:t>
            </w:r>
          </w:p>
        </w:tc>
        <w:tc>
          <w:tcPr>
            <w:tcW w:type="dxa" w:w="14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Procurement Specialist</w:t>
            </w:r>
          </w:p>
        </w:tc>
        <w:tc>
          <w:tcPr>
            <w:tcW w:type="dxa" w:w="9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IT Ops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Invoice Verification Design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w:t>
            </w:r>
          </w:p>
        </w:tc>
      </w:tr>
      <w:tr>
        <w:tc>
          <w:tcPr>
            <w:tcW w:type="dxa" w:w="2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Three-Way Match Logic</w:t>
            </w:r>
          </w:p>
        </w:tc>
        <w:tc>
          <w:tcPr>
            <w:tcW w:type="dxa" w:w="14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C</w:t>
            </w:r>
          </w:p>
        </w:tc>
        <w:tc>
          <w:tcPr>
            <w:tcW w:type="dxa" w:w="14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R</w:t>
            </w:r>
          </w:p>
        </w:tc>
        <w:tc>
          <w:tcPr>
            <w:tcW w:type="dxa" w:w="14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A</w:t>
            </w:r>
          </w:p>
        </w:tc>
        <w:tc>
          <w:tcPr>
            <w:tcW w:type="dxa" w:w="14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C</w:t>
            </w:r>
          </w:p>
        </w:tc>
        <w:tc>
          <w:tcPr>
            <w:tcW w:type="dxa" w:w="9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Variance Handling Rules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w:t>
            </w:r>
          </w:p>
        </w:tc>
      </w:tr>
      <w:tr>
        <w:tc>
          <w:tcPr>
            <w:tcW w:type="dxa" w:w="2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Approval Workflow Design</w:t>
            </w:r>
          </w:p>
        </w:tc>
        <w:tc>
          <w:tcPr>
            <w:tcW w:type="dxa" w:w="14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R</w:t>
            </w:r>
          </w:p>
        </w:tc>
        <w:tc>
          <w:tcPr>
            <w:tcW w:type="dxa" w:w="14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C</w:t>
            </w:r>
          </w:p>
        </w:tc>
        <w:tc>
          <w:tcPr>
            <w:tcW w:type="dxa" w:w="14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A</w:t>
            </w:r>
          </w:p>
        </w:tc>
        <w:tc>
          <w:tcPr>
            <w:tcW w:type="dxa" w:w="14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w:t>
            </w:r>
          </w:p>
        </w:tc>
        <w:tc>
          <w:tcPr>
            <w:tcW w:type="dxa" w:w="9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S/4HANA FI Integration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w:t>
            </w:r>
          </w:p>
        </w:tc>
      </w:tr>
      <w:tr>
        <w:tc>
          <w:tcPr>
            <w:tcW w:type="dxa" w:w="2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Exception Management</w:t>
            </w:r>
          </w:p>
        </w:tc>
        <w:tc>
          <w:tcPr>
            <w:tcW w:type="dxa" w:w="14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C</w:t>
            </w:r>
          </w:p>
        </w:tc>
        <w:tc>
          <w:tcPr>
            <w:tcW w:type="dxa" w:w="14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R</w:t>
            </w:r>
          </w:p>
        </w:tc>
        <w:tc>
          <w:tcPr>
            <w:tcW w:type="dxa" w:w="14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A</w:t>
            </w:r>
          </w:p>
        </w:tc>
        <w:tc>
          <w:tcPr>
            <w:tcW w:type="dxa" w:w="14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C</w:t>
            </w:r>
          </w:p>
        </w:tc>
        <w:tc>
          <w:tcPr>
            <w:tcW w:type="dxa" w:w="9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GR/IR Clearing Design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w:t>
            </w:r>
          </w:p>
        </w:tc>
      </w:tr>
    </w:tbl>
    <w:p>
      <w:pPr>
        <w:spacing w:before="200" w:after="300"/>
      </w:pPr>
      <w:r>
        <w:rPr>
          <w:rFonts w:ascii="Arial" w:cs="Arial" w:eastAsia="Arial" w:hAnsi="Arial"/>
          <w:i/>
          <w:iCs/>
          <w:sz w:val="18"/>
          <w:szCs w:val="18"/>
        </w:rPr>
        <w:t xml:space="preserve">Legend: R = Responsible, A = Accountable, C = Consulted, I = Informed</w:t>
      </w:r>
    </w:p>
    <w:p>
      <w:r>
        <w:br w:type="page"/>
      </w:r>
    </w:p>
    <w:p>
      <w:pPr>
        <w:pStyle w:val="Heading1"/>
      </w:pPr>
      <w:r>
        <w:rPr>
          <w:rFonts w:ascii="Arial" w:cs="Arial" w:eastAsia="Arial" w:hAnsi="Arial"/>
        </w:rPr>
        <w:t xml:space="preserve">2. Functional Specification Review</w:t>
      </w:r>
    </w:p>
    <w:p>
      <w:pPr>
        <w:spacing w:after="100"/>
      </w:pPr>
      <w:r>
        <w:rPr>
          <w:rFonts w:ascii="Arial" w:cs="Arial" w:eastAsia="Arial" w:hAnsi="Arial"/>
          <w:b/>
          <w:bCs/>
          <w:sz w:val="22"/>
          <w:szCs w:val="22"/>
        </w:rPr>
        <w:t xml:space="preserve">Scope: </w:t>
      </w:r>
      <w:r>
        <w:rPr>
          <w:rFonts w:ascii="Arial" w:cs="Arial" w:eastAsia="Arial" w:hAnsi="Arial"/>
          <w:sz w:val="22"/>
          <w:szCs w:val="22"/>
        </w:rPr>
        <w:t xml:space="preserve">FuelSphere Release 1.0</w:t>
      </w:r>
    </w:p>
    <w:p>
      <w:pPr>
        <w:spacing w:after="200"/>
      </w:pPr>
      <w:r>
        <w:rPr>
          <w:rFonts w:ascii="Arial" w:cs="Arial" w:eastAsia="Arial" w:hAnsi="Arial"/>
          <w:b/>
          <w:bCs/>
          <w:sz w:val="22"/>
          <w:szCs w:val="22"/>
        </w:rPr>
        <w:t xml:space="preserve">Module: </w:t>
      </w:r>
      <w:r>
        <w:rPr>
          <w:rFonts w:ascii="Arial" w:cs="Arial" w:eastAsia="Arial" w:hAnsi="Arial"/>
          <w:sz w:val="22"/>
          <w:szCs w:val="22"/>
        </w:rPr>
        <w:t xml:space="preserve">Invoice Verification (FDD-06)</w:t>
      </w:r>
    </w:p>
    <w:p>
      <w:pPr>
        <w:pStyle w:val="Heading2"/>
      </w:pPr>
      <w:r>
        <w:rPr>
          <w:rFonts w:ascii="Arial" w:cs="Arial" w:eastAsia="Arial" w:hAnsi="Arial"/>
        </w:rPr>
        <w:t xml:space="preserve">2.1. Overview</w:t>
      </w:r>
    </w:p>
    <w:p>
      <w:pPr>
        <w:spacing w:after="200"/>
      </w:pPr>
      <w:r>
        <w:rPr>
          <w:rFonts w:ascii="Arial" w:cs="Arial" w:eastAsia="Arial" w:hAnsi="Arial"/>
          <w:sz w:val="22"/>
          <w:szCs w:val="22"/>
        </w:rPr>
        <w:t xml:space="preserve">The Invoice Verification module is the financial control hub of FuelSphere, ensuring that supplier invoices are accurately matched against purchase orders and electronic proof of delivery (ePOD) records before payment processing. This module implements industry-standard three-way matching while accommodating the unique operational patterns of aviation fuel procurement.</w:t>
      </w:r>
    </w:p>
    <w:p>
      <w:pPr>
        <w:spacing w:after="200"/>
      </w:pPr>
      <w:r>
        <w:rPr>
          <w:rFonts w:ascii="Arial" w:cs="Arial" w:eastAsia="Arial" w:hAnsi="Arial"/>
          <w:b/>
          <w:bCs/>
          <w:sz w:val="22"/>
          <w:szCs w:val="22"/>
        </w:rPr>
        <w:t xml:space="preserve">Key Capabilities:</w:t>
      </w:r>
    </w:p>
    <w:p>
      <w:pPr>
        <w:pStyle w:val="ListParagraph"/>
        <w:numPr>
          <w:ilvl w:val="0"/>
          <w:numId w:val="2"/>
        </w:numPr>
      </w:pPr>
      <w:r>
        <w:rPr>
          <w:rFonts w:ascii="Arial" w:cs="Arial" w:eastAsia="Arial" w:hAnsi="Arial"/>
          <w:sz w:val="22"/>
          <w:szCs w:val="22"/>
        </w:rPr>
        <w:t xml:space="preserve">Three-way matching: PO ↔ ePOD (GR) ↔ Invoice with configurable tolerances</w:t>
      </w:r>
    </w:p>
    <w:p>
      <w:pPr>
        <w:pStyle w:val="ListParagraph"/>
        <w:numPr>
          <w:ilvl w:val="0"/>
          <w:numId w:val="2"/>
        </w:numPr>
      </w:pPr>
      <w:r>
        <w:rPr>
          <w:rFonts w:ascii="Arial" w:cs="Arial" w:eastAsia="Arial" w:hAnsi="Arial"/>
          <w:sz w:val="22"/>
          <w:szCs w:val="22"/>
        </w:rPr>
        <w:t xml:space="preserve">Variance detection for price, quantity, and date discrepancies</w:t>
      </w:r>
    </w:p>
    <w:p>
      <w:pPr>
        <w:pStyle w:val="ListParagraph"/>
        <w:numPr>
          <w:ilvl w:val="0"/>
          <w:numId w:val="2"/>
        </w:numPr>
      </w:pPr>
      <w:r>
        <w:rPr>
          <w:rFonts w:ascii="Arial" w:cs="Arial" w:eastAsia="Arial" w:hAnsi="Arial"/>
          <w:sz w:val="22"/>
          <w:szCs w:val="22"/>
        </w:rPr>
        <w:t xml:space="preserve">Dual approval workflow for invoices exceeding tolerance thresholds</w:t>
      </w:r>
    </w:p>
    <w:p>
      <w:pPr>
        <w:pStyle w:val="ListParagraph"/>
        <w:numPr>
          <w:ilvl w:val="0"/>
          <w:numId w:val="2"/>
        </w:numPr>
      </w:pPr>
      <w:r>
        <w:rPr>
          <w:rFonts w:ascii="Arial" w:cs="Arial" w:eastAsia="Arial" w:hAnsi="Arial"/>
          <w:sz w:val="22"/>
          <w:szCs w:val="22"/>
        </w:rPr>
        <w:t xml:space="preserve">Duplicate invoice detection and prevention</w:t>
      </w:r>
    </w:p>
    <w:p>
      <w:pPr>
        <w:pStyle w:val="ListParagraph"/>
        <w:numPr>
          <w:ilvl w:val="0"/>
          <w:numId w:val="2"/>
        </w:numPr>
      </w:pPr>
      <w:r>
        <w:rPr>
          <w:rFonts w:ascii="Arial" w:cs="Arial" w:eastAsia="Arial" w:hAnsi="Arial"/>
          <w:sz w:val="22"/>
          <w:szCs w:val="22"/>
        </w:rPr>
        <w:t xml:space="preserve">Automatic posting to S/4HANA FI upon approval</w:t>
      </w:r>
    </w:p>
    <w:p>
      <w:pPr>
        <w:pStyle w:val="ListParagraph"/>
        <w:numPr>
          <w:ilvl w:val="0"/>
          <w:numId w:val="2"/>
        </w:numPr>
      </w:pPr>
      <w:r>
        <w:rPr>
          <w:rFonts w:ascii="Arial" w:cs="Arial" w:eastAsia="Arial" w:hAnsi="Arial"/>
          <w:sz w:val="22"/>
          <w:szCs w:val="22"/>
        </w:rPr>
        <w:t xml:space="preserve">GR/IR clearing and reconciliation support</w:t>
      </w:r>
    </w:p>
    <w:p>
      <w:pPr>
        <w:pStyle w:val="ListParagraph"/>
        <w:numPr>
          <w:ilvl w:val="0"/>
          <w:numId w:val="2"/>
        </w:numPr>
        <w:spacing w:after="200"/>
      </w:pPr>
      <w:r>
        <w:rPr>
          <w:rFonts w:ascii="Arial" w:cs="Arial" w:eastAsia="Arial" w:hAnsi="Arial"/>
          <w:sz w:val="22"/>
          <w:szCs w:val="22"/>
        </w:rPr>
        <w:t xml:space="preserve">Exception management with audit trail</w:t>
      </w:r>
    </w:p>
    <w:p>
      <w:pPr>
        <w:pStyle w:val="Heading2"/>
      </w:pPr>
      <w:r>
        <w:rPr>
          <w:rFonts w:ascii="Arial" w:cs="Arial" w:eastAsia="Arial" w:hAnsi="Arial"/>
        </w:rPr>
        <w:t xml:space="preserve">2.2. Business Owners and Key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3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Department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Business Process Owner</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Overall accountability for Invoice Verification processes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Finance</w:t>
            </w:r>
          </w:p>
        </w:tc>
      </w:tr>
      <w:tr>
        <w:tc>
          <w:tcPr>
            <w:tcW w:type="dxa" w:w="2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Finance Controller</w:t>
            </w:r>
          </w:p>
        </w:tc>
        <w:tc>
          <w:tcPr>
            <w:tcW w:type="dxa" w:w="4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Invoice verification, approval, exception resolution</w:t>
            </w:r>
          </w:p>
        </w:tc>
        <w:tc>
          <w:tcPr>
            <w:tcW w:type="dxa" w:w="2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Finance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AP Clerk</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Day-to-day invoice entry, matching, reconciliation</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Finance</w:t>
            </w:r>
          </w:p>
        </w:tc>
      </w:tr>
      <w:tr>
        <w:tc>
          <w:tcPr>
            <w:tcW w:type="dxa" w:w="2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Finance Manager</w:t>
            </w:r>
          </w:p>
        </w:tc>
        <w:tc>
          <w:tcPr>
            <w:tcW w:type="dxa" w:w="4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Approval workflow oversight, exception escalation</w:t>
            </w:r>
          </w:p>
        </w:tc>
        <w:tc>
          <w:tcPr>
            <w:tcW w:type="dxa" w:w="2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Finance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Procurement Specialist</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PO discrepancy resolution, supplier communication</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Procurement</w:t>
            </w:r>
          </w:p>
        </w:tc>
      </w:tr>
      <w:tr>
        <w:tc>
          <w:tcPr>
            <w:tcW w:type="dxa" w:w="2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Station Coordinator</w:t>
            </w:r>
          </w:p>
        </w:tc>
        <w:tc>
          <w:tcPr>
            <w:tcW w:type="dxa" w:w="4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ePOD verification, delivery discrepancy clarification</w:t>
            </w:r>
          </w:p>
        </w:tc>
        <w:tc>
          <w:tcPr>
            <w:tcW w:type="dxa" w:w="2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Operations</w:t>
            </w:r>
          </w:p>
        </w:tc>
      </w:tr>
    </w:tbl>
    <w:p>
      <w:pPr>
        <w:spacing w:after="300"/>
      </w:pPr>
    </w:p>
    <w:p>
      <w:pPr>
        <w:pStyle w:val="Heading2"/>
      </w:pPr>
      <w:r>
        <w:rPr>
          <w:rFonts w:ascii="Arial" w:cs="Arial" w:eastAsia="Arial" w:hAnsi="Arial"/>
        </w:rPr>
        <w:t xml:space="preserve">2.3. Solution Approach</w:t>
      </w:r>
    </w:p>
    <w:p>
      <w:pPr>
        <w:spacing w:after="200"/>
      </w:pPr>
      <w:r>
        <w:rPr>
          <w:rFonts w:ascii="Arial" w:cs="Arial" w:eastAsia="Arial" w:hAnsi="Arial"/>
          <w:sz w:val="22"/>
          <w:szCs w:val="22"/>
        </w:rPr>
        <w:t xml:space="preserve">FuelSphere implements a comprehensive invoice verification workflow that integrates with the ePOD-triggered PO/GR creation pattern established in FDD-05. This ensures that invoices are matched against actual delivery data captured at the point of fuel uplift.</w:t>
      </w:r>
    </w:p>
    <w:p>
      <w:pPr>
        <w:spacing w:after="200"/>
      </w:pPr>
      <w:r>
        <w:rPr>
          <w:rFonts w:ascii="Arial" w:cs="Arial" w:eastAsia="Arial" w:hAnsi="Arial"/>
          <w:b/>
          <w:bCs/>
          <w:sz w:val="22"/>
          <w:szCs w:val="22"/>
        </w:rPr>
        <w:t xml:space="preserve">Three-Way Match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8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Key Data Points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Purchase Order (PO)</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S/4HANA (created from ePOD)</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Ordered quantity, unit price, vendor, plant</w:t>
            </w:r>
          </w:p>
        </w:tc>
      </w:tr>
      <w:tr>
        <w:tc>
          <w:tcPr>
            <w:tcW w:type="dxa" w:w="2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Goods Receipt (GR)</w:t>
            </w:r>
          </w:p>
        </w:tc>
        <w:tc>
          <w:tcPr>
            <w:tcW w:type="dxa" w:w="3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S/4HANA (posted from ePOD)</w:t>
            </w:r>
          </w:p>
        </w:tc>
        <w:tc>
          <w:tcPr>
            <w:tcW w:type="dxa" w:w="38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Received quantity, delivery date, movement type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Invoice</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Supplier (entered in FuelSphere)</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Invoice quantity, unit price, invoice date, tax</w:t>
            </w:r>
          </w:p>
        </w:tc>
      </w:tr>
    </w:tbl>
    <w:p>
      <w:pPr>
        <w:spacing w:after="300"/>
      </w:pPr>
    </w:p>
    <w:p>
      <w:pPr>
        <w:pStyle w:val="Heading2"/>
      </w:pPr>
      <w:r>
        <w:rPr>
          <w:rFonts w:ascii="Arial" w:cs="Arial" w:eastAsia="Arial" w:hAnsi="Arial"/>
        </w:rPr>
        <w:t xml:space="preserve">2.4. Scope Description</w:t>
      </w:r>
    </w:p>
    <w:p>
      <w:pPr>
        <w:spacing w:after="100"/>
      </w:pPr>
      <w:r>
        <w:rPr>
          <w:rFonts w:ascii="Arial" w:cs="Arial" w:eastAsia="Arial" w:hAnsi="Arial"/>
          <w:b/>
          <w:bCs/>
          <w:sz w:val="22"/>
          <w:szCs w:val="22"/>
        </w:rPr>
        <w:t xml:space="preserve">In Scope:</w:t>
      </w:r>
    </w:p>
    <w:p>
      <w:pPr>
        <w:pStyle w:val="ListParagraph"/>
        <w:numPr>
          <w:ilvl w:val="0"/>
          <w:numId w:val="2"/>
        </w:numPr>
      </w:pPr>
      <w:r>
        <w:rPr>
          <w:rFonts w:ascii="Arial" w:cs="Arial" w:eastAsia="Arial" w:hAnsi="Arial"/>
          <w:sz w:val="22"/>
          <w:szCs w:val="22"/>
        </w:rPr>
        <w:t xml:space="preserve">Invoice entry via manual input and supplier portal upload</w:t>
      </w:r>
    </w:p>
    <w:p>
      <w:pPr>
        <w:pStyle w:val="ListParagraph"/>
        <w:numPr>
          <w:ilvl w:val="0"/>
          <w:numId w:val="2"/>
        </w:numPr>
      </w:pPr>
      <w:r>
        <w:rPr>
          <w:rFonts w:ascii="Arial" w:cs="Arial" w:eastAsia="Arial" w:hAnsi="Arial"/>
          <w:sz w:val="22"/>
          <w:szCs w:val="22"/>
        </w:rPr>
        <w:t xml:space="preserve">Three-way matching engine with configurable tolerance rules</w:t>
      </w:r>
    </w:p>
    <w:p>
      <w:pPr>
        <w:pStyle w:val="ListParagraph"/>
        <w:numPr>
          <w:ilvl w:val="0"/>
          <w:numId w:val="2"/>
        </w:numPr>
      </w:pPr>
      <w:r>
        <w:rPr>
          <w:rFonts w:ascii="Arial" w:cs="Arial" w:eastAsia="Arial" w:hAnsi="Arial"/>
          <w:sz w:val="22"/>
          <w:szCs w:val="22"/>
        </w:rPr>
        <w:t xml:space="preserve">Price variance detection and threshold-based blocking</w:t>
      </w:r>
    </w:p>
    <w:p>
      <w:pPr>
        <w:pStyle w:val="ListParagraph"/>
        <w:numPr>
          <w:ilvl w:val="0"/>
          <w:numId w:val="2"/>
        </w:numPr>
      </w:pPr>
      <w:r>
        <w:rPr>
          <w:rFonts w:ascii="Arial" w:cs="Arial" w:eastAsia="Arial" w:hAnsi="Arial"/>
          <w:sz w:val="22"/>
          <w:szCs w:val="22"/>
        </w:rPr>
        <w:t xml:space="preserve">Quantity variance detection and threshold-based blocking</w:t>
      </w:r>
    </w:p>
    <w:p>
      <w:pPr>
        <w:pStyle w:val="ListParagraph"/>
        <w:numPr>
          <w:ilvl w:val="0"/>
          <w:numId w:val="2"/>
        </w:numPr>
      </w:pPr>
      <w:r>
        <w:rPr>
          <w:rFonts w:ascii="Arial" w:cs="Arial" w:eastAsia="Arial" w:hAnsi="Arial"/>
          <w:sz w:val="22"/>
          <w:szCs w:val="22"/>
        </w:rPr>
        <w:t xml:space="preserve">Duplicate invoice detection (supplier + invoice number + date)</w:t>
      </w:r>
    </w:p>
    <w:p>
      <w:pPr>
        <w:pStyle w:val="ListParagraph"/>
        <w:numPr>
          <w:ilvl w:val="0"/>
          <w:numId w:val="2"/>
        </w:numPr>
      </w:pPr>
      <w:r>
        <w:rPr>
          <w:rFonts w:ascii="Arial" w:cs="Arial" w:eastAsia="Arial" w:hAnsi="Arial"/>
          <w:sz w:val="22"/>
          <w:szCs w:val="22"/>
        </w:rPr>
        <w:t xml:space="preserve">Approval workflow with dual approval for exceptions</w:t>
      </w:r>
    </w:p>
    <w:p>
      <w:pPr>
        <w:pStyle w:val="ListParagraph"/>
        <w:numPr>
          <w:ilvl w:val="0"/>
          <w:numId w:val="2"/>
        </w:numPr>
      </w:pPr>
      <w:r>
        <w:rPr>
          <w:rFonts w:ascii="Arial" w:cs="Arial" w:eastAsia="Arial" w:hAnsi="Arial"/>
          <w:sz w:val="22"/>
          <w:szCs w:val="22"/>
        </w:rPr>
        <w:t xml:space="preserve">Automatic posting to S/4HANA FI upon final approval</w:t>
      </w:r>
    </w:p>
    <w:p>
      <w:pPr>
        <w:pStyle w:val="ListParagraph"/>
        <w:numPr>
          <w:ilvl w:val="0"/>
          <w:numId w:val="2"/>
        </w:numPr>
      </w:pPr>
      <w:r>
        <w:rPr>
          <w:rFonts w:ascii="Arial" w:cs="Arial" w:eastAsia="Arial" w:hAnsi="Arial"/>
          <w:sz w:val="22"/>
          <w:szCs w:val="22"/>
        </w:rPr>
        <w:t xml:space="preserve">GR/IR clearing and account reconciliation</w:t>
      </w:r>
    </w:p>
    <w:p>
      <w:pPr>
        <w:pStyle w:val="ListParagraph"/>
        <w:numPr>
          <w:ilvl w:val="0"/>
          <w:numId w:val="2"/>
        </w:numPr>
        <w:spacing w:after="200"/>
      </w:pPr>
      <w:r>
        <w:rPr>
          <w:rFonts w:ascii="Arial" w:cs="Arial" w:eastAsia="Arial" w:hAnsi="Arial"/>
          <w:sz w:val="22"/>
          <w:szCs w:val="22"/>
        </w:rPr>
        <w:t xml:space="preserve">Exception queue management and resolution tracking</w:t>
      </w:r>
    </w:p>
    <w:p>
      <w:pPr>
        <w:spacing w:after="100"/>
      </w:pPr>
      <w:r>
        <w:rPr>
          <w:rFonts w:ascii="Arial" w:cs="Arial" w:eastAsia="Arial" w:hAnsi="Arial"/>
          <w:b/>
          <w:bCs/>
          <w:sz w:val="22"/>
          <w:szCs w:val="22"/>
        </w:rPr>
        <w:t xml:space="preserve">Out of Scope (Release 1.0):</w:t>
      </w:r>
    </w:p>
    <w:p>
      <w:pPr>
        <w:pStyle w:val="ListParagraph"/>
        <w:numPr>
          <w:ilvl w:val="0"/>
          <w:numId w:val="2"/>
        </w:numPr>
      </w:pPr>
      <w:r>
        <w:rPr>
          <w:rFonts w:ascii="Arial" w:cs="Arial" w:eastAsia="Arial" w:hAnsi="Arial"/>
          <w:sz w:val="22"/>
          <w:szCs w:val="22"/>
        </w:rPr>
        <w:t xml:space="preserve">OCR-based invoice scanning and data extraction</w:t>
      </w:r>
    </w:p>
    <w:p>
      <w:pPr>
        <w:pStyle w:val="ListParagraph"/>
        <w:numPr>
          <w:ilvl w:val="0"/>
          <w:numId w:val="2"/>
        </w:numPr>
      </w:pPr>
      <w:r>
        <w:rPr>
          <w:rFonts w:ascii="Arial" w:cs="Arial" w:eastAsia="Arial" w:hAnsi="Arial"/>
          <w:sz w:val="22"/>
          <w:szCs w:val="22"/>
        </w:rPr>
        <w:t xml:space="preserve">EDI/EDIFACT invoice integration</w:t>
      </w:r>
    </w:p>
    <w:p>
      <w:pPr>
        <w:pStyle w:val="ListParagraph"/>
        <w:numPr>
          <w:ilvl w:val="0"/>
          <w:numId w:val="2"/>
        </w:numPr>
      </w:pPr>
      <w:r>
        <w:rPr>
          <w:rFonts w:ascii="Arial" w:cs="Arial" w:eastAsia="Arial" w:hAnsi="Arial"/>
          <w:sz w:val="22"/>
          <w:szCs w:val="22"/>
        </w:rPr>
        <w:t xml:space="preserve">Automated payment execution (handled by S/4HANA F110)</w:t>
      </w:r>
    </w:p>
    <w:p>
      <w:pPr>
        <w:pStyle w:val="ListParagraph"/>
        <w:numPr>
          <w:ilvl w:val="0"/>
          <w:numId w:val="2"/>
        </w:numPr>
        <w:spacing w:after="200"/>
      </w:pPr>
      <w:r>
        <w:rPr>
          <w:rFonts w:ascii="Arial" w:cs="Arial" w:eastAsia="Arial" w:hAnsi="Arial"/>
          <w:sz w:val="22"/>
          <w:szCs w:val="22"/>
        </w:rPr>
        <w:t xml:space="preserve">Self-billing / evaluated receipt settlement</w:t>
      </w:r>
    </w:p>
    <w:p>
      <w:pPr>
        <w:pStyle w:val="Heading2"/>
      </w:pPr>
      <w:r>
        <w:rPr>
          <w:rFonts w:ascii="Arial" w:cs="Arial" w:eastAsia="Arial" w:hAnsi="Arial"/>
        </w:rPr>
        <w:t xml:space="preserve">2.5. Business Units Impacted</w:t>
      </w:r>
    </w:p>
    <w:p>
      <w:pPr>
        <w:pStyle w:val="ListParagraph"/>
        <w:numPr>
          <w:ilvl w:val="0"/>
          <w:numId w:val="2"/>
        </w:numPr>
      </w:pPr>
      <w:r>
        <w:rPr>
          <w:rFonts w:ascii="Arial" w:cs="Arial" w:eastAsia="Arial" w:hAnsi="Arial"/>
          <w:sz w:val="22"/>
          <w:szCs w:val="22"/>
        </w:rPr>
        <w:t xml:space="preserve">Finance/AP - Primary users for invoice verification and approval</w:t>
      </w:r>
    </w:p>
    <w:p>
      <w:pPr>
        <w:pStyle w:val="ListParagraph"/>
        <w:numPr>
          <w:ilvl w:val="0"/>
          <w:numId w:val="2"/>
        </w:numPr>
      </w:pPr>
      <w:r>
        <w:rPr>
          <w:rFonts w:ascii="Arial" w:cs="Arial" w:eastAsia="Arial" w:hAnsi="Arial"/>
          <w:sz w:val="22"/>
          <w:szCs w:val="22"/>
        </w:rPr>
        <w:t xml:space="preserve">Procurement - PO discrepancy resolution, supplier liaison</w:t>
      </w:r>
    </w:p>
    <w:p>
      <w:pPr>
        <w:pStyle w:val="ListParagraph"/>
        <w:numPr>
          <w:ilvl w:val="0"/>
          <w:numId w:val="2"/>
        </w:numPr>
      </w:pPr>
      <w:r>
        <w:rPr>
          <w:rFonts w:ascii="Arial" w:cs="Arial" w:eastAsia="Arial" w:hAnsi="Arial"/>
          <w:sz w:val="22"/>
          <w:szCs w:val="22"/>
        </w:rPr>
        <w:t xml:space="preserve">Ground Operations - ePOD/delivery clarification for variances</w:t>
      </w:r>
    </w:p>
    <w:p>
      <w:pPr>
        <w:pStyle w:val="ListParagraph"/>
        <w:numPr>
          <w:ilvl w:val="0"/>
          <w:numId w:val="2"/>
        </w:numPr>
      </w:pPr>
      <w:r>
        <w:rPr>
          <w:rFonts w:ascii="Arial" w:cs="Arial" w:eastAsia="Arial" w:hAnsi="Arial"/>
          <w:sz w:val="22"/>
          <w:szCs w:val="22"/>
        </w:rPr>
        <w:t xml:space="preserve">Treasury - Payment forecast from approved invoices</w:t>
      </w:r>
    </w:p>
    <w:p>
      <w:pPr>
        <w:pStyle w:val="ListParagraph"/>
        <w:numPr>
          <w:ilvl w:val="0"/>
          <w:numId w:val="2"/>
        </w:numPr>
        <w:spacing w:after="200"/>
      </w:pPr>
      <w:r>
        <w:rPr>
          <w:rFonts w:ascii="Arial" w:cs="Arial" w:eastAsia="Arial" w:hAnsi="Arial"/>
          <w:sz w:val="22"/>
          <w:szCs w:val="22"/>
        </w:rPr>
        <w:t xml:space="preserve">Internal Audit - Compliance monitoring, SOX controls</w:t>
      </w:r>
    </w:p>
    <w:p>
      <w:pPr>
        <w:pStyle w:val="Heading2"/>
      </w:pPr>
      <w:r>
        <w:rPr>
          <w:rFonts w:ascii="Arial" w:cs="Arial" w:eastAsia="Arial" w:hAnsi="Arial"/>
        </w:rPr>
        <w:t xml:space="preserve">2.6. Data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000"/>
        <w:gridCol w:w="1660"/>
      </w:tblGrid>
      <w:tr>
        <w:tc>
          <w:tcPr>
            <w:tcW w:type="dxa" w:w="2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Entity Name</w:t>
            </w:r>
          </w:p>
        </w:tc>
        <w:tc>
          <w:tcPr>
            <w:tcW w:type="dxa" w:w="3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6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Volume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Invoices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Supplier invoice header with amounts and status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FuelSphere + S/4</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~50K/yr</w:t>
            </w:r>
          </w:p>
        </w:tc>
      </w:tr>
      <w:tr>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b/>
                <w:bCs/>
                <w:sz w:val="20"/>
                <w:szCs w:val="20"/>
              </w:rPr>
              <w:t xml:space="preserve">InvoiceItems</w:t>
            </w:r>
          </w:p>
        </w:tc>
        <w:tc>
          <w:tcPr>
            <w:tcW w:type="dxa" w:w="3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Invoice line items with product and quantity</w:t>
            </w:r>
          </w:p>
        </w:tc>
        <w:tc>
          <w:tcPr>
            <w:tcW w:type="dxa" w:w="2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FuelSphere</w:t>
            </w:r>
          </w:p>
        </w:tc>
        <w:tc>
          <w:tcPr>
            <w:tcW w:type="dxa" w:w="16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~200K/yr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InvoiceMatches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Three-way match results linking PO, GR, Invoice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FuelSphere</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~200K/yr</w:t>
            </w:r>
          </w:p>
        </w:tc>
      </w:tr>
      <w:tr>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b/>
                <w:bCs/>
                <w:sz w:val="20"/>
                <w:szCs w:val="20"/>
              </w:rPr>
              <w:t xml:space="preserve">InvoiceApprovals</w:t>
            </w:r>
          </w:p>
        </w:tc>
        <w:tc>
          <w:tcPr>
            <w:tcW w:type="dxa" w:w="3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Approval workflow history and decisions</w:t>
            </w:r>
          </w:p>
        </w:tc>
        <w:tc>
          <w:tcPr>
            <w:tcW w:type="dxa" w:w="2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FuelSphere</w:t>
            </w:r>
          </w:p>
        </w:tc>
        <w:tc>
          <w:tcPr>
            <w:tcW w:type="dxa" w:w="16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~60K/yr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ToleranceRules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Configurable variance tolerance definitions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FuelSphere</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r>
      <w:tr>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b/>
                <w:bCs/>
                <w:sz w:val="20"/>
                <w:szCs w:val="20"/>
              </w:rPr>
              <w:t xml:space="preserve">FIDocuments</w:t>
            </w:r>
          </w:p>
        </w:tc>
        <w:tc>
          <w:tcPr>
            <w:tcW w:type="dxa" w:w="3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S/4HANA FI document references</w:t>
            </w:r>
          </w:p>
        </w:tc>
        <w:tc>
          <w:tcPr>
            <w:tcW w:type="dxa" w:w="2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S/4HANA</w:t>
            </w:r>
          </w:p>
        </w:tc>
        <w:tc>
          <w:tcPr>
            <w:tcW w:type="dxa" w:w="16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~50K/yr</w:t>
            </w:r>
          </w:p>
        </w:tc>
      </w:tr>
    </w:tbl>
    <w:p>
      <w:pPr>
        <w:spacing w:after="300"/>
      </w:pPr>
    </w:p>
    <w:p>
      <w:pPr>
        <w:pStyle w:val="Heading2"/>
      </w:pPr>
      <w:r>
        <w:rPr>
          <w:rFonts w:ascii="Arial" w:cs="Arial" w:eastAsia="Arial" w:hAnsi="Arial"/>
        </w:rPr>
        <w:t xml:space="preserve">2.7. Legal Requirements</w:t>
      </w:r>
    </w:p>
    <w:p>
      <w:pPr>
        <w:pStyle w:val="ListParagraph"/>
        <w:numPr>
          <w:ilvl w:val="0"/>
          <w:numId w:val="2"/>
        </w:numPr>
      </w:pPr>
      <w:r>
        <w:rPr>
          <w:rFonts w:ascii="Arial" w:cs="Arial" w:eastAsia="Arial" w:hAnsi="Arial"/>
          <w:sz w:val="22"/>
          <w:szCs w:val="22"/>
        </w:rPr>
        <w:t xml:space="preserve">SOX Section 404 - Segregation of duties between invoice entry and approval</w:t>
      </w:r>
    </w:p>
    <w:p>
      <w:pPr>
        <w:pStyle w:val="ListParagraph"/>
        <w:numPr>
          <w:ilvl w:val="0"/>
          <w:numId w:val="2"/>
        </w:numPr>
      </w:pPr>
      <w:r>
        <w:rPr>
          <w:rFonts w:ascii="Arial" w:cs="Arial" w:eastAsia="Arial" w:hAnsi="Arial"/>
          <w:sz w:val="22"/>
          <w:szCs w:val="22"/>
        </w:rPr>
        <w:t xml:space="preserve">IFRS/GAAP - Proper accrual recognition and expense timing</w:t>
      </w:r>
    </w:p>
    <w:p>
      <w:pPr>
        <w:pStyle w:val="ListParagraph"/>
        <w:numPr>
          <w:ilvl w:val="0"/>
          <w:numId w:val="2"/>
        </w:numPr>
      </w:pPr>
      <w:r>
        <w:rPr>
          <w:rFonts w:ascii="Arial" w:cs="Arial" w:eastAsia="Arial" w:hAnsi="Arial"/>
          <w:sz w:val="22"/>
          <w:szCs w:val="22"/>
        </w:rPr>
        <w:t xml:space="preserve">Tax Compliance - Correct VAT/GST handling and reporting</w:t>
      </w:r>
    </w:p>
    <w:p>
      <w:pPr>
        <w:pStyle w:val="ListParagraph"/>
        <w:numPr>
          <w:ilvl w:val="0"/>
          <w:numId w:val="2"/>
        </w:numPr>
      </w:pPr>
      <w:r>
        <w:rPr>
          <w:rFonts w:ascii="Arial" w:cs="Arial" w:eastAsia="Arial" w:hAnsi="Arial"/>
          <w:sz w:val="22"/>
          <w:szCs w:val="22"/>
        </w:rPr>
        <w:t xml:space="preserve">GDPR - Supplier contact data handling in EU operations</w:t>
      </w:r>
    </w:p>
    <w:p>
      <w:pPr>
        <w:pStyle w:val="ListParagraph"/>
        <w:numPr>
          <w:ilvl w:val="0"/>
          <w:numId w:val="2"/>
        </w:numPr>
        <w:spacing w:after="200"/>
      </w:pPr>
      <w:r>
        <w:rPr>
          <w:rFonts w:ascii="Arial" w:cs="Arial" w:eastAsia="Arial" w:hAnsi="Arial"/>
          <w:sz w:val="22"/>
          <w:szCs w:val="22"/>
        </w:rPr>
        <w:t xml:space="preserve">Audit Trail - Complete history of all invoice changes and approvals</w:t>
      </w:r>
    </w:p>
    <w:p>
      <w:r>
        <w:br w:type="page"/>
      </w:r>
    </w:p>
    <w:p>
      <w:pPr>
        <w:pStyle w:val="Heading2"/>
      </w:pPr>
      <w:r>
        <w:rPr>
          <w:rFonts w:ascii="Arial" w:cs="Arial" w:eastAsia="Arial" w:hAnsi="Arial"/>
        </w:rPr>
        <w:t xml:space="preserve">2.8. Local Requirements</w:t>
      </w:r>
    </w:p>
    <w:p>
      <w:pPr>
        <w:pStyle w:val="ListParagraph"/>
        <w:numPr>
          <w:ilvl w:val="0"/>
          <w:numId w:val="2"/>
        </w:numPr>
      </w:pPr>
      <w:r>
        <w:rPr>
          <w:rFonts w:ascii="Arial" w:cs="Arial" w:eastAsia="Arial" w:hAnsi="Arial"/>
          <w:sz w:val="22"/>
          <w:szCs w:val="22"/>
        </w:rPr>
        <w:t xml:space="preserve">Multi-currency support with exchange rate date handling</w:t>
      </w:r>
    </w:p>
    <w:p>
      <w:pPr>
        <w:pStyle w:val="ListParagraph"/>
        <w:numPr>
          <w:ilvl w:val="0"/>
          <w:numId w:val="2"/>
        </w:numPr>
      </w:pPr>
      <w:r>
        <w:rPr>
          <w:rFonts w:ascii="Arial" w:cs="Arial" w:eastAsia="Arial" w:hAnsi="Arial"/>
          <w:sz w:val="22"/>
          <w:szCs w:val="22"/>
        </w:rPr>
        <w:t xml:space="preserve">Country-specific tax codes (VAT, GST, excise duty)</w:t>
      </w:r>
    </w:p>
    <w:p>
      <w:pPr>
        <w:pStyle w:val="ListParagraph"/>
        <w:numPr>
          <w:ilvl w:val="0"/>
          <w:numId w:val="2"/>
        </w:numPr>
      </w:pPr>
      <w:r>
        <w:rPr>
          <w:rFonts w:ascii="Arial" w:cs="Arial" w:eastAsia="Arial" w:hAnsi="Arial"/>
          <w:sz w:val="22"/>
          <w:szCs w:val="22"/>
        </w:rPr>
        <w:t xml:space="preserve">Regional payment terms and early payment discount handling</w:t>
      </w:r>
    </w:p>
    <w:p>
      <w:pPr>
        <w:pStyle w:val="ListParagraph"/>
        <w:numPr>
          <w:ilvl w:val="0"/>
          <w:numId w:val="2"/>
        </w:numPr>
        <w:spacing w:after="200"/>
      </w:pPr>
      <w:r>
        <w:rPr>
          <w:rFonts w:ascii="Arial" w:cs="Arial" w:eastAsia="Arial" w:hAnsi="Arial"/>
          <w:sz w:val="22"/>
          <w:szCs w:val="22"/>
        </w:rPr>
        <w:t xml:space="preserve">Time zone considerations for invoice due date calculations</w:t>
      </w:r>
    </w:p>
    <w:p>
      <w:pPr>
        <w:pStyle w:val="Heading2"/>
      </w:pPr>
      <w:r>
        <w:rPr>
          <w:rFonts w:ascii="Arial" w:cs="Arial" w:eastAsia="Arial" w:hAnsi="Arial"/>
        </w:rPr>
        <w:t xml:space="preserve">2.9. Process Standardization</w:t>
      </w:r>
    </w:p>
    <w:p>
      <w:pPr>
        <w:spacing w:after="200"/>
      </w:pPr>
      <w:r>
        <w:rPr>
          <w:rFonts w:ascii="Arial" w:cs="Arial" w:eastAsia="Arial" w:hAnsi="Arial"/>
          <w:sz w:val="22"/>
          <w:szCs w:val="22"/>
        </w:rPr>
        <w:t xml:space="preserve">The Invoice Verification module implements standardized processes aligned with SAP best practices:</w:t>
      </w:r>
    </w:p>
    <w:p>
      <w:pPr>
        <w:pStyle w:val="ListParagraph"/>
        <w:numPr>
          <w:ilvl w:val="0"/>
          <w:numId w:val="2"/>
        </w:numPr>
      </w:pPr>
      <w:r>
        <w:rPr>
          <w:rFonts w:ascii="Arial" w:cs="Arial" w:eastAsia="Arial" w:hAnsi="Arial"/>
          <w:sz w:val="22"/>
          <w:szCs w:val="22"/>
        </w:rPr>
        <w:t xml:space="preserve">Invoice receipt and entry follows SAP Logistics Invoice Verification (MIRO) patterns</w:t>
      </w:r>
    </w:p>
    <w:p>
      <w:pPr>
        <w:pStyle w:val="ListParagraph"/>
        <w:numPr>
          <w:ilvl w:val="0"/>
          <w:numId w:val="2"/>
        </w:numPr>
      </w:pPr>
      <w:r>
        <w:rPr>
          <w:rFonts w:ascii="Arial" w:cs="Arial" w:eastAsia="Arial" w:hAnsi="Arial"/>
          <w:sz w:val="22"/>
          <w:szCs w:val="22"/>
        </w:rPr>
        <w:t xml:space="preserve">Three-way matching uses standard SAP tolerance groups and blocking indicators</w:t>
      </w:r>
    </w:p>
    <w:p>
      <w:pPr>
        <w:pStyle w:val="ListParagraph"/>
        <w:numPr>
          <w:ilvl w:val="0"/>
          <w:numId w:val="2"/>
        </w:numPr>
      </w:pPr>
      <w:r>
        <w:rPr>
          <w:rFonts w:ascii="Arial" w:cs="Arial" w:eastAsia="Arial" w:hAnsi="Arial"/>
          <w:sz w:val="22"/>
          <w:szCs w:val="22"/>
        </w:rPr>
        <w:t xml:space="preserve">GR/IR clearing follows SAP automatic clearing rules</w:t>
      </w:r>
    </w:p>
    <w:p>
      <w:pPr>
        <w:pStyle w:val="ListParagraph"/>
        <w:numPr>
          <w:ilvl w:val="0"/>
          <w:numId w:val="2"/>
        </w:numPr>
        <w:spacing w:after="200"/>
      </w:pPr>
      <w:r>
        <w:rPr>
          <w:rFonts w:ascii="Arial" w:cs="Arial" w:eastAsia="Arial" w:hAnsi="Arial"/>
          <w:sz w:val="22"/>
          <w:szCs w:val="22"/>
        </w:rPr>
        <w:t xml:space="preserve">FI document posting uses SAP standard document types</w:t>
      </w:r>
    </w:p>
    <w:p>
      <w:pPr>
        <w:pStyle w:val="Heading2"/>
      </w:pPr>
      <w:r>
        <w:rPr>
          <w:rFonts w:ascii="Arial" w:cs="Arial" w:eastAsia="Arial" w:hAnsi="Arial"/>
        </w:rPr>
        <w:t xml:space="preserve">2.10. Starting Conditions</w:t>
      </w:r>
    </w:p>
    <w:p>
      <w:pPr>
        <w:pStyle w:val="ListParagraph"/>
        <w:numPr>
          <w:ilvl w:val="0"/>
          <w:numId w:val="2"/>
        </w:numPr>
      </w:pPr>
      <w:r>
        <w:rPr>
          <w:rFonts w:ascii="Arial" w:cs="Arial" w:eastAsia="Arial" w:hAnsi="Arial"/>
          <w:sz w:val="22"/>
          <w:szCs w:val="22"/>
        </w:rPr>
        <w:t xml:space="preserve">Purchase Order exists in S/4HANA (created from ePOD)</w:t>
      </w:r>
    </w:p>
    <w:p>
      <w:pPr>
        <w:pStyle w:val="ListParagraph"/>
        <w:numPr>
          <w:ilvl w:val="0"/>
          <w:numId w:val="2"/>
        </w:numPr>
      </w:pPr>
      <w:r>
        <w:rPr>
          <w:rFonts w:ascii="Arial" w:cs="Arial" w:eastAsia="Arial" w:hAnsi="Arial"/>
          <w:sz w:val="22"/>
          <w:szCs w:val="22"/>
        </w:rPr>
        <w:t xml:space="preserve">Goods Receipt posted in S/4HANA (from ePOD verification)</w:t>
      </w:r>
    </w:p>
    <w:p>
      <w:pPr>
        <w:pStyle w:val="ListParagraph"/>
        <w:numPr>
          <w:ilvl w:val="0"/>
          <w:numId w:val="2"/>
        </w:numPr>
      </w:pPr>
      <w:r>
        <w:rPr>
          <w:rFonts w:ascii="Arial" w:cs="Arial" w:eastAsia="Arial" w:hAnsi="Arial"/>
          <w:sz w:val="22"/>
          <w:szCs w:val="22"/>
        </w:rPr>
        <w:t xml:space="preserve">Supplier master data synchronized from S/4HANA</w:t>
      </w:r>
    </w:p>
    <w:p>
      <w:pPr>
        <w:pStyle w:val="ListParagraph"/>
        <w:numPr>
          <w:ilvl w:val="0"/>
          <w:numId w:val="2"/>
        </w:numPr>
      </w:pPr>
      <w:r>
        <w:rPr>
          <w:rFonts w:ascii="Arial" w:cs="Arial" w:eastAsia="Arial" w:hAnsi="Arial"/>
          <w:sz w:val="22"/>
          <w:szCs w:val="22"/>
        </w:rPr>
        <w:t xml:space="preserve">Tolerance rules configured for company code</w:t>
      </w:r>
    </w:p>
    <w:p>
      <w:pPr>
        <w:pStyle w:val="ListParagraph"/>
        <w:numPr>
          <w:ilvl w:val="0"/>
          <w:numId w:val="2"/>
        </w:numPr>
        <w:spacing w:after="200"/>
      </w:pPr>
      <w:r>
        <w:rPr>
          <w:rFonts w:ascii="Arial" w:cs="Arial" w:eastAsia="Arial" w:hAnsi="Arial"/>
          <w:sz w:val="22"/>
          <w:szCs w:val="22"/>
        </w:rPr>
        <w:t xml:space="preserve">Approval workflow rules defined</w:t>
      </w:r>
    </w:p>
    <w:p>
      <w:pPr>
        <w:pStyle w:val="Heading2"/>
      </w:pPr>
      <w:r>
        <w:rPr>
          <w:rFonts w:ascii="Arial" w:cs="Arial" w:eastAsia="Arial" w:hAnsi="Arial"/>
        </w:rPr>
        <w:t xml:space="preserve">2.11. Frequency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468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Invoice Entry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Daily (continuous)</w:t>
            </w:r>
          </w:p>
        </w:tc>
      </w:tr>
      <w:tr>
        <w:tc>
          <w:tcPr>
            <w:tcW w:type="dxa" w:w="468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Three-Way Matching</w:t>
            </w:r>
          </w:p>
        </w:tc>
        <w:tc>
          <w:tcPr>
            <w:tcW w:type="dxa" w:w="468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Real-time (on invoice save)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Approval Processing</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Daily (workflow-driven)</w:t>
            </w:r>
          </w:p>
        </w:tc>
      </w:tr>
      <w:tr>
        <w:tc>
          <w:tcPr>
            <w:tcW w:type="dxa" w:w="468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S/4HANA FI Posting</w:t>
            </w:r>
          </w:p>
        </w:tc>
        <w:tc>
          <w:tcPr>
            <w:tcW w:type="dxa" w:w="468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Real-time (on approval)</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GR/IR Clearing</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Daily batch + on-demand</w:t>
            </w:r>
          </w:p>
        </w:tc>
      </w:tr>
      <w:tr>
        <w:tc>
          <w:tcPr>
            <w:tcW w:type="dxa" w:w="468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Exception Review</w:t>
            </w:r>
          </w:p>
        </w:tc>
        <w:tc>
          <w:tcPr>
            <w:tcW w:type="dxa" w:w="468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Daily (prioritized queue)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Duplicate Check</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Real-time (on entry)</w:t>
            </w:r>
          </w:p>
        </w:tc>
      </w:tr>
    </w:tbl>
    <w:p>
      <w:pPr>
        <w:spacing w:after="300"/>
      </w:pPr>
    </w:p>
    <w:p>
      <w:pPr>
        <w:pStyle w:val="Heading2"/>
      </w:pPr>
      <w:r>
        <w:rPr>
          <w:rFonts w:ascii="Arial" w:cs="Arial" w:eastAsia="Arial" w:hAnsi="Arial"/>
        </w:rPr>
        <w:t xml:space="preserve">2.12. Volume of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93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Initial Load</w:t>
            </w:r>
          </w:p>
        </w:tc>
        <w:tc>
          <w:tcPr>
            <w:tcW w:type="dxa" w:w="293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Annual Growth</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Invoice Headers</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~5,000</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~50,000/year</w:t>
            </w:r>
          </w:p>
        </w:tc>
      </w:tr>
      <w:tr>
        <w:tc>
          <w:tcPr>
            <w:tcW w:type="dxa" w:w="3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Invoice Line Items</w:t>
            </w:r>
          </w:p>
        </w:tc>
        <w:tc>
          <w:tcPr>
            <w:tcW w:type="dxa" w:w="293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~20,000</w:t>
            </w:r>
          </w:p>
        </w:tc>
        <w:tc>
          <w:tcPr>
            <w:tcW w:type="dxa" w:w="293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~200,000/year</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Match Records</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~200,000/year</w:t>
            </w:r>
          </w:p>
        </w:tc>
      </w:tr>
      <w:tr>
        <w:tc>
          <w:tcPr>
            <w:tcW w:type="dxa" w:w="3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Approval Records</w:t>
            </w:r>
          </w:p>
        </w:tc>
        <w:tc>
          <w:tcPr>
            <w:tcW w:type="dxa" w:w="293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0</w:t>
            </w:r>
          </w:p>
        </w:tc>
        <w:tc>
          <w:tcPr>
            <w:tcW w:type="dxa" w:w="293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~60,000/year</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FI Documents Posted</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~50,000/year</w:t>
            </w:r>
          </w:p>
        </w:tc>
      </w:tr>
    </w:tbl>
    <w:p>
      <w:pPr>
        <w:spacing w:after="300"/>
      </w:pPr>
    </w:p>
    <w:p>
      <w:pPr>
        <w:pStyle w:val="Heading2"/>
      </w:pPr>
      <w:r>
        <w:rPr>
          <w:rFonts w:ascii="Arial" w:cs="Arial" w:eastAsia="Arial" w:hAnsi="Arial"/>
        </w:rPr>
        <w:t xml:space="preserve">2.13. Business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200"/>
        <w:gridCol w:w="1960"/>
      </w:tblGrid>
      <w:tr>
        <w:tc>
          <w:tcPr>
            <w:tcW w:type="dxa" w:w="1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Control ID</w:t>
            </w:r>
          </w:p>
        </w:tc>
        <w:tc>
          <w:tcPr>
            <w:tcW w:type="dxa" w:w="40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Control Description</w:t>
            </w:r>
          </w:p>
        </w:tc>
        <w:tc>
          <w:tcPr>
            <w:tcW w:type="dxa" w:w="2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Control Type</w:t>
            </w:r>
          </w:p>
        </w:tc>
        <w:tc>
          <w:tcPr>
            <w:tcW w:type="dxa" w:w="19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SOX Relevant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INV-001</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Invoice creator cannot approve same invoice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Preventive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INV-002</w:t>
            </w:r>
          </w:p>
        </w:tc>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Dual approval required for variances &gt; threshold</w:t>
            </w:r>
          </w:p>
        </w:tc>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Preventive</w:t>
            </w:r>
          </w:p>
        </w:tc>
        <w:tc>
          <w:tcPr>
            <w:tcW w:type="dxa" w:w="19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INV-003</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Three-way match mandatory before posting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Preventive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INV-004</w:t>
            </w:r>
          </w:p>
        </w:tc>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Duplicate invoice detection and blocking</w:t>
            </w:r>
          </w:p>
        </w:tc>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Detective</w:t>
            </w:r>
          </w:p>
        </w:tc>
        <w:tc>
          <w:tcPr>
            <w:tcW w:type="dxa" w:w="19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INV-005</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Price variance threshold alerts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Detective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INV-006</w:t>
            </w:r>
          </w:p>
        </w:tc>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Quantity variance threshold alerts</w:t>
            </w:r>
          </w:p>
        </w:tc>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Detective</w:t>
            </w:r>
          </w:p>
        </w:tc>
        <w:tc>
          <w:tcPr>
            <w:tcW w:type="dxa" w:w="19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INV-007</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Full audit trail for all invoice changes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Detective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INV-008</w:t>
            </w:r>
          </w:p>
        </w:tc>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Approval value limits per user role</w:t>
            </w:r>
          </w:p>
        </w:tc>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Preventive</w:t>
            </w:r>
          </w:p>
        </w:tc>
        <w:tc>
          <w:tcPr>
            <w:tcW w:type="dxa" w:w="19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Yes</w:t>
            </w:r>
          </w:p>
        </w:tc>
      </w:tr>
    </w:tbl>
    <w:p>
      <w:pPr>
        <w:spacing w:after="300"/>
      </w:pPr>
    </w:p>
    <w:p>
      <w:r>
        <w:br w:type="page"/>
      </w:r>
    </w:p>
    <w:p>
      <w:pPr>
        <w:pStyle w:val="Heading2"/>
      </w:pPr>
      <w:r>
        <w:rPr>
          <w:rFonts w:ascii="Arial" w:cs="Arial" w:eastAsia="Arial" w:hAnsi="Arial"/>
        </w:rPr>
        <w:t xml:space="preserve">2.14. Security</w:t>
      </w:r>
    </w:p>
    <w:p>
      <w:pPr>
        <w:spacing w:after="200"/>
      </w:pPr>
      <w:r>
        <w:rPr>
          <w:rFonts w:ascii="Arial" w:cs="Arial" w:eastAsia="Arial" w:hAnsi="Arial"/>
          <w:sz w:val="22"/>
          <w:szCs w:val="22"/>
        </w:rPr>
        <w:t xml:space="preserve">Refer to FS-FND-003 Security &amp; Authorization Specification v2.1.</w:t>
      </w:r>
    </w:p>
    <w:p>
      <w:pPr>
        <w:spacing w:after="100"/>
      </w:pPr>
      <w:r>
        <w:rPr>
          <w:rFonts w:ascii="Arial" w:cs="Arial" w:eastAsia="Arial" w:hAnsi="Arial"/>
          <w:b/>
          <w:bCs/>
          <w:sz w:val="22"/>
          <w:szCs w:val="22"/>
        </w:rPr>
        <w:t xml:space="preserve">Invoice Verification Security Scopes: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61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InvoiceRead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View invoice headers and line items</w:t>
            </w:r>
          </w:p>
        </w:tc>
      </w:tr>
      <w:tr>
        <w:tc>
          <w:tcPr>
            <w:tcW w:type="dxa" w:w="3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InvoiceCreate</w:t>
            </w:r>
          </w:p>
        </w:tc>
        <w:tc>
          <w:tcPr>
            <w:tcW w:type="dxa" w:w="61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Create and edit draft invoices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InvoiceVerify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Execute three-way matching</w:t>
            </w:r>
          </w:p>
        </w:tc>
      </w:tr>
      <w:tr>
        <w:tc>
          <w:tcPr>
            <w:tcW w:type="dxa" w:w="3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InvoiceApprove</w:t>
            </w:r>
          </w:p>
        </w:tc>
        <w:tc>
          <w:tcPr>
            <w:tcW w:type="dxa" w:w="61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Approve invoices within value limits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InvoicePost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Post approved invoices to S/4HANA</w:t>
            </w:r>
          </w:p>
        </w:tc>
      </w:tr>
      <w:tr>
        <w:tc>
          <w:tcPr>
            <w:tcW w:type="dxa" w:w="3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ExceptionManage</w:t>
            </w:r>
          </w:p>
        </w:tc>
        <w:tc>
          <w:tcPr>
            <w:tcW w:type="dxa" w:w="61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Resolve exception items, override blocks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ToleranceConfig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Configure tolerance rules (admin only)</w:t>
            </w:r>
          </w:p>
        </w:tc>
      </w:tr>
    </w:tbl>
    <w:p>
      <w:pPr>
        <w:spacing w:after="200"/>
      </w:pPr>
    </w:p>
    <w:p>
      <w:pPr>
        <w:spacing w:after="100"/>
      </w:pPr>
      <w:r>
        <w:rPr>
          <w:rFonts w:ascii="Arial" w:cs="Arial" w:eastAsia="Arial" w:hAnsi="Arial"/>
          <w:b/>
          <w:bCs/>
          <w:sz w:val="22"/>
          <w:szCs w:val="22"/>
        </w:rPr>
        <w:t xml:space="preserve">Authorization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Role Template</w:t>
            </w:r>
          </w:p>
        </w:tc>
        <w:tc>
          <w:tcPr>
            <w:tcW w:type="dxa" w:w="4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Scopes</w:t>
            </w:r>
          </w:p>
        </w:tc>
        <w:tc>
          <w:tcPr>
            <w:tcW w:type="dxa" w:w="23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Org Filter</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APClerk</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InvoiceRead, InvoiceCreate, InvoiceVerify</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Company Code</w:t>
            </w:r>
          </w:p>
        </w:tc>
      </w:tr>
      <w:tr>
        <w:tc>
          <w:tcPr>
            <w:tcW w:type="dxa" w:w="2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b/>
                <w:bCs/>
                <w:sz w:val="20"/>
                <w:szCs w:val="20"/>
              </w:rPr>
              <w:t xml:space="preserve">FinanceController</w:t>
            </w:r>
          </w:p>
        </w:tc>
        <w:tc>
          <w:tcPr>
            <w:tcW w:type="dxa" w:w="4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InvoiceRead, InvoiceVerify, InvoiceApprove, InvoicePost, ExceptionManage</w:t>
            </w:r>
          </w:p>
        </w:tc>
        <w:tc>
          <w:tcPr>
            <w:tcW w:type="dxa" w:w="2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Company Code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FinanceManager</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All Invoice scopes + ToleranceConfig</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Company Code</w:t>
            </w:r>
          </w:p>
        </w:tc>
      </w:tr>
    </w:tbl>
    <w:p>
      <w:pPr>
        <w:spacing w:after="300"/>
      </w:pPr>
    </w:p>
    <w:p>
      <w:pPr>
        <w:pStyle w:val="Heading2"/>
      </w:pPr>
      <w:r>
        <w:rPr>
          <w:rFonts w:ascii="Arial" w:cs="Arial" w:eastAsia="Arial" w:hAnsi="Arial"/>
        </w:rPr>
        <w:t xml:space="preserve">2.15. Error Handling / Recovery / Restart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Error Code</w:t>
            </w:r>
          </w:p>
        </w:tc>
        <w:tc>
          <w:tcPr>
            <w:tcW w:type="dxa" w:w="38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3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Recovery Action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INV401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PO not found for matching</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Verify PO number, check S/4HANA sync status</w:t>
            </w:r>
          </w:p>
        </w:tc>
      </w:tr>
      <w:tr>
        <w:tc>
          <w:tcPr>
            <w:tcW w:type="dxa" w:w="1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INV402</w:t>
            </w:r>
          </w:p>
        </w:tc>
        <w:tc>
          <w:tcPr>
            <w:tcW w:type="dxa" w:w="3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GR not found for matching</w:t>
            </w:r>
          </w:p>
        </w:tc>
        <w:tc>
          <w:tcPr>
            <w:tcW w:type="dxa" w:w="4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Verify delivery completed, check ePOD status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INV403</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Price variance exceeds tolerance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Route to exception queue, require dual approval</w:t>
            </w:r>
          </w:p>
        </w:tc>
      </w:tr>
      <w:tr>
        <w:tc>
          <w:tcPr>
            <w:tcW w:type="dxa" w:w="1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INV404</w:t>
            </w:r>
          </w:p>
        </w:tc>
        <w:tc>
          <w:tcPr>
            <w:tcW w:type="dxa" w:w="3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Quantity variance exceeds tolerance</w:t>
            </w:r>
          </w:p>
        </w:tc>
        <w:tc>
          <w:tcPr>
            <w:tcW w:type="dxa" w:w="4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Route to exception queue, verify delivery data</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INV405</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Duplicate invoice detected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Block entry, display existing invoice for review</w:t>
            </w:r>
          </w:p>
        </w:tc>
      </w:tr>
      <w:tr>
        <w:tc>
          <w:tcPr>
            <w:tcW w:type="dxa" w:w="1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INV406</w:t>
            </w:r>
          </w:p>
        </w:tc>
        <w:tc>
          <w:tcPr>
            <w:tcW w:type="dxa" w:w="3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S/4HANA FI posting failed</w:t>
            </w:r>
          </w:p>
        </w:tc>
        <w:tc>
          <w:tcPr>
            <w:tcW w:type="dxa" w:w="4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Retry with exponential backoff, escalate to admin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INV407</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Invalid tax code for jurisdiction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Display validation error, require tax code correction</w:t>
            </w:r>
          </w:p>
        </w:tc>
      </w:tr>
      <w:tr>
        <w:tc>
          <w:tcPr>
            <w:tcW w:type="dxa" w:w="1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INV408</w:t>
            </w:r>
          </w:p>
        </w:tc>
        <w:tc>
          <w:tcPr>
            <w:tcW w:type="dxa" w:w="3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Posting period closed</w:t>
            </w:r>
          </w:p>
        </w:tc>
        <w:tc>
          <w:tcPr>
            <w:tcW w:type="dxa" w:w="4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Display error, suggest alternative posting date</w:t>
            </w:r>
          </w:p>
        </w:tc>
      </w:tr>
    </w:tbl>
    <w:p>
      <w:pPr>
        <w:spacing w:after="300"/>
      </w:pPr>
    </w:p>
    <w:p>
      <w:pPr>
        <w:pStyle w:val="Heading2"/>
      </w:pPr>
      <w:r>
        <w:rPr>
          <w:rFonts w:ascii="Arial" w:cs="Arial" w:eastAsia="Arial" w:hAnsi="Arial"/>
        </w:rPr>
        <w:t xml:space="preserve">2.16. Assumptions</w:t>
      </w:r>
    </w:p>
    <w:p>
      <w:pPr>
        <w:pStyle w:val="ListParagraph"/>
        <w:numPr>
          <w:ilvl w:val="0"/>
          <w:numId w:val="2"/>
        </w:numPr>
      </w:pPr>
      <w:r>
        <w:rPr>
          <w:rFonts w:ascii="Arial" w:cs="Arial" w:eastAsia="Arial" w:hAnsi="Arial"/>
          <w:sz w:val="22"/>
          <w:szCs w:val="22"/>
        </w:rPr>
        <w:t xml:space="preserve">All fuel deliveries have corresponding PO/GR records in S/4HANA (via ePOD process)</w:t>
      </w:r>
    </w:p>
    <w:p>
      <w:pPr>
        <w:pStyle w:val="ListParagraph"/>
        <w:numPr>
          <w:ilvl w:val="0"/>
          <w:numId w:val="2"/>
        </w:numPr>
      </w:pPr>
      <w:r>
        <w:rPr>
          <w:rFonts w:ascii="Arial" w:cs="Arial" w:eastAsia="Arial" w:hAnsi="Arial"/>
          <w:sz w:val="22"/>
          <w:szCs w:val="22"/>
        </w:rPr>
        <w:t xml:space="preserve">Supplier invoices include valid PO reference numbers</w:t>
      </w:r>
    </w:p>
    <w:p>
      <w:pPr>
        <w:pStyle w:val="ListParagraph"/>
        <w:numPr>
          <w:ilvl w:val="0"/>
          <w:numId w:val="2"/>
        </w:numPr>
      </w:pPr>
      <w:r>
        <w:rPr>
          <w:rFonts w:ascii="Arial" w:cs="Arial" w:eastAsia="Arial" w:hAnsi="Arial"/>
          <w:sz w:val="22"/>
          <w:szCs w:val="22"/>
        </w:rPr>
        <w:t xml:space="preserve">Tolerance rules are defined during implementation</w:t>
      </w:r>
    </w:p>
    <w:p>
      <w:pPr>
        <w:pStyle w:val="ListParagraph"/>
        <w:numPr>
          <w:ilvl w:val="0"/>
          <w:numId w:val="2"/>
        </w:numPr>
      </w:pPr>
      <w:r>
        <w:rPr>
          <w:rFonts w:ascii="Arial" w:cs="Arial" w:eastAsia="Arial" w:hAnsi="Arial"/>
          <w:sz w:val="22"/>
          <w:szCs w:val="22"/>
        </w:rPr>
        <w:t xml:space="preserve">Users are trained on invoice verification processes</w:t>
      </w:r>
    </w:p>
    <w:p>
      <w:pPr>
        <w:pStyle w:val="ListParagraph"/>
        <w:numPr>
          <w:ilvl w:val="0"/>
          <w:numId w:val="2"/>
        </w:numPr>
        <w:spacing w:after="200"/>
      </w:pPr>
      <w:r>
        <w:rPr>
          <w:rFonts w:ascii="Arial" w:cs="Arial" w:eastAsia="Arial" w:hAnsi="Arial"/>
          <w:sz w:val="22"/>
          <w:szCs w:val="22"/>
        </w:rPr>
        <w:t xml:space="preserve">Network latency to S/4HANA is acceptable (&lt;500ms)</w:t>
      </w:r>
    </w:p>
    <w:p>
      <w:pPr>
        <w:pStyle w:val="Heading2"/>
      </w:pPr>
      <w:r>
        <w:rPr>
          <w:rFonts w:ascii="Arial" w:cs="Arial" w:eastAsia="Arial" w:hAnsi="Arial"/>
        </w:rPr>
        <w:t xml:space="preserve">2.17. Out of Scope (Release 1.0)</w:t>
      </w:r>
    </w:p>
    <w:p>
      <w:pPr>
        <w:pStyle w:val="ListParagraph"/>
        <w:numPr>
          <w:ilvl w:val="0"/>
          <w:numId w:val="2"/>
        </w:numPr>
      </w:pPr>
      <w:r>
        <w:rPr>
          <w:rFonts w:ascii="Arial" w:cs="Arial" w:eastAsia="Arial" w:hAnsi="Arial"/>
          <w:sz w:val="22"/>
          <w:szCs w:val="22"/>
        </w:rPr>
        <w:t xml:space="preserve">OCR-based invoice scanning and automatic data extraction</w:t>
      </w:r>
    </w:p>
    <w:p>
      <w:pPr>
        <w:pStyle w:val="ListParagraph"/>
        <w:numPr>
          <w:ilvl w:val="0"/>
          <w:numId w:val="2"/>
        </w:numPr>
      </w:pPr>
      <w:r>
        <w:rPr>
          <w:rFonts w:ascii="Arial" w:cs="Arial" w:eastAsia="Arial" w:hAnsi="Arial"/>
          <w:sz w:val="22"/>
          <w:szCs w:val="22"/>
        </w:rPr>
        <w:t xml:space="preserve">EDI/EDIFACT electronic invoice integration</w:t>
      </w:r>
    </w:p>
    <w:p>
      <w:pPr>
        <w:pStyle w:val="ListParagraph"/>
        <w:numPr>
          <w:ilvl w:val="0"/>
          <w:numId w:val="2"/>
        </w:numPr>
      </w:pPr>
      <w:r>
        <w:rPr>
          <w:rFonts w:ascii="Arial" w:cs="Arial" w:eastAsia="Arial" w:hAnsi="Arial"/>
          <w:sz w:val="22"/>
          <w:szCs w:val="22"/>
        </w:rPr>
        <w:t xml:space="preserve">Supplier self-service portal for invoice submission</w:t>
      </w:r>
    </w:p>
    <w:p>
      <w:pPr>
        <w:pStyle w:val="ListParagraph"/>
        <w:numPr>
          <w:ilvl w:val="0"/>
          <w:numId w:val="2"/>
        </w:numPr>
      </w:pPr>
      <w:r>
        <w:rPr>
          <w:rFonts w:ascii="Arial" w:cs="Arial" w:eastAsia="Arial" w:hAnsi="Arial"/>
          <w:sz w:val="22"/>
          <w:szCs w:val="22"/>
        </w:rPr>
        <w:t xml:space="preserve">Evaluated receipt settlement (self-billing)</w:t>
      </w:r>
    </w:p>
    <w:p>
      <w:pPr>
        <w:pStyle w:val="ListParagraph"/>
        <w:numPr>
          <w:ilvl w:val="0"/>
          <w:numId w:val="2"/>
        </w:numPr>
        <w:spacing w:after="200"/>
      </w:pPr>
      <w:r>
        <w:rPr>
          <w:rFonts w:ascii="Arial" w:cs="Arial" w:eastAsia="Arial" w:hAnsi="Arial"/>
          <w:sz w:val="22"/>
          <w:szCs w:val="22"/>
        </w:rPr>
        <w:t xml:space="preserve">Machine learning-based anomaly detection</w:t>
      </w:r>
    </w:p>
    <w:p>
      <w:pPr>
        <w:pStyle w:val="Heading2"/>
      </w:pPr>
      <w:r>
        <w:rPr>
          <w:rFonts w:ascii="Arial" w:cs="Arial" w:eastAsia="Arial" w:hAnsi="Arial"/>
        </w:rPr>
        <w:t xml:space="preserve">2.18. Open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500"/>
        <w:gridCol w:w="1500"/>
        <w:gridCol w:w="960"/>
      </w:tblGrid>
      <w:tr>
        <w:tc>
          <w:tcPr>
            <w:tcW w:type="dxa" w:w="9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Open Point</w:t>
            </w:r>
          </w:p>
        </w:tc>
        <w:tc>
          <w:tcPr>
            <w:tcW w:type="dxa" w:w="1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9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OP-01</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Define specific tolerance percentages by supplier category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9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OP-02</w:t>
            </w:r>
          </w:p>
        </w:tc>
        <w:tc>
          <w:tcPr>
            <w:tcW w:type="dxa" w:w="4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Confirm approval value limits per role</w:t>
            </w:r>
          </w:p>
        </w:tc>
        <w:tc>
          <w:tcPr>
            <w:tcW w:type="dxa" w:w="1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[TBD]</w:t>
            </w:r>
          </w:p>
        </w:tc>
        <w:tc>
          <w:tcPr>
            <w:tcW w:type="dxa" w:w="1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[TBD]</w:t>
            </w:r>
          </w:p>
        </w:tc>
        <w:tc>
          <w:tcPr>
            <w:tcW w:type="dxa" w:w="9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OP-03</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Define escalation path for aged exceptions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9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OP-04</w:t>
            </w:r>
          </w:p>
        </w:tc>
        <w:tc>
          <w:tcPr>
            <w:tcW w:type="dxa" w:w="4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Clarify early payment discount handling</w:t>
            </w:r>
          </w:p>
        </w:tc>
        <w:tc>
          <w:tcPr>
            <w:tcW w:type="dxa" w:w="1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[TBD]</w:t>
            </w:r>
          </w:p>
        </w:tc>
        <w:tc>
          <w:tcPr>
            <w:tcW w:type="dxa" w:w="1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[TBD]</w:t>
            </w:r>
          </w:p>
        </w:tc>
        <w:tc>
          <w:tcPr>
            <w:tcW w:type="dxa" w:w="9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Open</w:t>
            </w:r>
          </w:p>
        </w:tc>
      </w:tr>
    </w:tbl>
    <w:p>
      <w:r>
        <w:br w:type="page"/>
      </w:r>
    </w:p>
    <w:p>
      <w:pPr>
        <w:pStyle w:val="Heading1"/>
      </w:pPr>
      <w:r>
        <w:rPr>
          <w:rFonts w:ascii="Arial" w:cs="Arial" w:eastAsia="Arial" w:hAnsi="Arial"/>
        </w:rPr>
        <w:t xml:space="preserve">3. Functional Solution</w:t>
      </w:r>
    </w:p>
    <w:p>
      <w:pPr>
        <w:pStyle w:val="Heading2"/>
      </w:pPr>
      <w:r>
        <w:rPr>
          <w:rFonts w:ascii="Arial" w:cs="Arial" w:eastAsia="Arial" w:hAnsi="Arial"/>
        </w:rPr>
        <w:t xml:space="preserve">3.1. Overview</w:t>
      </w:r>
    </w:p>
    <w:p>
      <w:pPr>
        <w:spacing w:after="200"/>
      </w:pPr>
      <w:r>
        <w:rPr>
          <w:rFonts w:ascii="Arial" w:cs="Arial" w:eastAsia="Arial" w:hAnsi="Arial"/>
          <w:sz w:val="22"/>
          <w:szCs w:val="22"/>
        </w:rPr>
        <w:t xml:space="preserve">The Invoice Verification module provides comprehensive invoice management with automated three-way matching and configurable approval workflows.</w:t>
      </w:r>
    </w:p>
    <w:p>
      <w:pPr>
        <w:spacing w:after="100"/>
      </w:pPr>
      <w:r>
        <w:rPr>
          <w:rFonts w:ascii="Arial" w:cs="Arial" w:eastAsia="Arial" w:hAnsi="Arial"/>
          <w:b/>
          <w:bCs/>
          <w:sz w:val="22"/>
          <w:szCs w:val="22"/>
        </w:rPr>
        <w:t xml:space="preserve">Solution Components:</w:t>
      </w:r>
    </w:p>
    <w:p>
      <w:pPr>
        <w:pStyle w:val="ListParagraph"/>
        <w:numPr>
          <w:ilvl w:val="0"/>
          <w:numId w:val="2"/>
        </w:numPr>
      </w:pPr>
      <w:r>
        <w:rPr>
          <w:rFonts w:ascii="Arial" w:cs="Arial" w:eastAsia="Arial" w:hAnsi="Arial"/>
          <w:sz w:val="22"/>
          <w:szCs w:val="22"/>
        </w:rPr>
        <w:t xml:space="preserve">Finance Controller Home - Role-based dashboard with KPIs</w:t>
      </w:r>
    </w:p>
    <w:p>
      <w:pPr>
        <w:pStyle w:val="ListParagraph"/>
        <w:numPr>
          <w:ilvl w:val="0"/>
          <w:numId w:val="2"/>
        </w:numPr>
      </w:pPr>
      <w:r>
        <w:rPr>
          <w:rFonts w:ascii="Arial" w:cs="Arial" w:eastAsia="Arial" w:hAnsi="Arial"/>
          <w:sz w:val="22"/>
          <w:szCs w:val="22"/>
        </w:rPr>
        <w:t xml:space="preserve">Invoice Verification Dashboard - Processing overview and metrics</w:t>
      </w:r>
    </w:p>
    <w:p>
      <w:pPr>
        <w:pStyle w:val="ListParagraph"/>
        <w:numPr>
          <w:ilvl w:val="0"/>
          <w:numId w:val="2"/>
        </w:numPr>
      </w:pPr>
      <w:r>
        <w:rPr>
          <w:rFonts w:ascii="Arial" w:cs="Arial" w:eastAsia="Arial" w:hAnsi="Arial"/>
          <w:sz w:val="22"/>
          <w:szCs w:val="22"/>
        </w:rPr>
        <w:t xml:space="preserve">Invoice Register - Complete invoice list with filtering</w:t>
      </w:r>
    </w:p>
    <w:p>
      <w:pPr>
        <w:pStyle w:val="ListParagraph"/>
        <w:numPr>
          <w:ilvl w:val="0"/>
          <w:numId w:val="2"/>
        </w:numPr>
      </w:pPr>
      <w:r>
        <w:rPr>
          <w:rFonts w:ascii="Arial" w:cs="Arial" w:eastAsia="Arial" w:hAnsi="Arial"/>
          <w:sz w:val="22"/>
          <w:szCs w:val="22"/>
        </w:rPr>
        <w:t xml:space="preserve">Invoice Detail (Display/Edit) - Full invoice information</w:t>
      </w:r>
    </w:p>
    <w:p>
      <w:pPr>
        <w:pStyle w:val="ListParagraph"/>
        <w:numPr>
          <w:ilvl w:val="0"/>
          <w:numId w:val="2"/>
        </w:numPr>
      </w:pPr>
      <w:r>
        <w:rPr>
          <w:rFonts w:ascii="Arial" w:cs="Arial" w:eastAsia="Arial" w:hAnsi="Arial"/>
          <w:sz w:val="22"/>
          <w:szCs w:val="22"/>
        </w:rPr>
        <w:t xml:space="preserve">Invoice Verification Cockpit - Matching workbench</w:t>
      </w:r>
    </w:p>
    <w:p>
      <w:pPr>
        <w:pStyle w:val="ListParagraph"/>
        <w:numPr>
          <w:ilvl w:val="0"/>
          <w:numId w:val="2"/>
        </w:numPr>
      </w:pPr>
      <w:r>
        <w:rPr>
          <w:rFonts w:ascii="Arial" w:cs="Arial" w:eastAsia="Arial" w:hAnsi="Arial"/>
          <w:sz w:val="22"/>
          <w:szCs w:val="22"/>
        </w:rPr>
        <w:t xml:space="preserve">Three-Way Match Table - PO/GR/Invoice comparison</w:t>
      </w:r>
    </w:p>
    <w:p>
      <w:pPr>
        <w:pStyle w:val="ListParagraph"/>
        <w:numPr>
          <w:ilvl w:val="0"/>
          <w:numId w:val="2"/>
        </w:numPr>
      </w:pPr>
      <w:r>
        <w:rPr>
          <w:rFonts w:ascii="Arial" w:cs="Arial" w:eastAsia="Arial" w:hAnsi="Arial"/>
          <w:sz w:val="22"/>
          <w:szCs w:val="22"/>
        </w:rPr>
        <w:t xml:space="preserve">Invoice Validation Wizard - Guided verification process</w:t>
      </w:r>
    </w:p>
    <w:p>
      <w:pPr>
        <w:pStyle w:val="ListParagraph"/>
        <w:numPr>
          <w:ilvl w:val="0"/>
          <w:numId w:val="2"/>
        </w:numPr>
      </w:pPr>
      <w:r>
        <w:rPr>
          <w:rFonts w:ascii="Arial" w:cs="Arial" w:eastAsia="Arial" w:hAnsi="Arial"/>
          <w:sz w:val="22"/>
          <w:szCs w:val="22"/>
        </w:rPr>
        <w:t xml:space="preserve">Smart Invoice Queue - Prioritized work items</w:t>
      </w:r>
    </w:p>
    <w:p>
      <w:pPr>
        <w:pStyle w:val="ListParagraph"/>
        <w:numPr>
          <w:ilvl w:val="0"/>
          <w:numId w:val="2"/>
        </w:numPr>
      </w:pPr>
      <w:r>
        <w:rPr>
          <w:rFonts w:ascii="Arial" w:cs="Arial" w:eastAsia="Arial" w:hAnsi="Arial"/>
          <w:sz w:val="22"/>
          <w:szCs w:val="22"/>
        </w:rPr>
        <w:t xml:space="preserve">Invoice Exception Management - Variance resolution</w:t>
      </w:r>
    </w:p>
    <w:p>
      <w:pPr>
        <w:pStyle w:val="ListParagraph"/>
        <w:numPr>
          <w:ilvl w:val="0"/>
          <w:numId w:val="2"/>
        </w:numPr>
        <w:spacing w:after="200"/>
      </w:pPr>
      <w:r>
        <w:rPr>
          <w:rFonts w:ascii="Arial" w:cs="Arial" w:eastAsia="Arial" w:hAnsi="Arial"/>
          <w:sz w:val="22"/>
          <w:szCs w:val="22"/>
        </w:rPr>
        <w:t xml:space="preserve">Invoice Approval Workflow - Approval processing</w:t>
      </w:r>
    </w:p>
    <w:p>
      <w:pPr>
        <w:spacing w:after="100"/>
      </w:pPr>
      <w:r>
        <w:rPr>
          <w:rFonts w:ascii="Arial" w:cs="Arial" w:eastAsia="Arial" w:hAnsi="Arial"/>
          <w:b/>
          <w:bCs/>
          <w:sz w:val="22"/>
          <w:szCs w:val="22"/>
        </w:rPr>
        <w:t xml:space="preserve">Three-Way Match Formula:</w:t>
      </w:r>
    </w:p>
    <w:p>
      <w:pPr>
        <w:spacing w:after="200"/>
      </w:pPr>
      <w:r>
        <w:rPr>
          <w:rFonts w:ascii="Arial" w:cs="Arial" w:eastAsia="Arial" w:hAnsi="Arial"/>
          <w:i/>
          <w:iCs/>
          <w:sz w:val="22"/>
          <w:szCs w:val="22"/>
        </w:rPr>
        <w:t xml:space="preserve">Match Status = f(PO Quantity, GR Quantity, Invoice Quantity, PO Price, Invoice Price, Tolerance Rules)</w:t>
      </w:r>
    </w:p>
    <w:p>
      <w:pPr>
        <w:pStyle w:val="Heading2"/>
      </w:pPr>
      <w:r>
        <w:rPr>
          <w:rFonts w:ascii="Arial" w:cs="Arial" w:eastAsia="Arial" w:hAnsi="Arial"/>
        </w:rPr>
        <w:t xml:space="preserve">3.2. Process Flow</w:t>
      </w:r>
    </w:p>
    <w:p>
      <w:pPr>
        <w:spacing w:after="100"/>
      </w:pPr>
      <w:r>
        <w:rPr>
          <w:rFonts w:ascii="Arial" w:cs="Arial" w:eastAsia="Arial" w:hAnsi="Arial"/>
          <w:b/>
          <w:bCs/>
          <w:sz w:val="22"/>
          <w:szCs w:val="22"/>
        </w:rPr>
        <w:t xml:space="preserve">Invoice Verification Workflow:</w:t>
      </w:r>
    </w:p>
    <w:p>
      <w:pPr>
        <w:spacing w:after="80"/>
      </w:pPr>
      <w:r>
        <w:rPr>
          <w:rFonts w:ascii="Arial" w:cs="Arial" w:eastAsia="Arial" w:hAnsi="Arial"/>
          <w:sz w:val="22"/>
          <w:szCs w:val="22"/>
        </w:rPr>
        <w:t xml:space="preserve">1. Invoice Receipt: Supplier invoice received (manual entry or upload)</w:t>
      </w:r>
    </w:p>
    <w:p>
      <w:pPr>
        <w:spacing w:after="80"/>
      </w:pPr>
      <w:r>
        <w:rPr>
          <w:rFonts w:ascii="Arial" w:cs="Arial" w:eastAsia="Arial" w:hAnsi="Arial"/>
          <w:sz w:val="22"/>
          <w:szCs w:val="22"/>
        </w:rPr>
        <w:t xml:space="preserve">2. Duplicate Check: System validates against existing invoices</w:t>
      </w:r>
    </w:p>
    <w:p>
      <w:pPr>
        <w:spacing w:after="80"/>
      </w:pPr>
      <w:r>
        <w:rPr>
          <w:rFonts w:ascii="Arial" w:cs="Arial" w:eastAsia="Arial" w:hAnsi="Arial"/>
          <w:sz w:val="22"/>
          <w:szCs w:val="22"/>
        </w:rPr>
        <w:t xml:space="preserve">3. PO Matching: Invoice linked to Purchase Order by reference</w:t>
      </w:r>
    </w:p>
    <w:p>
      <w:pPr>
        <w:spacing w:after="80"/>
      </w:pPr>
      <w:r>
        <w:rPr>
          <w:rFonts w:ascii="Arial" w:cs="Arial" w:eastAsia="Arial" w:hAnsi="Arial"/>
          <w:sz w:val="22"/>
          <w:szCs w:val="22"/>
        </w:rPr>
        <w:t xml:space="preserve">4. GR Matching: Invoice quantities compared to Goods Receipt</w:t>
      </w:r>
    </w:p>
    <w:p>
      <w:pPr>
        <w:spacing w:after="80"/>
      </w:pPr>
      <w:r>
        <w:rPr>
          <w:rFonts w:ascii="Arial" w:cs="Arial" w:eastAsia="Arial" w:hAnsi="Arial"/>
          <w:sz w:val="22"/>
          <w:szCs w:val="22"/>
        </w:rPr>
        <w:t xml:space="preserve">5. Variance Detection: Price and quantity variances calculated</w:t>
      </w:r>
    </w:p>
    <w:p>
      <w:pPr>
        <w:spacing w:after="80"/>
      </w:pPr>
      <w:r>
        <w:rPr>
          <w:rFonts w:ascii="Arial" w:cs="Arial" w:eastAsia="Arial" w:hAnsi="Arial"/>
          <w:sz w:val="22"/>
          <w:szCs w:val="22"/>
        </w:rPr>
        <w:t xml:space="preserve">6. Tolerance Check: Variances compared against configured thresholds</w:t>
      </w:r>
    </w:p>
    <w:p>
      <w:pPr>
        <w:spacing w:after="80"/>
      </w:pPr>
      <w:r>
        <w:rPr>
          <w:rFonts w:ascii="Arial" w:cs="Arial" w:eastAsia="Arial" w:hAnsi="Arial"/>
          <w:sz w:val="22"/>
          <w:szCs w:val="22"/>
        </w:rPr>
        <w:t xml:space="preserve">7. Workflow Routing: Within tolerance → auto-approve; Exceed → approval queue</w:t>
      </w:r>
    </w:p>
    <w:p>
      <w:pPr>
        <w:spacing w:after="80"/>
      </w:pPr>
      <w:r>
        <w:rPr>
          <w:rFonts w:ascii="Arial" w:cs="Arial" w:eastAsia="Arial" w:hAnsi="Arial"/>
          <w:sz w:val="22"/>
          <w:szCs w:val="22"/>
        </w:rPr>
        <w:t xml:space="preserve">8. Approval Processing: Reviewer approves, rejects, or requests clarification</w:t>
      </w:r>
    </w:p>
    <w:p>
      <w:pPr>
        <w:spacing w:after="80"/>
      </w:pPr>
      <w:r>
        <w:rPr>
          <w:rFonts w:ascii="Arial" w:cs="Arial" w:eastAsia="Arial" w:hAnsi="Arial"/>
          <w:sz w:val="22"/>
          <w:szCs w:val="22"/>
        </w:rPr>
        <w:t xml:space="preserve">9. FI Posting: Approved invoice posted to S/4HANA</w:t>
      </w:r>
    </w:p>
    <w:p>
      <w:pPr>
        <w:spacing w:after="200"/>
      </w:pPr>
      <w:r>
        <w:rPr>
          <w:rFonts w:ascii="Arial" w:cs="Arial" w:eastAsia="Arial" w:hAnsi="Arial"/>
          <w:sz w:val="22"/>
          <w:szCs w:val="22"/>
        </w:rPr>
        <w:t xml:space="preserve">10. GR/IR Clearing: Clearing entries processed</w:t>
      </w:r>
    </w:p>
    <w:p>
      <w:pPr>
        <w:pStyle w:val="Heading2"/>
      </w:pPr>
      <w:r>
        <w:rPr>
          <w:rFonts w:ascii="Arial" w:cs="Arial" w:eastAsia="Arial" w:hAnsi="Arial"/>
        </w:rPr>
        <w:t xml:space="preserve">3.3. Impact of Change</w:t>
      </w:r>
    </w:p>
    <w:p>
      <w:pPr>
        <w:spacing w:after="100"/>
      </w:pPr>
      <w:r>
        <w:rPr>
          <w:rFonts w:ascii="Arial" w:cs="Arial" w:eastAsia="Arial" w:hAnsi="Arial"/>
          <w:b/>
          <w:bCs/>
          <w:sz w:val="22"/>
          <w:szCs w:val="22"/>
        </w:rPr>
        <w:t xml:space="preserve">Upstream Impacts (FDD-05 Fuel Ticket &amp; ePOD):</w:t>
      </w:r>
    </w:p>
    <w:p>
      <w:pPr>
        <w:pStyle w:val="ListParagraph"/>
        <w:numPr>
          <w:ilvl w:val="0"/>
          <w:numId w:val="2"/>
        </w:numPr>
      </w:pPr>
      <w:r>
        <w:rPr>
          <w:rFonts w:ascii="Arial" w:cs="Arial" w:eastAsia="Arial" w:hAnsi="Arial"/>
          <w:sz w:val="22"/>
          <w:szCs w:val="22"/>
        </w:rPr>
        <w:t xml:space="preserve">ePOD data (temperature-corrected quantity) used as GR reference</w:t>
      </w:r>
    </w:p>
    <w:p>
      <w:pPr>
        <w:pStyle w:val="ListParagraph"/>
        <w:numPr>
          <w:ilvl w:val="0"/>
          <w:numId w:val="2"/>
        </w:numPr>
      </w:pPr>
      <w:r>
        <w:rPr>
          <w:rFonts w:ascii="Arial" w:cs="Arial" w:eastAsia="Arial" w:hAnsi="Arial"/>
          <w:sz w:val="22"/>
          <w:szCs w:val="22"/>
        </w:rPr>
        <w:t xml:space="preserve">PDF ticket available for auditor review during verification</w:t>
      </w:r>
    </w:p>
    <w:p>
      <w:pPr>
        <w:pStyle w:val="ListParagraph"/>
        <w:numPr>
          <w:ilvl w:val="0"/>
          <w:numId w:val="2"/>
        </w:numPr>
        <w:spacing w:after="200"/>
      </w:pPr>
      <w:r>
        <w:rPr>
          <w:rFonts w:ascii="Arial" w:cs="Arial" w:eastAsia="Arial" w:hAnsi="Arial"/>
          <w:sz w:val="22"/>
          <w:szCs w:val="22"/>
        </w:rPr>
        <w:t xml:space="preserve">Delivery disputes flagged and blocked from invoice matching</w:t>
      </w:r>
    </w:p>
    <w:p>
      <w:pPr>
        <w:spacing w:after="100"/>
      </w:pPr>
      <w:r>
        <w:rPr>
          <w:rFonts w:ascii="Arial" w:cs="Arial" w:eastAsia="Arial" w:hAnsi="Arial"/>
          <w:b/>
          <w:bCs/>
          <w:sz w:val="22"/>
          <w:szCs w:val="22"/>
        </w:rPr>
        <w:t xml:space="preserve">Downstream Impacts (FDD-10 Finance Integration):</w:t>
      </w:r>
    </w:p>
    <w:p>
      <w:pPr>
        <w:pStyle w:val="ListParagraph"/>
        <w:numPr>
          <w:ilvl w:val="0"/>
          <w:numId w:val="2"/>
        </w:numPr>
      </w:pPr>
      <w:r>
        <w:rPr>
          <w:rFonts w:ascii="Arial" w:cs="Arial" w:eastAsia="Arial" w:hAnsi="Arial"/>
          <w:sz w:val="22"/>
          <w:szCs w:val="22"/>
        </w:rPr>
        <w:t xml:space="preserve">Posted invoices trigger cost allocation processes</w:t>
      </w:r>
    </w:p>
    <w:p>
      <w:pPr>
        <w:pStyle w:val="ListParagraph"/>
        <w:numPr>
          <w:ilvl w:val="0"/>
          <w:numId w:val="2"/>
        </w:numPr>
      </w:pPr>
      <w:r>
        <w:rPr>
          <w:rFonts w:ascii="Arial" w:cs="Arial" w:eastAsia="Arial" w:hAnsi="Arial"/>
          <w:sz w:val="22"/>
          <w:szCs w:val="22"/>
        </w:rPr>
        <w:t xml:space="preserve">GR/IR clearing affects balance sheet accounts</w:t>
      </w:r>
    </w:p>
    <w:p>
      <w:pPr>
        <w:pStyle w:val="ListParagraph"/>
        <w:numPr>
          <w:ilvl w:val="0"/>
          <w:numId w:val="2"/>
        </w:numPr>
        <w:spacing w:after="200"/>
      </w:pPr>
      <w:r>
        <w:rPr>
          <w:rFonts w:ascii="Arial" w:cs="Arial" w:eastAsia="Arial" w:hAnsi="Arial"/>
          <w:sz w:val="22"/>
          <w:szCs w:val="22"/>
        </w:rPr>
        <w:t xml:space="preserve">Approved invoices included in payment forecast</w:t>
      </w:r>
    </w:p>
    <w:p>
      <w:r>
        <w:br w:type="page"/>
      </w:r>
    </w:p>
    <w:p>
      <w:pPr>
        <w:pStyle w:val="Heading1"/>
      </w:pPr>
      <w:r>
        <w:rPr>
          <w:rFonts w:ascii="Arial" w:cs="Arial" w:eastAsia="Arial" w:hAnsi="Arial"/>
        </w:rPr>
        <w:t xml:space="preserve">4. Testing Requirements</w:t>
      </w:r>
    </w:p>
    <w:p>
      <w:pPr>
        <w:pStyle w:val="Heading2"/>
      </w:pPr>
      <w:r>
        <w:rPr>
          <w:rFonts w:ascii="Arial" w:cs="Arial" w:eastAsia="Arial" w:hAnsi="Arial"/>
        </w:rPr>
        <w:t xml:space="preserve">4.1. Test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2000"/>
        <w:gridCol w:w="1660"/>
      </w:tblGrid>
      <w:tr>
        <w:tc>
          <w:tcPr>
            <w:tcW w:type="dxa" w:w="1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4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Scenario Description</w:t>
            </w:r>
          </w:p>
        </w:tc>
        <w:tc>
          <w:tcPr>
            <w:tcW w:type="dxa" w:w="20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16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INV-T001</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Create invoice with valid PO reference and exact match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Functional</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1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INV-T002</w:t>
            </w:r>
          </w:p>
        </w:tc>
        <w:tc>
          <w:tcPr>
            <w:tcW w:type="dxa" w:w="4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Three-way match with no variance (exact)</w:t>
            </w:r>
          </w:p>
        </w:tc>
        <w:tc>
          <w:tcPr>
            <w:tcW w:type="dxa" w:w="2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16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P1</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INV-T003</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Three-way match with price variance within tolerance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Functional</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1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INV-T004</w:t>
            </w:r>
          </w:p>
        </w:tc>
        <w:tc>
          <w:tcPr>
            <w:tcW w:type="dxa" w:w="4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Three-way match with price variance exceeding tolerance</w:t>
            </w:r>
          </w:p>
        </w:tc>
        <w:tc>
          <w:tcPr>
            <w:tcW w:type="dxa" w:w="2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Functional</w:t>
            </w:r>
          </w:p>
        </w:tc>
        <w:tc>
          <w:tcPr>
            <w:tcW w:type="dxa" w:w="16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P1</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INV-T005</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Three-way match with quantity variance within tolerance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Functional</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1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INV-T006</w:t>
            </w:r>
          </w:p>
        </w:tc>
        <w:tc>
          <w:tcPr>
            <w:tcW w:type="dxa" w:w="4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Three-way match with quantity variance exceeding tolerance</w:t>
            </w:r>
          </w:p>
        </w:tc>
        <w:tc>
          <w:tcPr>
            <w:tcW w:type="dxa" w:w="2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Functional</w:t>
            </w:r>
          </w:p>
        </w:tc>
        <w:tc>
          <w:tcPr>
            <w:tcW w:type="dxa" w:w="16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P1</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INV-T007</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Duplicate invoice detection and blocking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Validation</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1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INV-T008</w:t>
            </w:r>
          </w:p>
        </w:tc>
        <w:tc>
          <w:tcPr>
            <w:tcW w:type="dxa" w:w="4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Invoice approval within value limit</w:t>
            </w:r>
          </w:p>
        </w:tc>
        <w:tc>
          <w:tcPr>
            <w:tcW w:type="dxa" w:w="2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Workflow</w:t>
            </w:r>
          </w:p>
        </w:tc>
        <w:tc>
          <w:tcPr>
            <w:tcW w:type="dxa" w:w="16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P1</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INV-T009</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Dual approval for exception invoices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Workflow</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1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INV-T010</w:t>
            </w:r>
          </w:p>
        </w:tc>
        <w:tc>
          <w:tcPr>
            <w:tcW w:type="dxa" w:w="4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S/4HANA FI document posting on approval</w:t>
            </w:r>
          </w:p>
        </w:tc>
        <w:tc>
          <w:tcPr>
            <w:tcW w:type="dxa" w:w="2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16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P1</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INV-T011</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Invoice rejection and return for correction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Functional</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r>
      <w:tr>
        <w:tc>
          <w:tcPr>
            <w:tcW w:type="dxa" w:w="1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INV-T012</w:t>
            </w:r>
          </w:p>
        </w:tc>
        <w:tc>
          <w:tcPr>
            <w:tcW w:type="dxa" w:w="4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GR/IR clearing execution</w:t>
            </w:r>
          </w:p>
        </w:tc>
        <w:tc>
          <w:tcPr>
            <w:tcW w:type="dxa" w:w="2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16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P1</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INV-T013</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Invoice reversal/cancellation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Functional</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r>
      <w:tr>
        <w:tc>
          <w:tcPr>
            <w:tcW w:type="dxa" w:w="1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INV-T014</w:t>
            </w:r>
          </w:p>
        </w:tc>
        <w:tc>
          <w:tcPr>
            <w:tcW w:type="dxa" w:w="4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Multi-currency invoice processing</w:t>
            </w:r>
          </w:p>
        </w:tc>
        <w:tc>
          <w:tcPr>
            <w:tcW w:type="dxa" w:w="2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Functional</w:t>
            </w:r>
          </w:p>
        </w:tc>
        <w:tc>
          <w:tcPr>
            <w:tcW w:type="dxa" w:w="16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P2</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INV-T015</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Finance Controller role authorization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bl>
    <w:p>
      <w:pPr>
        <w:spacing w:after="300"/>
      </w:pPr>
    </w:p>
    <w:p>
      <w:pPr>
        <w:pStyle w:val="Heading2"/>
      </w:pPr>
      <w:r>
        <w:rPr>
          <w:rFonts w:ascii="Arial" w:cs="Arial" w:eastAsia="Arial" w:hAnsi="Arial"/>
        </w:rPr>
        <w:t xml:space="preserve">4.2. Regression Test Scenarios</w:t>
      </w:r>
    </w:p>
    <w:p>
      <w:pPr>
        <w:pStyle w:val="ListParagraph"/>
        <w:numPr>
          <w:ilvl w:val="0"/>
          <w:numId w:val="2"/>
        </w:numPr>
      </w:pPr>
      <w:r>
        <w:rPr>
          <w:rFonts w:ascii="Arial" w:cs="Arial" w:eastAsia="Arial" w:hAnsi="Arial"/>
          <w:sz w:val="22"/>
          <w:szCs w:val="22"/>
        </w:rPr>
        <w:t xml:space="preserve">REG-INV-001: Existing invoice records accessible after system upgrade</w:t>
      </w:r>
    </w:p>
    <w:p>
      <w:pPr>
        <w:pStyle w:val="ListParagraph"/>
        <w:numPr>
          <w:ilvl w:val="0"/>
          <w:numId w:val="2"/>
        </w:numPr>
      </w:pPr>
      <w:r>
        <w:rPr>
          <w:rFonts w:ascii="Arial" w:cs="Arial" w:eastAsia="Arial" w:hAnsi="Arial"/>
          <w:sz w:val="22"/>
          <w:szCs w:val="22"/>
        </w:rPr>
        <w:t xml:space="preserve">REG-INV-002: S/4HANA FI posting integration continues functioning</w:t>
      </w:r>
    </w:p>
    <w:p>
      <w:pPr>
        <w:pStyle w:val="ListParagraph"/>
        <w:numPr>
          <w:ilvl w:val="0"/>
          <w:numId w:val="2"/>
        </w:numPr>
      </w:pPr>
      <w:r>
        <w:rPr>
          <w:rFonts w:ascii="Arial" w:cs="Arial" w:eastAsia="Arial" w:hAnsi="Arial"/>
          <w:sz w:val="22"/>
          <w:szCs w:val="22"/>
        </w:rPr>
        <w:t xml:space="preserve">REG-INV-003: Tolerance rule configurations preserved</w:t>
      </w:r>
    </w:p>
    <w:p>
      <w:pPr>
        <w:pStyle w:val="ListParagraph"/>
        <w:numPr>
          <w:ilvl w:val="0"/>
          <w:numId w:val="2"/>
        </w:numPr>
        <w:spacing w:after="200"/>
      </w:pPr>
      <w:r>
        <w:rPr>
          <w:rFonts w:ascii="Arial" w:cs="Arial" w:eastAsia="Arial" w:hAnsi="Arial"/>
          <w:sz w:val="22"/>
          <w:szCs w:val="22"/>
        </w:rPr>
        <w:t xml:space="preserve">REG-INV-004: Approval workflow routing unchanged</w:t>
      </w:r>
    </w:p>
    <w:p>
      <w:pPr>
        <w:pStyle w:val="Heading2"/>
      </w:pPr>
      <w:r>
        <w:rPr>
          <w:rFonts w:ascii="Arial" w:cs="Arial" w:eastAsia="Arial" w:hAnsi="Arial"/>
        </w:rPr>
        <w:t xml:space="preserve">4.3. Performance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8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68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Test Method</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Single three-way match calculation</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&lt; 500ms</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Unit test</w:t>
            </w:r>
          </w:p>
        </w:tc>
      </w:tr>
      <w:tr>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Invoice list load (1000 records)</w:t>
            </w:r>
          </w:p>
        </w:tc>
        <w:tc>
          <w:tcPr>
            <w:tcW w:type="dxa" w:w="268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&lt; 2 seconds</w:t>
            </w:r>
          </w:p>
        </w:tc>
        <w:tc>
          <w:tcPr>
            <w:tcW w:type="dxa" w:w="268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Load test</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S/4HANA FI posting</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&lt; 3 seconds</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Integration test</w:t>
            </w:r>
          </w:p>
        </w:tc>
      </w:tr>
      <w:tr>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Batch matching (500 invoices)</w:t>
            </w:r>
          </w:p>
        </w:tc>
        <w:tc>
          <w:tcPr>
            <w:tcW w:type="dxa" w:w="268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&lt; 10 minutes</w:t>
            </w:r>
          </w:p>
        </w:tc>
        <w:tc>
          <w:tcPr>
            <w:tcW w:type="dxa" w:w="268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Load test</w:t>
            </w:r>
          </w:p>
        </w:tc>
      </w:tr>
    </w:tbl>
    <w:p>
      <w:r>
        <w:br w:type="page"/>
      </w:r>
    </w:p>
    <w:p>
      <w:pPr>
        <w:pStyle w:val="Heading1"/>
      </w:pPr>
      <w:r>
        <w:rPr>
          <w:rFonts w:ascii="Arial" w:cs="Arial" w:eastAsia="Arial" w:hAnsi="Arial"/>
        </w:rPr>
        <w:t xml:space="preserve">5. Issues</w:t>
      </w:r>
    </w:p>
    <w:p>
      <w:pPr>
        <w:pStyle w:val="Heading2"/>
      </w:pPr>
      <w:r>
        <w:rPr>
          <w:rFonts w:ascii="Arial" w:cs="Arial" w:eastAsia="Arial" w:hAnsi="Arial"/>
        </w:rPr>
        <w:t xml:space="preserve">5.1. Technical Issues &amp; Resolution</w:t>
      </w:r>
    </w:p>
    <w:p>
      <w:pPr>
        <w:spacing w:after="200"/>
      </w:pPr>
      <w:r>
        <w:rPr>
          <w:rFonts w:ascii="Arial" w:cs="Arial" w:eastAsia="Arial" w:hAnsi="Arial"/>
          <w:i/>
          <w:iCs/>
          <w:sz w:val="22"/>
          <w:szCs w:val="22"/>
        </w:rPr>
        <w:t xml:space="preserve">[To be populated during development]</w:t>
      </w:r>
    </w:p>
    <w:p>
      <w:pPr>
        <w:pStyle w:val="Heading1"/>
      </w:pPr>
      <w:r>
        <w:rPr>
          <w:rFonts w:ascii="Arial" w:cs="Arial" w:eastAsia="Arial" w:hAnsi="Arial"/>
        </w:rPr>
        <w:t xml:space="preserve">6. Change Requests</w:t>
      </w:r>
    </w:p>
    <w:p>
      <w:pPr>
        <w:pStyle w:val="Heading2"/>
      </w:pPr>
      <w:r>
        <w:rPr>
          <w:rFonts w:ascii="Arial" w:cs="Arial" w:eastAsia="Arial" w:hAnsi="Arial"/>
        </w:rPr>
        <w:t xml:space="preserve">6.1. Change Request Log</w:t>
      </w:r>
    </w:p>
    <w:p>
      <w:pPr>
        <w:spacing w:after="200"/>
      </w:pPr>
      <w:r>
        <w:rPr>
          <w:rFonts w:ascii="Arial" w:cs="Arial" w:eastAsia="Arial" w:hAnsi="Arial"/>
          <w:i/>
          <w:iCs/>
          <w:sz w:val="22"/>
          <w:szCs w:val="22"/>
        </w:rPr>
        <w:t xml:space="preserve">[To be populated during project]</w:t>
      </w:r>
    </w:p>
    <w:p>
      <w:r>
        <w:br w:type="page"/>
      </w:r>
    </w:p>
    <w:p>
      <w:pPr>
        <w:pStyle w:val="Heading1"/>
      </w:pPr>
      <w:r>
        <w:rPr>
          <w:rFonts w:ascii="Arial" w:cs="Arial" w:eastAsia="Arial" w:hAnsi="Arial"/>
        </w:rPr>
        <w:t xml:space="preserve">7. Technical Specification</w:t>
      </w:r>
    </w:p>
    <w:p>
      <w:pPr>
        <w:pStyle w:val="Heading2"/>
      </w:pPr>
      <w:r>
        <w:rPr>
          <w:rFonts w:ascii="Arial" w:cs="Arial" w:eastAsia="Arial" w:hAnsi="Arial"/>
        </w:rPr>
        <w:t xml:space="preserve">7.1. Technical Flow Diagram</w:t>
      </w:r>
    </w:p>
    <w:p>
      <w:pPr>
        <w:spacing w:after="200"/>
      </w:pPr>
      <w:r>
        <w:rPr>
          <w:rFonts w:ascii="Arial" w:cs="Arial" w:eastAsia="Arial" w:hAnsi="Arial"/>
          <w:sz w:val="22"/>
          <w:szCs w:val="22"/>
        </w:rPr>
        <w:t xml:space="preserve">[Supplier] → [FuelSphere Invoice Entry] → [Three-Way Match Engine] → [Approval Workflow] → [S/4HANA FI]</w:t>
      </w:r>
    </w:p>
    <w:p>
      <w:pPr>
        <w:pStyle w:val="Heading2"/>
      </w:pPr>
      <w:r>
        <w:rPr>
          <w:rFonts w:ascii="Arial" w:cs="Arial" w:eastAsia="Arial" w:hAnsi="Arial"/>
        </w:rPr>
        <w:t xml:space="preserve">7.2. Program Flow Logic</w:t>
      </w:r>
    </w:p>
    <w:p>
      <w:pPr>
        <w:spacing w:after="100"/>
      </w:pPr>
      <w:r>
        <w:rPr>
          <w:rFonts w:ascii="Arial" w:cs="Arial" w:eastAsia="Arial" w:hAnsi="Arial"/>
          <w:b/>
          <w:bCs/>
          <w:sz w:val="22"/>
          <w:szCs w:val="22"/>
        </w:rPr>
        <w:t xml:space="preserve">Three-Way Match Logic:</w:t>
      </w:r>
    </w:p>
    <w:p>
      <w:pPr>
        <w:spacing w:after="80"/>
      </w:pPr>
      <w:r>
        <w:rPr>
          <w:rFonts w:ascii="Arial" w:cs="Arial" w:eastAsia="Arial" w:hAnsi="Arial"/>
          <w:sz w:val="22"/>
          <w:szCs w:val="22"/>
        </w:rPr>
        <w:t xml:space="preserve">1. Retrieve PO details from S/4HANA by reference number</w:t>
      </w:r>
    </w:p>
    <w:p>
      <w:pPr>
        <w:spacing w:after="80"/>
      </w:pPr>
      <w:r>
        <w:rPr>
          <w:rFonts w:ascii="Arial" w:cs="Arial" w:eastAsia="Arial" w:hAnsi="Arial"/>
          <w:sz w:val="22"/>
          <w:szCs w:val="22"/>
        </w:rPr>
        <w:t xml:space="preserve">2. Retrieve GR details from S/4HANA linked to PO</w:t>
      </w:r>
    </w:p>
    <w:p>
      <w:pPr>
        <w:spacing w:after="80"/>
      </w:pPr>
      <w:r>
        <w:rPr>
          <w:rFonts w:ascii="Arial" w:cs="Arial" w:eastAsia="Arial" w:hAnsi="Arial"/>
          <w:sz w:val="22"/>
          <w:szCs w:val="22"/>
        </w:rPr>
        <w:t xml:space="preserve">3. Calculate quantity variance: (Invoice Qty - GR Qty) / GR Qty × 100</w:t>
      </w:r>
    </w:p>
    <w:p>
      <w:pPr>
        <w:spacing w:after="80"/>
      </w:pPr>
      <w:r>
        <w:rPr>
          <w:rFonts w:ascii="Arial" w:cs="Arial" w:eastAsia="Arial" w:hAnsi="Arial"/>
          <w:sz w:val="22"/>
          <w:szCs w:val="22"/>
        </w:rPr>
        <w:t xml:space="preserve">4. Calculate price variance: (Invoice Price - PO Price) / PO Price × 100</w:t>
      </w:r>
    </w:p>
    <w:p>
      <w:pPr>
        <w:spacing w:after="80"/>
      </w:pPr>
      <w:r>
        <w:rPr>
          <w:rFonts w:ascii="Arial" w:cs="Arial" w:eastAsia="Arial" w:hAnsi="Arial"/>
          <w:sz w:val="22"/>
          <w:szCs w:val="22"/>
        </w:rPr>
        <w:t xml:space="preserve">5. Load tolerance rules for company code</w:t>
      </w:r>
    </w:p>
    <w:p>
      <w:pPr>
        <w:spacing w:after="80"/>
      </w:pPr>
      <w:r>
        <w:rPr>
          <w:rFonts w:ascii="Arial" w:cs="Arial" w:eastAsia="Arial" w:hAnsi="Arial"/>
          <w:sz w:val="22"/>
          <w:szCs w:val="22"/>
        </w:rPr>
        <w:t xml:space="preserve">6. If both variances within tolerance → status = Matched</w:t>
      </w:r>
    </w:p>
    <w:p>
      <w:pPr>
        <w:spacing w:after="80"/>
      </w:pPr>
      <w:r>
        <w:rPr>
          <w:rFonts w:ascii="Arial" w:cs="Arial" w:eastAsia="Arial" w:hAnsi="Arial"/>
          <w:sz w:val="22"/>
          <w:szCs w:val="22"/>
        </w:rPr>
        <w:t xml:space="preserve">7. If any variance exceeds tolerance → status = Exception</w:t>
      </w:r>
    </w:p>
    <w:p>
      <w:pPr>
        <w:spacing w:after="200"/>
      </w:pPr>
      <w:r>
        <w:rPr>
          <w:rFonts w:ascii="Arial" w:cs="Arial" w:eastAsia="Arial" w:hAnsi="Arial"/>
          <w:sz w:val="22"/>
          <w:szCs w:val="22"/>
        </w:rPr>
        <w:t xml:space="preserve">8. Store match result with variance breakdown</w:t>
      </w:r>
    </w:p>
    <w:p>
      <w:pPr>
        <w:pStyle w:val="Heading2"/>
      </w:pPr>
      <w:r>
        <w:rPr>
          <w:rFonts w:ascii="Arial" w:cs="Arial" w:eastAsia="Arial" w:hAnsi="Arial"/>
        </w:rPr>
        <w:t xml:space="preserve">7.3. UI Mockups</w:t>
      </w:r>
    </w:p>
    <w:p>
      <w:pPr>
        <w:spacing w:after="100"/>
      </w:pPr>
      <w:r>
        <w:rPr>
          <w:rFonts w:ascii="Arial" w:cs="Arial" w:eastAsia="Arial" w:hAnsi="Arial"/>
          <w:b/>
          <w:bCs/>
          <w:sz w:val="22"/>
          <w:szCs w:val="22"/>
        </w:rPr>
        <w:t xml:space="preserve">Screen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000"/>
        <w:gridCol w:w="1360"/>
      </w:tblGrid>
      <w:tr>
        <w:tc>
          <w:tcPr>
            <w:tcW w:type="dxa" w:w="3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Screen Name</w:t>
            </w:r>
          </w:p>
        </w:tc>
        <w:tc>
          <w:tcPr>
            <w:tcW w:type="dxa" w:w="2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Floorplan</w:t>
            </w:r>
          </w:p>
        </w:tc>
        <w:tc>
          <w:tcPr>
            <w:tcW w:type="dxa" w:w="20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13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Finance Controller Home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Overview Page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Finance Controller</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Invoice Verification Dashboard</w:t>
            </w:r>
          </w:p>
        </w:tc>
        <w:tc>
          <w:tcPr>
            <w:tcW w:type="dxa" w:w="2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Overview Page</w:t>
            </w:r>
          </w:p>
        </w:tc>
        <w:tc>
          <w:tcPr>
            <w:tcW w:type="dxa" w:w="2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Finance Controller</w:t>
            </w:r>
          </w:p>
        </w:tc>
        <w:tc>
          <w:tcPr>
            <w:tcW w:type="dxa" w:w="1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Invoice Register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List Report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AP Clerk</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Invoice Detail (Display)</w:t>
            </w:r>
          </w:p>
        </w:tc>
        <w:tc>
          <w:tcPr>
            <w:tcW w:type="dxa" w:w="2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Object Page</w:t>
            </w:r>
          </w:p>
        </w:tc>
        <w:tc>
          <w:tcPr>
            <w:tcW w:type="dxa" w:w="2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Finance Controller</w:t>
            </w:r>
          </w:p>
        </w:tc>
        <w:tc>
          <w:tcPr>
            <w:tcW w:type="dxa" w:w="1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Invoice Detail (Edit)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Object Page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AP Clerk</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Invoice Verification Cockpit</w:t>
            </w:r>
          </w:p>
        </w:tc>
        <w:tc>
          <w:tcPr>
            <w:tcW w:type="dxa" w:w="2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Worklist</w:t>
            </w:r>
          </w:p>
        </w:tc>
        <w:tc>
          <w:tcPr>
            <w:tcW w:type="dxa" w:w="2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Finance Controller</w:t>
            </w:r>
          </w:p>
        </w:tc>
        <w:tc>
          <w:tcPr>
            <w:tcW w:type="dxa" w:w="1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Three-Way Match Table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List Report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Finance Controller</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Invoice Validation Wizard</w:t>
            </w:r>
          </w:p>
        </w:tc>
        <w:tc>
          <w:tcPr>
            <w:tcW w:type="dxa" w:w="2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Wizard</w:t>
            </w:r>
          </w:p>
        </w:tc>
        <w:tc>
          <w:tcPr>
            <w:tcW w:type="dxa" w:w="2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AP Clerk</w:t>
            </w:r>
          </w:p>
        </w:tc>
        <w:tc>
          <w:tcPr>
            <w:tcW w:type="dxa" w:w="1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P2</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Smart Invoice Queue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Worklist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Finance Controller</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Invoice Exception Management</w:t>
            </w:r>
          </w:p>
        </w:tc>
        <w:tc>
          <w:tcPr>
            <w:tcW w:type="dxa" w:w="2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Worklist</w:t>
            </w:r>
          </w:p>
        </w:tc>
        <w:tc>
          <w:tcPr>
            <w:tcW w:type="dxa" w:w="2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Finance Controller</w:t>
            </w:r>
          </w:p>
        </w:tc>
        <w:tc>
          <w:tcPr>
            <w:tcW w:type="dxa" w:w="1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Invoice Approval Workflow</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Worklist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Finance Manager</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bl>
    <w:p>
      <w:pPr>
        <w:spacing w:after="300"/>
      </w:pPr>
    </w:p>
    <w:p>
      <w:pPr>
        <w:pStyle w:val="Heading2"/>
      </w:pPr>
      <w:r>
        <w:rPr>
          <w:rFonts w:ascii="Arial" w:cs="Arial" w:eastAsia="Arial" w:hAnsi="Arial"/>
        </w:rPr>
        <w:t xml:space="preserve">7.4. Class Diagrams</w:t>
      </w:r>
    </w:p>
    <w:p>
      <w:pPr>
        <w:spacing w:after="200"/>
      </w:pPr>
      <w:r>
        <w:rPr>
          <w:rFonts w:ascii="Arial" w:cs="Arial" w:eastAsia="Arial" w:hAnsi="Arial"/>
          <w:i/>
          <w:iCs/>
          <w:sz w:val="22"/>
          <w:szCs w:val="22"/>
        </w:rPr>
        <w:t xml:space="preserve">[Placeholder for Class Diagrams]</w:t>
      </w:r>
    </w:p>
    <w:p>
      <w:pPr>
        <w:pStyle w:val="Heading2"/>
      </w:pPr>
      <w:r>
        <w:rPr>
          <w:rFonts w:ascii="Arial" w:cs="Arial" w:eastAsia="Arial" w:hAnsi="Arial"/>
        </w:rPr>
        <w:t xml:space="preserve">7.5. Sequence Diagrams</w:t>
      </w:r>
    </w:p>
    <w:p>
      <w:pPr>
        <w:spacing w:after="200"/>
      </w:pPr>
      <w:r>
        <w:rPr>
          <w:rFonts w:ascii="Arial" w:cs="Arial" w:eastAsia="Arial" w:hAnsi="Arial"/>
          <w:i/>
          <w:iCs/>
          <w:sz w:val="22"/>
          <w:szCs w:val="22"/>
        </w:rPr>
        <w:t xml:space="preserve">[Placeholder for Sequence Diagrams]</w:t>
      </w:r>
    </w:p>
    <w:p>
      <w:r>
        <w:br w:type="page"/>
      </w:r>
    </w:p>
    <w:p>
      <w:pPr>
        <w:pStyle w:val="Heading2"/>
      </w:pPr>
      <w:r>
        <w:rPr>
          <w:rFonts w:ascii="Arial" w:cs="Arial" w:eastAsia="Arial" w:hAnsi="Arial"/>
        </w:rPr>
        <w:t xml:space="preserve">7.6. Entity Relationship Diagrams</w:t>
      </w:r>
    </w:p>
    <w:p>
      <w:pPr>
        <w:pStyle w:val="Heading3"/>
      </w:pPr>
      <w:r>
        <w:rPr>
          <w:rFonts w:ascii="Arial" w:cs="Arial" w:eastAsia="Arial" w:hAnsi="Arial"/>
        </w:rPr>
        <w:t xml:space="preserve">7.6.1. INVOICES (Invoice Header)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000"/>
        <w:gridCol w:w="1360"/>
      </w:tblGrid>
      <w:tr>
        <w:tc>
          <w:tcPr>
            <w:tcW w:type="dxa" w:w="2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8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0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3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Unique identifier (PK)</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invoiceNumber</w:t>
            </w:r>
          </w:p>
        </w:tc>
        <w:tc>
          <w:tcPr>
            <w:tcW w:type="dxa" w:w="1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String(20)</w:t>
            </w:r>
          </w:p>
        </w:tc>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Supplier invoice number (UK)</w:t>
            </w:r>
          </w:p>
        </w:tc>
        <w:tc>
          <w:tcPr>
            <w:tcW w:type="dxa" w:w="1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supplier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Association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Link to Suppliers (FK)</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invoiceDate</w:t>
            </w:r>
          </w:p>
        </w:tc>
        <w:tc>
          <w:tcPr>
            <w:tcW w:type="dxa" w:w="1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Date</w:t>
            </w:r>
          </w:p>
        </w:tc>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Invoice date from supplier</w:t>
            </w:r>
          </w:p>
        </w:tc>
        <w:tc>
          <w:tcPr>
            <w:tcW w:type="dxa" w:w="1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postingDate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FI posting date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dueDate</w:t>
            </w:r>
          </w:p>
        </w:tc>
        <w:tc>
          <w:tcPr>
            <w:tcW w:type="dxa" w:w="1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Date</w:t>
            </w:r>
          </w:p>
        </w:tc>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Payment due date</w:t>
            </w:r>
          </w:p>
        </w:tc>
        <w:tc>
          <w:tcPr>
            <w:tcW w:type="dxa" w:w="1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currency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Association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Invoice currency (FK)</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netAmount</w:t>
            </w:r>
          </w:p>
        </w:tc>
        <w:tc>
          <w:tcPr>
            <w:tcW w:type="dxa" w:w="1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Decimal(15,2)</w:t>
            </w:r>
          </w:p>
        </w:tc>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Net invoice amount</w:t>
            </w:r>
          </w:p>
        </w:tc>
        <w:tc>
          <w:tcPr>
            <w:tcW w:type="dxa" w:w="1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taxAmount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Decimal(15,2)</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Tax amount</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grossAmount</w:t>
            </w:r>
          </w:p>
        </w:tc>
        <w:tc>
          <w:tcPr>
            <w:tcW w:type="dxa" w:w="1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Decimal(15,2)</w:t>
            </w:r>
          </w:p>
        </w:tc>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Gross amount (calculated)</w:t>
            </w:r>
          </w:p>
        </w:tc>
        <w:tc>
          <w:tcPr>
            <w:tcW w:type="dxa" w:w="1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matchStatus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String(20)</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Matched, PartialMatch, Unmatched, Exception</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priceVariance</w:t>
            </w:r>
          </w:p>
        </w:tc>
        <w:tc>
          <w:tcPr>
            <w:tcW w:type="dxa" w:w="1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Decimal(15,2)</w:t>
            </w:r>
          </w:p>
        </w:tc>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Price variance amount</w:t>
            </w:r>
          </w:p>
        </w:tc>
        <w:tc>
          <w:tcPr>
            <w:tcW w:type="dxa" w:w="1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quantityVariance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Decimal(12,2)</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Quantity variance amount</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approvalStatus</w:t>
            </w:r>
          </w:p>
        </w:tc>
        <w:tc>
          <w:tcPr>
            <w:tcW w:type="dxa" w:w="1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String(20)</w:t>
            </w:r>
          </w:p>
        </w:tc>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Pending, Approved, Rejected</w:t>
            </w:r>
          </w:p>
        </w:tc>
        <w:tc>
          <w:tcPr>
            <w:tcW w:type="dxa" w:w="1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s4DocumentNo</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String(10)</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S/4HANA FI Document Number</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String(20)</w:t>
            </w:r>
          </w:p>
        </w:tc>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Draft, Verified, Posted, Paid, Cancelled</w:t>
            </w:r>
          </w:p>
        </w:tc>
        <w:tc>
          <w:tcPr>
            <w:tcW w:type="dxa" w:w="1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Yes</w:t>
            </w:r>
          </w:p>
        </w:tc>
      </w:tr>
    </w:tbl>
    <w:p>
      <w:pPr>
        <w:spacing w:after="300"/>
      </w:pPr>
    </w:p>
    <w:p>
      <w:pPr>
        <w:pStyle w:val="Heading3"/>
      </w:pPr>
      <w:r>
        <w:rPr>
          <w:rFonts w:ascii="Arial" w:cs="Arial" w:eastAsia="Arial" w:hAnsi="Arial"/>
        </w:rPr>
        <w:t xml:space="preserve">7.6.2. INVOICE_ITEMS (Invoice Line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000"/>
        <w:gridCol w:w="1360"/>
      </w:tblGrid>
      <w:tr>
        <w:tc>
          <w:tcPr>
            <w:tcW w:type="dxa" w:w="2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8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0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3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Unique identifier (PK)</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invoice</w:t>
            </w:r>
          </w:p>
        </w:tc>
        <w:tc>
          <w:tcPr>
            <w:tcW w:type="dxa" w:w="1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Association</w:t>
            </w:r>
          </w:p>
        </w:tc>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Parent invoice (FK)</w:t>
            </w:r>
          </w:p>
        </w:tc>
        <w:tc>
          <w:tcPr>
            <w:tcW w:type="dxa" w:w="1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lineNumber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Line item number</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product</w:t>
            </w:r>
          </w:p>
        </w:tc>
        <w:tc>
          <w:tcPr>
            <w:tcW w:type="dxa" w:w="1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Association</w:t>
            </w:r>
          </w:p>
        </w:tc>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Product/Material (FK)</w:t>
            </w:r>
          </w:p>
        </w:tc>
        <w:tc>
          <w:tcPr>
            <w:tcW w:type="dxa" w:w="1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poNumber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String(10)</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Purchase Order reference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poItem</w:t>
            </w:r>
          </w:p>
        </w:tc>
        <w:tc>
          <w:tcPr>
            <w:tcW w:type="dxa" w:w="1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String(5)</w:t>
            </w:r>
          </w:p>
        </w:tc>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PO line item number</w:t>
            </w:r>
          </w:p>
        </w:tc>
        <w:tc>
          <w:tcPr>
            <w:tcW w:type="dxa" w:w="1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quantity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Decimal(12,3)</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Invoice quantity</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uom</w:t>
            </w:r>
          </w:p>
        </w:tc>
        <w:tc>
          <w:tcPr>
            <w:tcW w:type="dxa" w:w="1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Association</w:t>
            </w:r>
          </w:p>
        </w:tc>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Unit of measure (FK)</w:t>
            </w:r>
          </w:p>
        </w:tc>
        <w:tc>
          <w:tcPr>
            <w:tcW w:type="dxa" w:w="1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unitPrice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Decimal(15,4)</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Price per unit</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netAmount</w:t>
            </w:r>
          </w:p>
        </w:tc>
        <w:tc>
          <w:tcPr>
            <w:tcW w:type="dxa" w:w="1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Decimal(15,2)</w:t>
            </w:r>
          </w:p>
        </w:tc>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Line net amount</w:t>
            </w:r>
          </w:p>
        </w:tc>
        <w:tc>
          <w:tcPr>
            <w:tcW w:type="dxa" w:w="1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taxCode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String(2)</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Tax code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delivery</w:t>
            </w:r>
          </w:p>
        </w:tc>
        <w:tc>
          <w:tcPr>
            <w:tcW w:type="dxa" w:w="1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Association</w:t>
            </w:r>
          </w:p>
        </w:tc>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Linked FuelDelivery for match (FK)</w:t>
            </w:r>
          </w:p>
        </w:tc>
        <w:tc>
          <w:tcPr>
            <w:tcW w:type="dxa" w:w="1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No</w:t>
            </w:r>
          </w:p>
        </w:tc>
      </w:tr>
    </w:tbl>
    <w:p>
      <w:pPr>
        <w:spacing w:after="300"/>
      </w:pPr>
    </w:p>
    <w:p>
      <w:pPr>
        <w:pStyle w:val="Heading3"/>
      </w:pPr>
      <w:r>
        <w:rPr>
          <w:rFonts w:ascii="Arial" w:cs="Arial" w:eastAsia="Arial" w:hAnsi="Arial"/>
        </w:rPr>
        <w:t xml:space="preserve">7.6.3. INVOICE_MATCHES (Three-Way Match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000"/>
        <w:gridCol w:w="1360"/>
      </w:tblGrid>
      <w:tr>
        <w:tc>
          <w:tcPr>
            <w:tcW w:type="dxa" w:w="2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8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0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3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Unique identifier (PK)</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invoiceItem</w:t>
            </w:r>
          </w:p>
        </w:tc>
        <w:tc>
          <w:tcPr>
            <w:tcW w:type="dxa" w:w="1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Association</w:t>
            </w:r>
          </w:p>
        </w:tc>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Invoice line item (FK)</w:t>
            </w:r>
          </w:p>
        </w:tc>
        <w:tc>
          <w:tcPr>
            <w:tcW w:type="dxa" w:w="1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poNumber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String(10)</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Purchase Order number</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poQuantity</w:t>
            </w:r>
          </w:p>
        </w:tc>
        <w:tc>
          <w:tcPr>
            <w:tcW w:type="dxa" w:w="1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Decimal(12,3)</w:t>
            </w:r>
          </w:p>
        </w:tc>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PO ordered quantity</w:t>
            </w:r>
          </w:p>
        </w:tc>
        <w:tc>
          <w:tcPr>
            <w:tcW w:type="dxa" w:w="1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poPrice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Decimal(15,4)</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PO unit price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grNumber</w:t>
            </w:r>
          </w:p>
        </w:tc>
        <w:tc>
          <w:tcPr>
            <w:tcW w:type="dxa" w:w="1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String(10)</w:t>
            </w:r>
          </w:p>
        </w:tc>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Goods Receipt document number</w:t>
            </w:r>
          </w:p>
        </w:tc>
        <w:tc>
          <w:tcPr>
            <w:tcW w:type="dxa" w:w="1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grQuantity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Decimal(12,3)</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GR received quantity</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quantityVariancePct</w:t>
            </w:r>
          </w:p>
        </w:tc>
        <w:tc>
          <w:tcPr>
            <w:tcW w:type="dxa" w:w="1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Decimal(5,2)</w:t>
            </w:r>
          </w:p>
        </w:tc>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Quantity variance percentage</w:t>
            </w:r>
          </w:p>
        </w:tc>
        <w:tc>
          <w:tcPr>
            <w:tcW w:type="dxa" w:w="1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priceVariancePct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Decimal(5,2)</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Price variance percentage</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matchStatus</w:t>
            </w:r>
          </w:p>
        </w:tc>
        <w:tc>
          <w:tcPr>
            <w:tcW w:type="dxa" w:w="18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String(20)</w:t>
            </w:r>
          </w:p>
        </w:tc>
        <w:tc>
          <w:tcPr>
            <w:tcW w:type="dxa" w:w="4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Matched, PriceVariance, QuantityVariance, Exception</w:t>
            </w:r>
          </w:p>
        </w:tc>
        <w:tc>
          <w:tcPr>
            <w:tcW w:type="dxa" w:w="1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matchDate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When match was performed</w:t>
            </w:r>
          </w:p>
        </w:tc>
        <w:tc>
          <w:tcPr>
            <w:tcW w:type="dxa" w:w="1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bl>
    <w:p>
      <w:pPr>
        <w:spacing w:after="300"/>
      </w:pPr>
    </w:p>
    <w:p>
      <w:pPr>
        <w:pStyle w:val="Heading3"/>
      </w:pPr>
      <w:r>
        <w:rPr>
          <w:rFonts w:ascii="Arial" w:cs="Arial" w:eastAsia="Arial" w:hAnsi="Arial"/>
        </w:rPr>
        <w:t xml:space="preserve">7.6.4. S/4HANA Integration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000"/>
        <w:gridCol w:w="1660"/>
      </w:tblGrid>
      <w:tr>
        <w:tc>
          <w:tcPr>
            <w:tcW w:type="dxa" w:w="2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FuelSphere Entity</w:t>
            </w:r>
          </w:p>
        </w:tc>
        <w:tc>
          <w:tcPr>
            <w:tcW w:type="dxa" w:w="3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S/4HANA API</w:t>
            </w:r>
          </w:p>
        </w:tc>
        <w:tc>
          <w:tcPr>
            <w:tcW w:type="dxa" w:w="20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Sync Direction</w:t>
            </w:r>
          </w:p>
        </w:tc>
        <w:tc>
          <w:tcPr>
            <w:tcW w:type="dxa" w:w="16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Invoices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API_SUPPLIERINVOICE_PROCESS_SRV</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FuelSphere → S/4</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On approval</w:t>
            </w:r>
          </w:p>
        </w:tc>
      </w:tr>
      <w:tr>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PurchaseOrders</w:t>
            </w:r>
          </w:p>
        </w:tc>
        <w:tc>
          <w:tcPr>
            <w:tcW w:type="dxa" w:w="3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API_PURCHASEORDER_PROCESS_SRV</w:t>
            </w:r>
          </w:p>
        </w:tc>
        <w:tc>
          <w:tcPr>
            <w:tcW w:type="dxa" w:w="2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S/4 → FuelSphere</w:t>
            </w:r>
          </w:p>
        </w:tc>
        <w:tc>
          <w:tcPr>
            <w:tcW w:type="dxa" w:w="16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On match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GoodsReceipts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API_MATERIAL_DOCUMENT_SRV</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S/4 → FuelSphere</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On match</w:t>
            </w:r>
          </w:p>
        </w:tc>
      </w:tr>
      <w:tr>
        <w:tc>
          <w:tcPr>
            <w:tcW w:type="dxa" w:w="22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Suppliers</w:t>
            </w:r>
          </w:p>
        </w:tc>
        <w:tc>
          <w:tcPr>
            <w:tcW w:type="dxa" w:w="3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API_BUSINESS_PARTNER</w:t>
            </w:r>
          </w:p>
        </w:tc>
        <w:tc>
          <w:tcPr>
            <w:tcW w:type="dxa" w:w="2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S/4 → FuelSphere</w:t>
            </w:r>
          </w:p>
        </w:tc>
        <w:tc>
          <w:tcPr>
            <w:tcW w:type="dxa" w:w="16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Real-time</w:t>
            </w:r>
          </w:p>
        </w:tc>
      </w:tr>
    </w:tbl>
    <w:p>
      <w:pPr>
        <w:spacing w:after="300"/>
      </w:pPr>
    </w:p>
    <w:p>
      <w:pPr>
        <w:pStyle w:val="Heading3"/>
      </w:pPr>
      <w:r>
        <w:rPr>
          <w:rFonts w:ascii="Arial" w:cs="Arial" w:eastAsia="Arial" w:hAnsi="Arial"/>
        </w:rPr>
        <w:t xml:space="preserve">7.6.5. Error Codes</w:t>
      </w:r>
    </w:p>
    <w:p>
      <w:pPr>
        <w:pStyle w:val="ListParagraph"/>
        <w:numPr>
          <w:ilvl w:val="0"/>
          <w:numId w:val="2"/>
        </w:numPr>
      </w:pPr>
      <w:r>
        <w:rPr>
          <w:rFonts w:ascii="Arial" w:cs="Arial" w:eastAsia="Arial" w:hAnsi="Arial"/>
          <w:sz w:val="22"/>
          <w:szCs w:val="22"/>
        </w:rPr>
        <w:t xml:space="preserve">INV401 - PO not found for matching</w:t>
      </w:r>
    </w:p>
    <w:p>
      <w:pPr>
        <w:pStyle w:val="ListParagraph"/>
        <w:numPr>
          <w:ilvl w:val="0"/>
          <w:numId w:val="2"/>
        </w:numPr>
      </w:pPr>
      <w:r>
        <w:rPr>
          <w:rFonts w:ascii="Arial" w:cs="Arial" w:eastAsia="Arial" w:hAnsi="Arial"/>
          <w:sz w:val="22"/>
          <w:szCs w:val="22"/>
        </w:rPr>
        <w:t xml:space="preserve">INV402 - GR not found for matching</w:t>
      </w:r>
    </w:p>
    <w:p>
      <w:pPr>
        <w:pStyle w:val="ListParagraph"/>
        <w:numPr>
          <w:ilvl w:val="0"/>
          <w:numId w:val="2"/>
        </w:numPr>
      </w:pPr>
      <w:r>
        <w:rPr>
          <w:rFonts w:ascii="Arial" w:cs="Arial" w:eastAsia="Arial" w:hAnsi="Arial"/>
          <w:sz w:val="22"/>
          <w:szCs w:val="22"/>
        </w:rPr>
        <w:t xml:space="preserve">INV403 - Price variance exceeds tolerance</w:t>
      </w:r>
    </w:p>
    <w:p>
      <w:pPr>
        <w:pStyle w:val="ListParagraph"/>
        <w:numPr>
          <w:ilvl w:val="0"/>
          <w:numId w:val="2"/>
        </w:numPr>
      </w:pPr>
      <w:r>
        <w:rPr>
          <w:rFonts w:ascii="Arial" w:cs="Arial" w:eastAsia="Arial" w:hAnsi="Arial"/>
          <w:sz w:val="22"/>
          <w:szCs w:val="22"/>
        </w:rPr>
        <w:t xml:space="preserve">INV404 - Quantity variance exceeds tolerance</w:t>
      </w:r>
    </w:p>
    <w:p>
      <w:pPr>
        <w:pStyle w:val="ListParagraph"/>
        <w:numPr>
          <w:ilvl w:val="0"/>
          <w:numId w:val="2"/>
        </w:numPr>
      </w:pPr>
      <w:r>
        <w:rPr>
          <w:rFonts w:ascii="Arial" w:cs="Arial" w:eastAsia="Arial" w:hAnsi="Arial"/>
          <w:sz w:val="22"/>
          <w:szCs w:val="22"/>
        </w:rPr>
        <w:t xml:space="preserve">INV405 - Duplicate invoice detected</w:t>
      </w:r>
    </w:p>
    <w:p>
      <w:pPr>
        <w:pStyle w:val="ListParagraph"/>
        <w:numPr>
          <w:ilvl w:val="0"/>
          <w:numId w:val="2"/>
        </w:numPr>
      </w:pPr>
      <w:r>
        <w:rPr>
          <w:rFonts w:ascii="Arial" w:cs="Arial" w:eastAsia="Arial" w:hAnsi="Arial"/>
          <w:sz w:val="22"/>
          <w:szCs w:val="22"/>
        </w:rPr>
        <w:t xml:space="preserve">INV406 - S/4HANA FI posting failed</w:t>
      </w:r>
    </w:p>
    <w:p>
      <w:pPr>
        <w:pStyle w:val="ListParagraph"/>
        <w:numPr>
          <w:ilvl w:val="0"/>
          <w:numId w:val="2"/>
        </w:numPr>
      </w:pPr>
      <w:r>
        <w:rPr>
          <w:rFonts w:ascii="Arial" w:cs="Arial" w:eastAsia="Arial" w:hAnsi="Arial"/>
          <w:sz w:val="22"/>
          <w:szCs w:val="22"/>
        </w:rPr>
        <w:t xml:space="preserve">INV407 - Invalid tax code</w:t>
      </w:r>
    </w:p>
    <w:p>
      <w:pPr>
        <w:pStyle w:val="ListParagraph"/>
        <w:numPr>
          <w:ilvl w:val="0"/>
          <w:numId w:val="2"/>
        </w:numPr>
      </w:pPr>
      <w:r>
        <w:rPr>
          <w:rFonts w:ascii="Arial" w:cs="Arial" w:eastAsia="Arial" w:hAnsi="Arial"/>
          <w:sz w:val="22"/>
          <w:szCs w:val="22"/>
        </w:rPr>
        <w:t xml:space="preserve">INV408 - Posting period closed</w:t>
      </w:r>
    </w:p>
    <w:p>
      <w:pPr>
        <w:pStyle w:val="ListParagraph"/>
        <w:numPr>
          <w:ilvl w:val="0"/>
          <w:numId w:val="2"/>
        </w:numPr>
      </w:pPr>
      <w:r>
        <w:rPr>
          <w:rFonts w:ascii="Arial" w:cs="Arial" w:eastAsia="Arial" w:hAnsi="Arial"/>
          <w:sz w:val="22"/>
          <w:szCs w:val="22"/>
        </w:rPr>
        <w:t xml:space="preserve">INV409 - Approval limit exceeded</w:t>
      </w:r>
    </w:p>
    <w:p>
      <w:pPr>
        <w:pStyle w:val="ListParagraph"/>
        <w:numPr>
          <w:ilvl w:val="0"/>
          <w:numId w:val="2"/>
        </w:numPr>
        <w:spacing w:after="200"/>
      </w:pPr>
      <w:r>
        <w:rPr>
          <w:rFonts w:ascii="Arial" w:cs="Arial" w:eastAsia="Arial" w:hAnsi="Arial"/>
          <w:sz w:val="22"/>
          <w:szCs w:val="22"/>
        </w:rPr>
        <w:t xml:space="preserve">INV410 - Currency conversion error</w:t>
      </w:r>
    </w:p>
    <w:p>
      <w:r>
        <w:br w:type="page"/>
      </w:r>
    </w:p>
    <w:p>
      <w:pPr>
        <w:pStyle w:val="Heading1"/>
      </w:pPr>
      <w:r>
        <w:rPr>
          <w:rFonts w:ascii="Arial" w:cs="Arial" w:eastAsia="Arial" w:hAnsi="Arial"/>
        </w:rPr>
        <w:t xml:space="preserve">8. References</w:t>
      </w:r>
    </w:p>
    <w:p>
      <w:pPr>
        <w:pStyle w:val="Heading2"/>
      </w:pPr>
      <w:r>
        <w:rPr>
          <w:rFonts w:ascii="Arial" w:cs="Arial" w:eastAsia="Arial" w:hAnsi="Arial"/>
        </w:rPr>
        <w:t xml:space="preserve">8.1. Related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Document ID</w:t>
            </w:r>
          </w:p>
        </w:tc>
        <w:tc>
          <w:tcPr>
            <w:tcW w:type="dxa" w:w="50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Document Title</w:t>
            </w:r>
          </w:p>
        </w:tc>
        <w:tc>
          <w:tcPr>
            <w:tcW w:type="dxa" w:w="23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FS-HLD-001</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FuelSphere Overall Solution HLD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Parent</w:t>
            </w:r>
          </w:p>
        </w:tc>
      </w:tr>
      <w:tr>
        <w:tc>
          <w:tcPr>
            <w:tcW w:type="dxa" w:w="2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FS-FND-001</w:t>
            </w:r>
          </w:p>
        </w:tc>
        <w:tc>
          <w:tcPr>
            <w:tcW w:type="dxa" w:w="5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Solution Architecture Specification v2.1</w:t>
            </w:r>
          </w:p>
        </w:tc>
        <w:tc>
          <w:tcPr>
            <w:tcW w:type="dxa" w:w="2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Foundation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FS-FND-002</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Data Model &amp; ERD v1.1</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Foundation</w:t>
            </w:r>
          </w:p>
        </w:tc>
      </w:tr>
      <w:tr>
        <w:tc>
          <w:tcPr>
            <w:tcW w:type="dxa" w:w="2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FS-FND-003</w:t>
            </w:r>
          </w:p>
        </w:tc>
        <w:tc>
          <w:tcPr>
            <w:tcW w:type="dxa" w:w="5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Security &amp; Authorization Specification v2.1</w:t>
            </w:r>
          </w:p>
        </w:tc>
        <w:tc>
          <w:tcPr>
            <w:tcW w:type="dxa" w:w="2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Foundation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FS-FND-004</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UI/UX Standards Specification v1.0</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Foundation</w:t>
            </w:r>
          </w:p>
        </w:tc>
      </w:tr>
      <w:tr>
        <w:tc>
          <w:tcPr>
            <w:tcW w:type="dxa" w:w="2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FDD-04-HLD</w:t>
            </w:r>
          </w:p>
        </w:tc>
        <w:tc>
          <w:tcPr>
            <w:tcW w:type="dxa" w:w="5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Fuel Orders &amp; Milestones HLD</w:t>
            </w:r>
          </w:p>
        </w:tc>
        <w:tc>
          <w:tcPr>
            <w:tcW w:type="dxa" w:w="2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Upstream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FDD-05-HLD</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Fuel Ticket &amp; ePOD HLD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Upstream</w:t>
            </w:r>
          </w:p>
        </w:tc>
      </w:tr>
      <w:tr>
        <w:tc>
          <w:tcPr>
            <w:tcW w:type="dxa" w:w="2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FDD-10-HLD</w:t>
            </w:r>
          </w:p>
        </w:tc>
        <w:tc>
          <w:tcPr>
            <w:tcW w:type="dxa" w:w="50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Finance Integration HLD</w:t>
            </w:r>
          </w:p>
        </w:tc>
        <w:tc>
          <w:tcPr>
            <w:tcW w:type="dxa" w:w="23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Downstream</w:t>
            </w:r>
          </w:p>
        </w:tc>
      </w:tr>
    </w:tbl>
    <w:p>
      <w:pPr>
        <w:spacing w:after="300"/>
      </w:pPr>
    </w:p>
    <w:p>
      <w:pPr>
        <w:pStyle w:val="Heading2"/>
      </w:pPr>
      <w:r>
        <w:rPr>
          <w:rFonts w:ascii="Arial" w:cs="Arial" w:eastAsia="Arial" w:hAnsi="Arial"/>
        </w:rPr>
        <w:t xml:space="preserve">8.2. External References</w:t>
      </w:r>
    </w:p>
    <w:p>
      <w:pPr>
        <w:pStyle w:val="ListParagraph"/>
        <w:numPr>
          <w:ilvl w:val="0"/>
          <w:numId w:val="2"/>
        </w:numPr>
      </w:pPr>
      <w:r>
        <w:rPr>
          <w:rFonts w:ascii="Arial" w:cs="Arial" w:eastAsia="Arial" w:hAnsi="Arial"/>
          <w:sz w:val="22"/>
          <w:szCs w:val="22"/>
        </w:rPr>
        <w:t xml:space="preserve">SAP API Business Hub: https://api.sap.com</w:t>
      </w:r>
    </w:p>
    <w:p>
      <w:pPr>
        <w:pStyle w:val="ListParagraph"/>
        <w:numPr>
          <w:ilvl w:val="0"/>
          <w:numId w:val="2"/>
        </w:numPr>
      </w:pPr>
      <w:r>
        <w:rPr>
          <w:rFonts w:ascii="Arial" w:cs="Arial" w:eastAsia="Arial" w:hAnsi="Arial"/>
          <w:sz w:val="22"/>
          <w:szCs w:val="22"/>
        </w:rPr>
        <w:t xml:space="preserve">SAP CAP Documentation: https://cap.cloud.sap/docs/</w:t>
      </w:r>
    </w:p>
    <w:p>
      <w:pPr>
        <w:pStyle w:val="ListParagraph"/>
        <w:numPr>
          <w:ilvl w:val="0"/>
          <w:numId w:val="2"/>
        </w:numPr>
      </w:pPr>
      <w:r>
        <w:rPr>
          <w:rFonts w:ascii="Arial" w:cs="Arial" w:eastAsia="Arial" w:hAnsi="Arial"/>
          <w:sz w:val="22"/>
          <w:szCs w:val="22"/>
        </w:rPr>
        <w:t xml:space="preserve">SAP Fiori Design Guidelines: https://experience.sap.com/fiori-design-web/</w:t>
      </w:r>
    </w:p>
    <w:p>
      <w:pPr>
        <w:pStyle w:val="ListParagraph"/>
        <w:numPr>
          <w:ilvl w:val="0"/>
          <w:numId w:val="2"/>
        </w:numPr>
        <w:spacing w:after="200"/>
      </w:pPr>
      <w:r>
        <w:rPr>
          <w:rFonts w:ascii="Arial" w:cs="Arial" w:eastAsia="Arial" w:hAnsi="Arial"/>
          <w:sz w:val="22"/>
          <w:szCs w:val="22"/>
        </w:rPr>
        <w:t xml:space="preserve">SAP S/4HANA Invoice Verification: https://help.sap.com/docs/SAP_S4HANA_CLOUD</w:t>
      </w:r>
    </w:p>
    <w:p>
      <w:pPr>
        <w:pStyle w:val="Heading2"/>
      </w:pPr>
      <w:r>
        <w:rPr>
          <w:rFonts w:ascii="Arial" w:cs="Arial" w:eastAsia="Arial" w:hAnsi="Arial"/>
        </w:rPr>
        <w:t xml:space="preserve">8.3.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Three-Way Match</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Comparison of PO, GR, and Invoice to verify quantities and prices</w:t>
            </w:r>
          </w:p>
        </w:tc>
      </w:tr>
      <w:tr>
        <w:tc>
          <w:tcPr>
            <w:tcW w:type="dxa" w:w="2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b/>
                <w:bCs/>
                <w:sz w:val="20"/>
                <w:szCs w:val="20"/>
              </w:rPr>
              <w:t xml:space="preserve">GR/IR</w:t>
            </w:r>
          </w:p>
        </w:tc>
        <w:tc>
          <w:tcPr>
            <w:tcW w:type="dxa" w:w="68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Goods Receipt/Invoice Receipt - clearing account for matching</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Tolerance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Acceptable variance threshold before blocking/exception</w:t>
            </w:r>
          </w:p>
        </w:tc>
      </w:tr>
      <w:tr>
        <w:tc>
          <w:tcPr>
            <w:tcW w:type="dxa" w:w="2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b/>
                <w:bCs/>
                <w:sz w:val="20"/>
                <w:szCs w:val="20"/>
              </w:rPr>
              <w:t xml:space="preserve">ePOD</w:t>
            </w:r>
          </w:p>
        </w:tc>
        <w:tc>
          <w:tcPr>
            <w:tcW w:type="dxa" w:w="68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Electronic Proof of Delivery - digital delivery confirmation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MIRO</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SAP transaction code for Logistics Invoice Verification</w:t>
            </w:r>
          </w:p>
        </w:tc>
      </w:tr>
      <w:tr>
        <w:tc>
          <w:tcPr>
            <w:tcW w:type="dxa" w:w="2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b/>
                <w:bCs/>
                <w:sz w:val="20"/>
                <w:szCs w:val="20"/>
              </w:rPr>
              <w:t xml:space="preserve">SOX</w:t>
            </w:r>
          </w:p>
        </w:tc>
        <w:tc>
          <w:tcPr>
            <w:tcW w:type="dxa" w:w="68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Sarbanes-Oxley Act - US financial regulation requiring controls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FI</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Financial Accounting module in SAP S/4HANA</w:t>
            </w:r>
          </w:p>
        </w:tc>
      </w:tr>
      <w:tr>
        <w:tc>
          <w:tcPr>
            <w:tcW w:type="dxa" w:w="250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b/>
                <w:bCs/>
                <w:sz w:val="20"/>
                <w:szCs w:val="20"/>
              </w:rPr>
              <w:t xml:space="preserve">AP</w:t>
            </w:r>
          </w:p>
        </w:tc>
        <w:tc>
          <w:tcPr>
            <w:tcW w:type="dxa" w:w="6860"/>
            <w:tcBorders>
              <w:top w:val="single" w:color="D1D5DB" w:sz="1"/>
              <w:left w:val="single" w:color="D1D5DB" w:sz="1"/>
              <w:bottom w:val="single" w:color="D1D5DB" w:sz="1"/>
              <w:right w:val="single" w:color="D1D5DB" w:sz="1"/>
            </w:tcBorders>
            <w:shd w:fill="F5F8FA" w:val="clear"/>
            <w:tcMar>
              <w:top w:type="dxa" w:w="80"/>
              <w:left w:type="dxa" w:w="120"/>
              <w:bottom w:type="dxa" w:w="80"/>
              <w:right w:type="dxa" w:w="120"/>
            </w:tcMar>
          </w:tcPr>
          <w:p>
            <w:r>
              <w:rPr>
                <w:rFonts w:ascii="Arial" w:cs="Arial" w:eastAsia="Arial" w:hAnsi="Arial"/>
                <w:sz w:val="20"/>
                <w:szCs w:val="20"/>
              </w:rPr>
              <w:t xml:space="preserve">Accounts Payable - sub-module of FI for vendor invoices</w:t>
            </w:r>
          </w:p>
        </w:tc>
      </w:tr>
    </w:tbl>
    <w:p>
      <w:pPr>
        <w:spacing w:after="400"/>
      </w:pPr>
    </w:p>
    <w:p>
      <w:pPr>
        <w:spacing w:before="400"/>
        <w:jc w:val="center"/>
      </w:pPr>
      <w:r>
        <w:rPr>
          <w:rFonts w:ascii="Arial" w:cs="Arial" w:eastAsia="Arial" w:hAnsi="Arial"/>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Document ID: FDD-06-HLD | Version 1.0 | 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B365D"/>
        <w:sz w:val="18"/>
        <w:szCs w:val="18"/>
      </w:rPr>
      <w:t xml:space="preserve">FuelSphere </w:t>
    </w:r>
    <w:r>
      <w:rPr>
        <w:rFonts w:ascii="Arial" w:cs="Arial" w:eastAsia="Arial" w:hAnsi="Arial"/>
        <w:color w:val="666666"/>
        <w:sz w:val="18"/>
        <w:szCs w:val="18"/>
      </w:rPr>
      <w:t xml:space="preserve">| Invoice Verification Module HLD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65D"/>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B365D"/>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B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2026-01-18T12:16:37.953Z</dcterms:created>
  <dcterms:modified xsi:type="dcterms:W3CDTF">2026-01-18T12:16:37.954Z</dcterms:modified>
</cp:coreProperties>
</file>

<file path=docProps/custom.xml><?xml version="1.0" encoding="utf-8"?>
<Properties xmlns="http://schemas.openxmlformats.org/officeDocument/2006/custom-properties" xmlns:vt="http://schemas.openxmlformats.org/officeDocument/2006/docPropsVTypes"/>
</file>